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D0A5F44" w14:textId="77777777" w:rsidR="006575CC" w:rsidRDefault="009F2BF5">
      <w:pPr>
        <w:jc w:val="center"/>
        <w:rPr>
          <w:b/>
          <w:bCs/>
        </w:rPr>
      </w:pPr>
      <w:bookmarkStart w:id="0" w:name="_heading=h.y54xptv46fjk" w:colFirst="0" w:colLast="0"/>
      <w:bookmarkEnd w:id="0"/>
      <w:r>
        <w:rPr>
          <w:rFonts w:ascii="Aptos" w:eastAsia="Aptos" w:hAnsi="Aptos" w:cs="Aptos"/>
          <w:noProof/>
        </w:rPr>
        <w:drawing>
          <wp:inline distT="0" distB="0" distL="0" distR="0" wp14:anchorId="5B158C9C" wp14:editId="64C033E2">
            <wp:extent cx="3020400" cy="1045804"/>
            <wp:effectExtent l="0" t="0" r="0" b="0"/>
            <wp:docPr id="18" name="image12.jpg" descr="A logo with blue and black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logo with blue and black letters&#10;&#10;Description automatically generated"/>
                    <pic:cNvPicPr preferRelativeResize="0"/>
                  </pic:nvPicPr>
                  <pic:blipFill>
                    <a:blip r:embed="rId8"/>
                    <a:srcRect/>
                    <a:stretch>
                      <a:fillRect/>
                    </a:stretch>
                  </pic:blipFill>
                  <pic:spPr>
                    <a:xfrm>
                      <a:off x="0" y="0"/>
                      <a:ext cx="3020400" cy="1045804"/>
                    </a:xfrm>
                    <a:prstGeom prst="rect">
                      <a:avLst/>
                    </a:prstGeom>
                    <a:ln/>
                  </pic:spPr>
                </pic:pic>
              </a:graphicData>
            </a:graphic>
          </wp:inline>
        </w:drawing>
      </w:r>
    </w:p>
    <w:p w14:paraId="01F58A53" w14:textId="77777777" w:rsidR="006575CC" w:rsidRDefault="006575CC">
      <w:pPr>
        <w:rPr>
          <w:b/>
          <w:bCs/>
        </w:rPr>
      </w:pPr>
    </w:p>
    <w:p w14:paraId="43C844BB" w14:textId="77777777" w:rsidR="006575CC" w:rsidRDefault="006575CC">
      <w:pPr>
        <w:rPr>
          <w:b/>
          <w:bCs/>
        </w:rPr>
      </w:pPr>
    </w:p>
    <w:p w14:paraId="750184B6" w14:textId="77777777" w:rsidR="006575CC" w:rsidRDefault="006575CC">
      <w:pPr>
        <w:rPr>
          <w:b/>
          <w:bCs/>
        </w:rPr>
      </w:pPr>
    </w:p>
    <w:p w14:paraId="564D3599" w14:textId="77777777" w:rsidR="006575CC" w:rsidRDefault="006575CC">
      <w:pPr>
        <w:rPr>
          <w:b/>
          <w:bCs/>
        </w:rPr>
      </w:pPr>
    </w:p>
    <w:p w14:paraId="6B0E159B" w14:textId="77777777" w:rsidR="006575CC" w:rsidRDefault="006575CC">
      <w:pPr>
        <w:jc w:val="center"/>
        <w:rPr>
          <w:b/>
          <w:bCs/>
          <w:sz w:val="48"/>
          <w:szCs w:val="48"/>
        </w:rPr>
      </w:pPr>
    </w:p>
    <w:p w14:paraId="165FD226" w14:textId="77777777" w:rsidR="006575CC" w:rsidRDefault="006575CC">
      <w:pPr>
        <w:jc w:val="center"/>
        <w:rPr>
          <w:b/>
          <w:bCs/>
          <w:sz w:val="48"/>
          <w:szCs w:val="48"/>
        </w:rPr>
      </w:pPr>
    </w:p>
    <w:p w14:paraId="750DB293" w14:textId="77777777" w:rsidR="006575CC" w:rsidRDefault="006575CC">
      <w:pPr>
        <w:jc w:val="center"/>
        <w:rPr>
          <w:b/>
          <w:bCs/>
          <w:sz w:val="48"/>
          <w:szCs w:val="48"/>
        </w:rPr>
      </w:pPr>
    </w:p>
    <w:p w14:paraId="2988A924" w14:textId="77777777" w:rsidR="006575CC" w:rsidRDefault="006575CC">
      <w:pPr>
        <w:jc w:val="center"/>
        <w:rPr>
          <w:b/>
          <w:bCs/>
          <w:sz w:val="48"/>
          <w:szCs w:val="48"/>
        </w:rPr>
      </w:pPr>
    </w:p>
    <w:p w14:paraId="7ACD87BE" w14:textId="66BD6181" w:rsidR="006575CC" w:rsidRDefault="009F2BF5">
      <w:pPr>
        <w:jc w:val="center"/>
        <w:rPr>
          <w:b/>
          <w:bCs/>
          <w:sz w:val="48"/>
          <w:szCs w:val="48"/>
        </w:rPr>
      </w:pPr>
      <w:r w:rsidRPr="00867ACD">
        <w:rPr>
          <w:b/>
          <w:bCs/>
          <w:sz w:val="46"/>
          <w:szCs w:val="46"/>
        </w:rPr>
        <w:t xml:space="preserve">Tăng cường Quan hệ Kinh tế ASEAN–GCC: </w:t>
      </w:r>
      <w:r w:rsidR="00867ACD" w:rsidRPr="00867ACD">
        <w:rPr>
          <w:b/>
          <w:bCs/>
          <w:sz w:val="46"/>
          <w:szCs w:val="46"/>
        </w:rPr>
        <w:t xml:space="preserve">Cách </w:t>
      </w:r>
      <w:r w:rsidRPr="00867ACD">
        <w:rPr>
          <w:b/>
          <w:bCs/>
          <w:sz w:val="46"/>
          <w:szCs w:val="46"/>
        </w:rPr>
        <w:t>tiếp cận mang tính chiến lược</w:t>
      </w:r>
    </w:p>
    <w:p w14:paraId="39DD70AC" w14:textId="77777777" w:rsidR="006575CC" w:rsidRDefault="006575CC">
      <w:pPr>
        <w:rPr>
          <w:rFonts w:ascii="Aptos" w:eastAsia="Aptos" w:hAnsi="Aptos" w:cs="Aptos"/>
        </w:rPr>
      </w:pPr>
    </w:p>
    <w:p w14:paraId="7F3838A4" w14:textId="77777777" w:rsidR="006575CC" w:rsidRDefault="006575CC">
      <w:pPr>
        <w:rPr>
          <w:rFonts w:ascii="Aptos" w:eastAsia="Aptos" w:hAnsi="Aptos" w:cs="Aptos"/>
        </w:rPr>
      </w:pPr>
    </w:p>
    <w:p w14:paraId="2AE1FAB1" w14:textId="77777777" w:rsidR="006575CC" w:rsidRDefault="006575CC">
      <w:pPr>
        <w:pStyle w:val="Subtitle"/>
        <w:keepNext w:val="0"/>
        <w:keepLines w:val="0"/>
        <w:spacing w:after="160"/>
        <w:rPr>
          <w:color w:val="595959"/>
          <w:sz w:val="28"/>
          <w:szCs w:val="28"/>
        </w:rPr>
      </w:pPr>
    </w:p>
    <w:p w14:paraId="084B7355" w14:textId="77777777" w:rsidR="006575CC" w:rsidRDefault="006575CC">
      <w:pPr>
        <w:pStyle w:val="Subtitle"/>
        <w:keepNext w:val="0"/>
        <w:keepLines w:val="0"/>
        <w:spacing w:after="160"/>
        <w:rPr>
          <w:color w:val="595959"/>
          <w:sz w:val="28"/>
          <w:szCs w:val="28"/>
        </w:rPr>
      </w:pPr>
    </w:p>
    <w:p w14:paraId="519428D1" w14:textId="77777777" w:rsidR="006575CC" w:rsidRDefault="006575CC">
      <w:pPr>
        <w:pStyle w:val="Subtitle"/>
        <w:keepNext w:val="0"/>
        <w:keepLines w:val="0"/>
        <w:spacing w:after="160"/>
        <w:rPr>
          <w:color w:val="595959"/>
          <w:sz w:val="28"/>
          <w:szCs w:val="28"/>
        </w:rPr>
      </w:pPr>
    </w:p>
    <w:p w14:paraId="3BEEC8D2" w14:textId="77777777" w:rsidR="006575CC" w:rsidRDefault="006575CC">
      <w:pPr>
        <w:pStyle w:val="Subtitle"/>
        <w:keepNext w:val="0"/>
        <w:keepLines w:val="0"/>
        <w:spacing w:after="160"/>
        <w:rPr>
          <w:color w:val="595959"/>
          <w:sz w:val="28"/>
          <w:szCs w:val="28"/>
        </w:rPr>
      </w:pPr>
    </w:p>
    <w:p w14:paraId="529AF389" w14:textId="77777777" w:rsidR="006575CC" w:rsidRDefault="006575CC">
      <w:pPr>
        <w:pStyle w:val="Subtitle"/>
        <w:keepNext w:val="0"/>
        <w:keepLines w:val="0"/>
        <w:spacing w:after="160"/>
        <w:rPr>
          <w:color w:val="595959"/>
          <w:sz w:val="28"/>
          <w:szCs w:val="28"/>
        </w:rPr>
      </w:pPr>
    </w:p>
    <w:p w14:paraId="67688DDC" w14:textId="77777777" w:rsidR="00867ACD" w:rsidRDefault="009F2BF5">
      <w:pPr>
        <w:pStyle w:val="Subtitle"/>
        <w:keepNext w:val="0"/>
        <w:keepLines w:val="0"/>
        <w:spacing w:after="160"/>
        <w:rPr>
          <w:color w:val="595959"/>
          <w:sz w:val="24"/>
          <w:szCs w:val="24"/>
        </w:rPr>
      </w:pPr>
      <w:r>
        <w:rPr>
          <w:color w:val="595959"/>
          <w:sz w:val="24"/>
          <w:szCs w:val="24"/>
        </w:rPr>
        <w:t>Dionisius Narjoko, Anna Robeniol, Salvador Buban</w:t>
      </w:r>
    </w:p>
    <w:p w14:paraId="1D7DA10B" w14:textId="31171F84" w:rsidR="006575CC" w:rsidRDefault="009F2BF5">
      <w:pPr>
        <w:pStyle w:val="Subtitle"/>
        <w:keepNext w:val="0"/>
        <w:keepLines w:val="0"/>
        <w:spacing w:after="160"/>
        <w:rPr>
          <w:color w:val="595959"/>
          <w:sz w:val="24"/>
          <w:szCs w:val="24"/>
        </w:rPr>
      </w:pPr>
      <w:r>
        <w:rPr>
          <w:color w:val="595959"/>
          <w:sz w:val="24"/>
          <w:szCs w:val="24"/>
        </w:rPr>
        <w:t>ERIA (Viện Nghiên cứu Kinh tế về ASEAN và Đông Á)</w:t>
      </w:r>
    </w:p>
    <w:p w14:paraId="7797E767" w14:textId="77777777" w:rsidR="006575CC" w:rsidRDefault="009F2BF5">
      <w:pPr>
        <w:pStyle w:val="Heading1"/>
        <w:spacing w:before="360" w:after="80"/>
        <w:jc w:val="both"/>
        <w:rPr>
          <w:color w:val="000000"/>
        </w:rPr>
      </w:pPr>
      <w:bookmarkStart w:id="1" w:name="_heading=h.teulxmyj0x8j" w:colFirst="0" w:colLast="0"/>
      <w:bookmarkEnd w:id="1"/>
      <w:r>
        <w:br w:type="page"/>
      </w:r>
      <w:r>
        <w:rPr>
          <w:color w:val="000000"/>
        </w:rPr>
        <w:lastRenderedPageBreak/>
        <w:t>Lời cảm ơn</w:t>
      </w:r>
    </w:p>
    <w:p w14:paraId="19955467" w14:textId="77777777" w:rsidR="006575CC" w:rsidRDefault="009F2BF5">
      <w:pPr>
        <w:rPr>
          <w:color w:val="000000"/>
        </w:rPr>
      </w:pPr>
      <w:r>
        <w:rPr>
          <w:color w:val="000000"/>
        </w:rPr>
        <w:t>Báo cáo này được Viện Nghiên cứu Kinh tế về ASEAN và Đông Á (ERIA) thực hiện theo đề nghị của Ban Thư ký ASEAN và đã được các Bộ trưởng Kinh tế ASEAN thông qua, nhằm tiến hành một nghiên cứu độc lập về việc tăng cường quan hệ kinh tế ASEAN–GCC, bao gồm khả năng thiết lập Hiệp định Thương mại Tự do (FTA) ASEAN–GCC. Nghiên cứu này cung cấp các thông tin đầu vào cho Tuyên bố về Hợp tác Kinh tế ASEAN–Hội đồng Hợp tác vùng Vịnh (ASEAN–GCC), đây là một trong những Sáng kiến Ưu tiên Kinh tế của Malaysia trong Trụ cột Chiến lược 1 (Tăng cường Thương mại và Đầu tư) và là một văn kiện được thông qua tại Hội nghị Cấp cao ASEAN–GCC lần thứ hai tổ chức tại Malaysia vào tháng 5 năm 2025.</w:t>
      </w:r>
    </w:p>
    <w:p w14:paraId="10D3C22C" w14:textId="77777777" w:rsidR="006575CC" w:rsidRDefault="009F2BF5">
      <w:pPr>
        <w:rPr>
          <w:color w:val="000000"/>
        </w:rPr>
      </w:pPr>
      <w:r>
        <w:rPr>
          <w:color w:val="000000"/>
        </w:rPr>
        <w:t>Nghiên cứu do nhóm chuyên gia của ERIA dẫn dắt, gồm Dionisius Narjoko, Anna Robeniol và Salvador Buban, với sự hỗ trợ nghiên cứu của Rudhian Chlissma Putra, Anzika, Nadira Melia, Arvin Imamsatria Widijanto và David Christian, cùng hỗ trợ hành chính từ Denise Ann.</w:t>
      </w:r>
    </w:p>
    <w:p w14:paraId="26CCC1CA" w14:textId="77777777" w:rsidR="006575CC" w:rsidRDefault="009F2BF5">
      <w:pPr>
        <w:rPr>
          <w:color w:val="000000"/>
        </w:rPr>
      </w:pPr>
      <w:r>
        <w:rPr>
          <w:color w:val="000000"/>
        </w:rPr>
        <w:t>Chúng tôi trân trọng cảm ơn Ban Thư ký ASEAN và các Quan chức Kinh tế Cấp cao ASEAN (SEOM) đã tham gia thảo luận và đóng góp nhiều ý kiến, nhận xét quý báu.</w:t>
      </w:r>
    </w:p>
    <w:p w14:paraId="183337E1" w14:textId="77777777" w:rsidR="006575CC" w:rsidRDefault="009F2BF5">
      <w:pPr>
        <w:rPr>
          <w:color w:val="000000"/>
        </w:rPr>
      </w:pPr>
      <w:r>
        <w:rPr>
          <w:color w:val="000000"/>
        </w:rPr>
        <w:t>Chúng tôi cũng đặc biệt biết ơn Ken Itakura của Đại học Thành phố Nagoya vì sự hỗ trợ trong việc thực hiện các mô hình cân bằng tổng thể.</w:t>
      </w:r>
    </w:p>
    <w:p w14:paraId="3917ECF8" w14:textId="77777777" w:rsidR="006575CC" w:rsidRDefault="009F2BF5">
      <w:pPr>
        <w:rPr>
          <w:b/>
          <w:bCs/>
          <w:color w:val="000000"/>
        </w:rPr>
      </w:pPr>
      <w:r>
        <w:rPr>
          <w:b/>
          <w:bCs/>
          <w:color w:val="000000"/>
        </w:rPr>
        <w:t>Tuyên bố miễn trừ trách nhiệm</w:t>
      </w:r>
    </w:p>
    <w:p w14:paraId="65EAC507" w14:textId="77777777" w:rsidR="006575CC" w:rsidRDefault="009F2BF5">
      <w:pPr>
        <w:rPr>
          <w:color w:val="000000"/>
        </w:rPr>
      </w:pPr>
      <w:r>
        <w:rPr>
          <w:color w:val="000000"/>
        </w:rPr>
        <w:t>Các quan điểm được trình bày trong báo cáo này thuộc về các tác giả và không nhất thiết phản ánh quan điểm chính thức của ERIA, Ban Thư ký ASEAN, các Quốc gia Thành viên ASEAN hoặc Ấn Độ. Mọi sai sót hoặc thiếu sót hoàn toàn thuộc trách nhiệm của các tác giả. Mọi câu hỏi liên quan đến báo cáo xin vui lòng liên hệ Anna Robeniol (anna.robeniol@eria.org).</w:t>
      </w:r>
    </w:p>
    <w:p w14:paraId="7A957CB3" w14:textId="77777777" w:rsidR="006575CC" w:rsidRDefault="006575CC"/>
    <w:p w14:paraId="53DDD317" w14:textId="77777777" w:rsidR="006575CC" w:rsidRDefault="006575CC"/>
    <w:p w14:paraId="7FF80121" w14:textId="77777777" w:rsidR="006575CC" w:rsidRDefault="006575CC"/>
    <w:p w14:paraId="68503EC7" w14:textId="77777777" w:rsidR="006575CC" w:rsidRDefault="006575CC"/>
    <w:p w14:paraId="698558CB" w14:textId="77777777" w:rsidR="006575CC" w:rsidRDefault="006575CC"/>
    <w:p w14:paraId="3BAC514B" w14:textId="77777777" w:rsidR="006575CC" w:rsidRDefault="006575CC"/>
    <w:p w14:paraId="5CB77326" w14:textId="77777777" w:rsidR="006575CC" w:rsidRDefault="006575CC"/>
    <w:p w14:paraId="04C96EE5" w14:textId="77777777" w:rsidR="006575CC" w:rsidRDefault="006575CC"/>
    <w:p w14:paraId="2B660EB0" w14:textId="3934C8B5" w:rsidR="006575CC" w:rsidRDefault="009F2BF5">
      <w:pPr>
        <w:pStyle w:val="Heading1"/>
        <w:spacing w:before="360" w:after="80"/>
        <w:rPr>
          <w:rFonts w:ascii="Aptos" w:eastAsia="Aptos" w:hAnsi="Aptos" w:cs="Aptos"/>
        </w:rPr>
      </w:pPr>
      <w:r>
        <w:rPr>
          <w:sz w:val="28"/>
          <w:szCs w:val="28"/>
        </w:rPr>
        <w:lastRenderedPageBreak/>
        <w:t>Mục lục</w:t>
      </w:r>
    </w:p>
    <w:p w14:paraId="054E3063" w14:textId="77777777" w:rsidR="006575CC" w:rsidRDefault="006575CC">
      <w:pPr>
        <w:widowControl w:val="0"/>
        <w:rPr>
          <w:rFonts w:ascii="Aptos" w:eastAsia="Aptos" w:hAnsi="Aptos" w:cs="Aptos"/>
        </w:rPr>
      </w:pPr>
    </w:p>
    <w:sdt>
      <w:sdtPr>
        <w:id w:val="-1618092384"/>
        <w:docPartObj>
          <w:docPartGallery w:val="Table of Contents"/>
          <w:docPartUnique/>
        </w:docPartObj>
      </w:sdtPr>
      <w:sdtContent>
        <w:p w14:paraId="23A2ED28" w14:textId="67763EF0" w:rsidR="006575CC" w:rsidRDefault="009F2BF5" w:rsidP="00867ACD">
          <w:pPr>
            <w:widowControl w:val="0"/>
            <w:tabs>
              <w:tab w:val="right" w:leader="dot" w:pos="9356"/>
              <w:tab w:val="right" w:pos="12000"/>
            </w:tabs>
            <w:spacing w:before="60" w:after="0"/>
            <w:jc w:val="left"/>
          </w:pPr>
          <w:r>
            <w:fldChar w:fldCharType="begin"/>
          </w:r>
          <w:r>
            <w:instrText xml:space="preserve"> TOC \h \u \z \t "Heading 1,1,Heading 2,2,Heading 3,3,Heading 4,4,Heading 5,5,Heading 6,6,"</w:instrText>
          </w:r>
          <w:r>
            <w:fldChar w:fldCharType="separate"/>
          </w:r>
          <w:hyperlink w:anchor="_heading=h.teulxmyj0x8j">
            <w:r>
              <w:rPr>
                <w:color w:val="000000"/>
              </w:rPr>
              <w:t>Lời mở đầu</w:t>
            </w:r>
            <w:r>
              <w:rPr>
                <w:color w:val="000000"/>
              </w:rPr>
              <w:tab/>
              <w:t>2</w:t>
            </w:r>
          </w:hyperlink>
        </w:p>
        <w:p w14:paraId="053B6FE8" w14:textId="43AE6BD8" w:rsidR="001425FF" w:rsidRPr="001425FF" w:rsidRDefault="001425FF" w:rsidP="001425FF">
          <w:pPr>
            <w:widowControl w:val="0"/>
            <w:tabs>
              <w:tab w:val="right" w:leader="dot" w:pos="9356"/>
              <w:tab w:val="right" w:pos="12000"/>
            </w:tabs>
            <w:spacing w:before="60" w:after="0"/>
            <w:jc w:val="left"/>
            <w:rPr>
              <w:color w:val="auto"/>
            </w:rPr>
          </w:pPr>
          <w:r w:rsidRPr="001425FF">
            <w:rPr>
              <w:color w:val="auto"/>
            </w:rPr>
            <w:t>Danh mục bảng biểu……………………………………………………………………………</w:t>
          </w:r>
          <w:r w:rsidRPr="001425FF">
            <w:rPr>
              <w:color w:val="auto"/>
              <w:sz w:val="18"/>
              <w:szCs w:val="18"/>
            </w:rPr>
            <w:t>.</w:t>
          </w:r>
          <w:r w:rsidRPr="001425FF">
            <w:rPr>
              <w:color w:val="auto"/>
            </w:rPr>
            <w:t>4</w:t>
          </w:r>
        </w:p>
        <w:p w14:paraId="3C70CAEF" w14:textId="77777777" w:rsidR="006575CC" w:rsidRDefault="009F2BF5" w:rsidP="00867ACD">
          <w:pPr>
            <w:widowControl w:val="0"/>
            <w:tabs>
              <w:tab w:val="right" w:leader="dot" w:pos="9356"/>
              <w:tab w:val="right" w:pos="12000"/>
            </w:tabs>
            <w:spacing w:before="60" w:after="0"/>
            <w:jc w:val="left"/>
            <w:rPr>
              <w:color w:val="000000"/>
            </w:rPr>
          </w:pPr>
          <w:r>
            <w:rPr>
              <w:color w:val="000000"/>
            </w:rPr>
            <w:t>Danh mục các hình minh họa</w:t>
          </w:r>
          <w:hyperlink w:anchor="_heading=h.a8mx3qehqww2">
            <w:r>
              <w:rPr>
                <w:color w:val="000000"/>
              </w:rPr>
              <w:tab/>
              <w:t>7</w:t>
            </w:r>
          </w:hyperlink>
        </w:p>
        <w:p w14:paraId="4E25FD87" w14:textId="77777777" w:rsidR="006575CC" w:rsidRDefault="009F2BF5" w:rsidP="00867ACD">
          <w:pPr>
            <w:widowControl w:val="0"/>
            <w:tabs>
              <w:tab w:val="right" w:leader="dot" w:pos="9356"/>
              <w:tab w:val="right" w:pos="12000"/>
            </w:tabs>
            <w:spacing w:before="60" w:after="0"/>
            <w:jc w:val="left"/>
            <w:rPr>
              <w:color w:val="000000"/>
            </w:rPr>
          </w:pPr>
          <w:hyperlink w:anchor="_heading=h.i4iffyymtjgk">
            <w:r>
              <w:rPr>
                <w:color w:val="000000"/>
              </w:rPr>
              <w:t>Tóm tắt</w:t>
            </w:r>
            <w:r>
              <w:rPr>
                <w:color w:val="000000"/>
              </w:rPr>
              <w:tab/>
              <w:t>9</w:t>
            </w:r>
          </w:hyperlink>
        </w:p>
        <w:p w14:paraId="227C018E" w14:textId="77777777" w:rsidR="006575CC" w:rsidRDefault="009F2BF5" w:rsidP="00867ACD">
          <w:pPr>
            <w:widowControl w:val="0"/>
            <w:tabs>
              <w:tab w:val="right" w:leader="dot" w:pos="9356"/>
              <w:tab w:val="right" w:pos="12000"/>
            </w:tabs>
            <w:spacing w:before="60" w:after="0"/>
            <w:jc w:val="left"/>
            <w:rPr>
              <w:color w:val="000000"/>
            </w:rPr>
          </w:pPr>
          <w:hyperlink w:anchor="_heading=h.7f7p93gum3or">
            <w:r>
              <w:rPr>
                <w:color w:val="000000"/>
              </w:rPr>
              <w:t>Phần 1: Giới thiệu / Bối cảnh</w:t>
            </w:r>
            <w:r>
              <w:rPr>
                <w:color w:val="000000"/>
              </w:rPr>
              <w:tab/>
              <w:t>1</w:t>
            </w:r>
          </w:hyperlink>
        </w:p>
        <w:p w14:paraId="0A547271" w14:textId="77777777" w:rsidR="006575CC" w:rsidRDefault="009F2BF5" w:rsidP="00867ACD">
          <w:pPr>
            <w:widowControl w:val="0"/>
            <w:tabs>
              <w:tab w:val="right" w:leader="dot" w:pos="9356"/>
              <w:tab w:val="right" w:pos="12000"/>
            </w:tabs>
            <w:spacing w:before="60" w:after="0"/>
            <w:jc w:val="left"/>
            <w:rPr>
              <w:color w:val="000000"/>
            </w:rPr>
          </w:pPr>
          <w:hyperlink w:anchor="_heading=h.ceoetmqll2cq">
            <w:r>
              <w:rPr>
                <w:color w:val="000000"/>
              </w:rPr>
              <w:t>Phần 2: Tổng quan về quan hệ ASEAN–GCC</w:t>
            </w:r>
            <w:r>
              <w:rPr>
                <w:color w:val="000000"/>
              </w:rPr>
              <w:tab/>
              <w:t>2</w:t>
            </w:r>
          </w:hyperlink>
        </w:p>
        <w:p w14:paraId="64B701F6" w14:textId="77777777" w:rsidR="006575CC" w:rsidRDefault="009F2BF5" w:rsidP="00867ACD">
          <w:pPr>
            <w:widowControl w:val="0"/>
            <w:tabs>
              <w:tab w:val="right" w:leader="dot" w:pos="9356"/>
              <w:tab w:val="right" w:pos="12000"/>
            </w:tabs>
            <w:spacing w:before="60" w:after="0"/>
            <w:jc w:val="left"/>
            <w:rPr>
              <w:color w:val="000000"/>
            </w:rPr>
          </w:pPr>
          <w:hyperlink w:anchor="_heading=h.c4nrcpgr00e6">
            <w:r>
              <w:rPr>
                <w:color w:val="000000"/>
              </w:rPr>
              <w:t>Phần 3: Thúc đẩy quan hệ sâu rộng hơn giữa ASEAN và GCC</w:t>
            </w:r>
            <w:r>
              <w:rPr>
                <w:color w:val="000000"/>
              </w:rPr>
              <w:tab/>
              <w:t>17</w:t>
            </w:r>
          </w:hyperlink>
        </w:p>
        <w:p w14:paraId="5BD31AF3" w14:textId="77777777" w:rsidR="006575CC" w:rsidRDefault="009F2BF5" w:rsidP="00867ACD">
          <w:pPr>
            <w:tabs>
              <w:tab w:val="left" w:pos="480"/>
              <w:tab w:val="right" w:leader="dot" w:pos="9356"/>
            </w:tabs>
            <w:spacing w:before="120" w:after="0"/>
            <w:ind w:left="142"/>
            <w:jc w:val="left"/>
            <w:rPr>
              <w:color w:val="000000"/>
            </w:rPr>
          </w:pPr>
          <w:hyperlink r:id="rId9" w:anchor="heading=h.lp6iak199ecz">
            <w:r>
              <w:rPr>
                <w:color w:val="000000"/>
              </w:rPr>
              <w:t>A.</w:t>
            </w:r>
          </w:hyperlink>
          <w:hyperlink r:id="rId10" w:anchor="heading=h.lp6iak199ecz">
            <w:r>
              <w:rPr>
                <w:color w:val="000000"/>
              </w:rPr>
              <w:tab/>
            </w:r>
          </w:hyperlink>
          <w:hyperlink r:id="rId11" w:anchor="heading=h.lp6iak199ecz">
            <w:r>
              <w:rPr>
                <w:color w:val="000000"/>
              </w:rPr>
              <w:t>Chương trình nghị sự đàm phán thương mại của GCC và ASEAN</w:t>
            </w:r>
            <w:r>
              <w:rPr>
                <w:color w:val="000000"/>
              </w:rPr>
              <w:tab/>
              <w:t>12</w:t>
            </w:r>
          </w:hyperlink>
        </w:p>
        <w:p w14:paraId="4CBDBB49" w14:textId="77777777" w:rsidR="006575CC" w:rsidRDefault="009F2BF5" w:rsidP="00867ACD">
          <w:pPr>
            <w:tabs>
              <w:tab w:val="left" w:pos="480"/>
              <w:tab w:val="right" w:leader="dot" w:pos="9356"/>
            </w:tabs>
            <w:spacing w:before="120" w:after="0"/>
            <w:ind w:left="142"/>
            <w:jc w:val="left"/>
            <w:rPr>
              <w:color w:val="000000"/>
            </w:rPr>
          </w:pPr>
          <w:hyperlink r:id="rId12" w:anchor="heading=h.kxlkdo81uux4">
            <w:r>
              <w:rPr>
                <w:color w:val="000000"/>
              </w:rPr>
              <w:t>B.</w:t>
            </w:r>
          </w:hyperlink>
          <w:hyperlink r:id="rId13" w:anchor="heading=h.kxlkdo81uux4">
            <w:r>
              <w:rPr>
                <w:color w:val="000000"/>
              </w:rPr>
              <w:tab/>
            </w:r>
          </w:hyperlink>
          <w:hyperlink r:id="rId14" w:anchor="heading=h.kxlkdo81uux4">
            <w:r>
              <w:rPr>
                <w:color w:val="000000"/>
              </w:rPr>
              <w:t>Kết quả chính trong Báo cáo về các tiêu chí của Ban Thư ký ASEAN</w:t>
            </w:r>
            <w:r>
              <w:rPr>
                <w:color w:val="000000"/>
              </w:rPr>
              <w:tab/>
              <w:t>14</w:t>
            </w:r>
          </w:hyperlink>
        </w:p>
        <w:p w14:paraId="25C6C5A6" w14:textId="77777777" w:rsidR="006575CC" w:rsidRDefault="009F2BF5" w:rsidP="00867ACD">
          <w:pPr>
            <w:tabs>
              <w:tab w:val="left" w:pos="480"/>
              <w:tab w:val="right" w:leader="dot" w:pos="9356"/>
            </w:tabs>
            <w:spacing w:before="120" w:after="0"/>
            <w:ind w:left="142"/>
            <w:jc w:val="left"/>
            <w:rPr>
              <w:color w:val="000000"/>
            </w:rPr>
          </w:pPr>
          <w:hyperlink r:id="rId15" w:anchor="heading=h.71czydgy9tes">
            <w:r>
              <w:rPr>
                <w:color w:val="000000"/>
              </w:rPr>
              <w:t>C.</w:t>
            </w:r>
          </w:hyperlink>
          <w:hyperlink r:id="rId16" w:anchor="heading=h.71czydgy9tes">
            <w:r>
              <w:rPr>
                <w:color w:val="000000"/>
              </w:rPr>
              <w:tab/>
            </w:r>
          </w:hyperlink>
          <w:hyperlink r:id="rId17" w:anchor="heading=h.71czydgy9tes">
            <w:r>
              <w:rPr>
                <w:color w:val="000000"/>
              </w:rPr>
              <w:t>Lợi ích tiềm năng từ Hiệp định Thương mại Tự do ASEAN – GCC</w:t>
            </w:r>
            <w:r>
              <w:rPr>
                <w:color w:val="000000"/>
              </w:rPr>
              <w:tab/>
              <w:t>16</w:t>
            </w:r>
          </w:hyperlink>
        </w:p>
        <w:p w14:paraId="55993AE2" w14:textId="77777777" w:rsidR="006575CC" w:rsidRDefault="009F2BF5" w:rsidP="00867ACD">
          <w:pPr>
            <w:tabs>
              <w:tab w:val="left" w:pos="480"/>
              <w:tab w:val="right" w:leader="dot" w:pos="9356"/>
            </w:tabs>
            <w:spacing w:before="120" w:after="0"/>
            <w:ind w:left="142"/>
            <w:jc w:val="left"/>
            <w:rPr>
              <w:color w:val="000000"/>
            </w:rPr>
          </w:pPr>
          <w:hyperlink r:id="rId18" w:anchor="heading=h.5fabcgcvdfry">
            <w:r>
              <w:rPr>
                <w:color w:val="000000"/>
              </w:rPr>
              <w:t>D.</w:t>
            </w:r>
          </w:hyperlink>
          <w:hyperlink r:id="rId19" w:anchor="heading=h.5fabcgcvdfry">
            <w:r>
              <w:rPr>
                <w:color w:val="000000"/>
              </w:rPr>
              <w:tab/>
            </w:r>
          </w:hyperlink>
          <w:hyperlink r:id="rId20" w:anchor="heading=h.5fabcgcvdfry">
            <w:r>
              <w:rPr>
                <w:color w:val="000000"/>
              </w:rPr>
              <w:t>Chi phí cho việc đàm phán FTA với GCC</w:t>
            </w:r>
            <w:r>
              <w:rPr>
                <w:color w:val="000000"/>
              </w:rPr>
              <w:tab/>
              <w:t>19</w:t>
            </w:r>
          </w:hyperlink>
        </w:p>
        <w:p w14:paraId="7274D82D" w14:textId="77777777" w:rsidR="006575CC" w:rsidRDefault="009F2BF5" w:rsidP="00867ACD">
          <w:pPr>
            <w:tabs>
              <w:tab w:val="left" w:pos="480"/>
              <w:tab w:val="right" w:leader="dot" w:pos="9356"/>
            </w:tabs>
            <w:spacing w:before="120" w:after="0"/>
            <w:ind w:left="142"/>
            <w:jc w:val="left"/>
            <w:rPr>
              <w:color w:val="000000"/>
            </w:rPr>
          </w:pPr>
          <w:hyperlink r:id="rId21" w:anchor="heading=h.5z5dsguzurww">
            <w:r>
              <w:rPr>
                <w:color w:val="000000"/>
              </w:rPr>
              <w:t>E.</w:t>
            </w:r>
          </w:hyperlink>
          <w:hyperlink r:id="rId22" w:anchor="heading=h.5z5dsguzurww">
            <w:r>
              <w:rPr>
                <w:color w:val="000000"/>
              </w:rPr>
              <w:tab/>
            </w:r>
          </w:hyperlink>
          <w:hyperlink r:id="rId23" w:anchor="heading=h.5z5dsguzurww">
            <w:r>
              <w:rPr>
                <w:color w:val="000000"/>
              </w:rPr>
              <w:t>Các phương án khả thi nhằm tăng cường quan hệ kinh tế ASEAN – GCC</w:t>
            </w:r>
            <w:r>
              <w:rPr>
                <w:color w:val="000000"/>
              </w:rPr>
              <w:tab/>
              <w:t>21</w:t>
            </w:r>
          </w:hyperlink>
        </w:p>
        <w:p w14:paraId="07961BA8" w14:textId="77777777" w:rsidR="006575CC" w:rsidRDefault="009F2BF5" w:rsidP="00867ACD">
          <w:pPr>
            <w:tabs>
              <w:tab w:val="left" w:pos="960"/>
              <w:tab w:val="right" w:leader="dot" w:pos="9356"/>
            </w:tabs>
            <w:spacing w:before="120" w:after="0"/>
            <w:ind w:left="426"/>
            <w:jc w:val="left"/>
            <w:rPr>
              <w:color w:val="000000"/>
            </w:rPr>
          </w:pPr>
          <w:hyperlink r:id="rId24" w:anchor="heading=h.npctewzek1sk">
            <w:r>
              <w:rPr>
                <w:color w:val="000000"/>
              </w:rPr>
              <w:t>(a)</w:t>
            </w:r>
          </w:hyperlink>
          <w:hyperlink r:id="rId25" w:anchor="heading=h.npctewzek1sk">
            <w:r>
              <w:rPr>
                <w:color w:val="000000"/>
              </w:rPr>
              <w:tab/>
            </w:r>
          </w:hyperlink>
          <w:hyperlink r:id="rId26" w:anchor="heading=h.npctewzek1sk">
            <w:r>
              <w:rPr>
                <w:color w:val="000000"/>
              </w:rPr>
              <w:t>Hệ thống các biện pháp phi thuế quan (NTMs) và tạo thuận lợi thương mại tổng hợp ASEAN – GCC…………….</w:t>
            </w:r>
            <w:r>
              <w:rPr>
                <w:color w:val="000000"/>
              </w:rPr>
              <w:tab/>
              <w:t>22</w:t>
            </w:r>
          </w:hyperlink>
        </w:p>
        <w:p w14:paraId="24AF9F53" w14:textId="77777777" w:rsidR="006575CC" w:rsidRDefault="009F2BF5" w:rsidP="00867ACD">
          <w:pPr>
            <w:tabs>
              <w:tab w:val="left" w:pos="960"/>
              <w:tab w:val="right" w:leader="dot" w:pos="9356"/>
            </w:tabs>
            <w:spacing w:before="120" w:after="0"/>
            <w:ind w:left="426"/>
            <w:jc w:val="left"/>
            <w:rPr>
              <w:color w:val="000000"/>
            </w:rPr>
          </w:pPr>
          <w:hyperlink r:id="rId27" w:anchor="heading=h.eiba94dju19t">
            <w:r>
              <w:rPr>
                <w:color w:val="000000"/>
              </w:rPr>
              <w:t>(b)</w:t>
            </w:r>
          </w:hyperlink>
          <w:hyperlink r:id="rId28" w:anchor="heading=h.eiba94dju19t">
            <w:r>
              <w:rPr>
                <w:color w:val="000000"/>
              </w:rPr>
              <w:tab/>
            </w:r>
          </w:hyperlink>
          <w:hyperlink r:id="rId29" w:anchor="heading=h.eiba94dju19t">
            <w:r>
              <w:rPr>
                <w:color w:val="000000"/>
              </w:rPr>
              <w:t>Thương mại dịch vụ</w:t>
            </w:r>
            <w:r>
              <w:rPr>
                <w:color w:val="000000"/>
              </w:rPr>
              <w:tab/>
              <w:t>34</w:t>
            </w:r>
          </w:hyperlink>
        </w:p>
        <w:p w14:paraId="007FFBD6" w14:textId="77777777" w:rsidR="006575CC" w:rsidRDefault="009F2BF5" w:rsidP="00867ACD">
          <w:pPr>
            <w:tabs>
              <w:tab w:val="right" w:leader="dot" w:pos="9356"/>
            </w:tabs>
            <w:spacing w:before="360" w:after="0"/>
            <w:jc w:val="left"/>
            <w:rPr>
              <w:color w:val="000000"/>
            </w:rPr>
          </w:pPr>
          <w:r>
            <w:rPr>
              <w:color w:val="000000"/>
            </w:rPr>
            <w:t>Phần</w:t>
          </w:r>
          <w:hyperlink r:id="rId30" w:anchor="heading=h.f1hp6m31vc8y">
            <w:r>
              <w:rPr>
                <w:color w:val="000000"/>
              </w:rPr>
              <w:t xml:space="preserve"> 4: Kết luận và Khuyến nghị</w:t>
            </w:r>
          </w:hyperlink>
          <w:hyperlink r:id="rId31" w:anchor="heading=h.f1hp6m31vc8y">
            <w:r>
              <w:rPr>
                <w:color w:val="000000"/>
              </w:rPr>
              <w:tab/>
            </w:r>
          </w:hyperlink>
          <w:hyperlink r:id="rId32" w:anchor="heading=h.f1hp6m31vc8y">
            <w:r>
              <w:rPr>
                <w:smallCaps/>
                <w:color w:val="000000"/>
              </w:rPr>
              <w:t>40</w:t>
            </w:r>
          </w:hyperlink>
        </w:p>
        <w:p w14:paraId="48ECFB90" w14:textId="77777777" w:rsidR="006575CC" w:rsidRDefault="009F2BF5" w:rsidP="00867ACD">
          <w:pPr>
            <w:tabs>
              <w:tab w:val="right" w:leader="dot" w:pos="9356"/>
            </w:tabs>
            <w:spacing w:before="360" w:after="0"/>
            <w:jc w:val="left"/>
            <w:rPr>
              <w:color w:val="000000"/>
            </w:rPr>
          </w:pPr>
          <w:r>
            <w:rPr>
              <w:color w:val="000000"/>
            </w:rPr>
            <w:t>Tài liệu tham khảo</w:t>
          </w:r>
          <w:hyperlink r:id="rId33" w:anchor="heading=h.s6s373hf2xsv">
            <w:r>
              <w:rPr>
                <w:color w:val="000000"/>
              </w:rPr>
              <w:tab/>
            </w:r>
          </w:hyperlink>
          <w:hyperlink r:id="rId34" w:anchor="heading=h.s6s373hf2xsv">
            <w:r>
              <w:rPr>
                <w:smallCaps/>
                <w:color w:val="000000"/>
              </w:rPr>
              <w:t>42</w:t>
            </w:r>
          </w:hyperlink>
        </w:p>
        <w:p w14:paraId="467B8D58" w14:textId="77777777" w:rsidR="006575CC" w:rsidRDefault="009F2BF5" w:rsidP="00867ACD">
          <w:pPr>
            <w:tabs>
              <w:tab w:val="right" w:leader="dot" w:pos="9356"/>
            </w:tabs>
            <w:spacing w:before="360" w:after="0"/>
            <w:jc w:val="left"/>
            <w:rPr>
              <w:color w:val="000000"/>
            </w:rPr>
          </w:pPr>
          <w:r>
            <w:rPr>
              <w:color w:val="000000"/>
            </w:rPr>
            <w:t>Phụ lục</w:t>
          </w:r>
          <w:hyperlink r:id="rId35" w:anchor="heading=h.pzgzcree27dy">
            <w:r>
              <w:rPr>
                <w:color w:val="000000"/>
              </w:rPr>
              <w:t xml:space="preserve"> 1</w:t>
            </w:r>
          </w:hyperlink>
          <w:hyperlink r:id="rId36" w:anchor="heading=h.pzgzcree27dy">
            <w:r>
              <w:rPr>
                <w:color w:val="000000"/>
              </w:rPr>
              <w:tab/>
            </w:r>
          </w:hyperlink>
          <w:hyperlink r:id="rId37" w:anchor="heading=h.pzgzcree27dy">
            <w:r>
              <w:rPr>
                <w:smallCaps/>
                <w:color w:val="000000"/>
              </w:rPr>
              <w:t>45</w:t>
            </w:r>
          </w:hyperlink>
          <w:r>
            <w:fldChar w:fldCharType="end"/>
          </w:r>
        </w:p>
      </w:sdtContent>
    </w:sdt>
    <w:p w14:paraId="0CEA3998" w14:textId="77777777" w:rsidR="006575CC" w:rsidRDefault="009F2BF5">
      <w:pPr>
        <w:spacing w:line="360" w:lineRule="auto"/>
        <w:rPr>
          <w:b/>
          <w:bCs/>
        </w:rPr>
      </w:pPr>
      <w:r>
        <w:br w:type="page"/>
      </w:r>
    </w:p>
    <w:p w14:paraId="10B040C8" w14:textId="50C2893C" w:rsidR="006575CC" w:rsidRDefault="009F2BF5">
      <w:pPr>
        <w:pStyle w:val="Heading1"/>
        <w:spacing w:before="360" w:after="80"/>
        <w:rPr>
          <w:sz w:val="28"/>
          <w:szCs w:val="28"/>
        </w:rPr>
      </w:pPr>
      <w:bookmarkStart w:id="2" w:name="_heading=h.t2bb4r5y090r" w:colFirst="0" w:colLast="0"/>
      <w:bookmarkEnd w:id="2"/>
      <w:r>
        <w:rPr>
          <w:sz w:val="28"/>
          <w:szCs w:val="28"/>
        </w:rPr>
        <w:lastRenderedPageBreak/>
        <w:t>Danh mục bảng</w:t>
      </w:r>
      <w:r w:rsidR="001425FF">
        <w:rPr>
          <w:sz w:val="28"/>
          <w:szCs w:val="28"/>
        </w:rPr>
        <w:t xml:space="preserve"> biểu</w:t>
      </w:r>
    </w:p>
    <w:p w14:paraId="54B1F3D9" w14:textId="77777777" w:rsidR="006575CC" w:rsidRDefault="006575CC">
      <w:pPr>
        <w:spacing w:before="0" w:after="0"/>
        <w:jc w:val="left"/>
        <w:rPr>
          <w:color w:val="000000"/>
        </w:rPr>
      </w:pPr>
    </w:p>
    <w:sdt>
      <w:sdtPr>
        <w:id w:val="-1046996779"/>
        <w:docPartObj>
          <w:docPartGallery w:val="Table of Contents"/>
          <w:docPartUnique/>
        </w:docPartObj>
      </w:sdtPr>
      <w:sdtContent>
        <w:p w14:paraId="49E4B8B4" w14:textId="77777777" w:rsidR="006575CC" w:rsidRDefault="009F2BF5" w:rsidP="001425FF">
          <w:pPr>
            <w:tabs>
              <w:tab w:val="right" w:pos="9010"/>
            </w:tabs>
            <w:spacing w:before="0" w:after="0" w:line="480" w:lineRule="auto"/>
            <w:jc w:val="left"/>
            <w:rPr>
              <w:rFonts w:ascii="Aptos" w:eastAsia="Aptos" w:hAnsi="Aptos" w:cs="Aptos"/>
              <w:color w:val="000000"/>
            </w:rPr>
          </w:pPr>
          <w:r>
            <w:fldChar w:fldCharType="begin"/>
          </w:r>
          <w:r>
            <w:instrText xml:space="preserve"> TOC \h \u \z \t "Heading 1,1,Heading 2,2,Heading 3,3,Heading 4,4,Heading 5,5,Heading 6,6,"</w:instrText>
          </w:r>
          <w:r>
            <w:fldChar w:fldCharType="separate"/>
          </w:r>
          <w:r>
            <w:rPr>
              <w:color w:val="000000"/>
            </w:rPr>
            <w:t>Bảng</w:t>
          </w:r>
          <w:hyperlink r:id="rId38" w:anchor="heading=h.1m8zfg6jgpz5">
            <w:r>
              <w:rPr>
                <w:color w:val="000000"/>
              </w:rPr>
              <w:t xml:space="preserve"> 1. Các chỉ số kinh tế xã hội của GCC</w:t>
            </w:r>
          </w:hyperlink>
          <w:hyperlink r:id="rId39" w:anchor="heading=h.1m8zfg6jgpz5">
            <w:r>
              <w:rPr>
                <w:rFonts w:ascii="Aptos" w:eastAsia="Aptos" w:hAnsi="Aptos" w:cs="Aptos"/>
                <w:color w:val="000000"/>
              </w:rPr>
              <w:tab/>
              <w:t>3</w:t>
            </w:r>
          </w:hyperlink>
        </w:p>
        <w:p w14:paraId="668EA84E" w14:textId="77777777" w:rsidR="006575CC" w:rsidRDefault="009F2BF5" w:rsidP="001425FF">
          <w:pPr>
            <w:tabs>
              <w:tab w:val="right" w:pos="9010"/>
            </w:tabs>
            <w:spacing w:before="0" w:after="0" w:line="480" w:lineRule="auto"/>
            <w:jc w:val="left"/>
            <w:rPr>
              <w:rFonts w:ascii="Aptos" w:eastAsia="Aptos" w:hAnsi="Aptos" w:cs="Aptos"/>
              <w:color w:val="000000"/>
            </w:rPr>
          </w:pPr>
          <w:r>
            <w:rPr>
              <w:color w:val="000000"/>
            </w:rPr>
            <w:t>Bảng 2. Các đối tác thương mại hàng hóa lớn nhất của GCC, năm 2023</w:t>
          </w:r>
          <w:hyperlink r:id="rId40" w:anchor="heading=h.vlfyxy6gc6gz">
            <w:r>
              <w:rPr>
                <w:rFonts w:ascii="Aptos" w:eastAsia="Aptos" w:hAnsi="Aptos" w:cs="Aptos"/>
                <w:color w:val="000000"/>
              </w:rPr>
              <w:tab/>
              <w:t>3</w:t>
            </w:r>
          </w:hyperlink>
        </w:p>
        <w:p w14:paraId="09DBAD27" w14:textId="77777777" w:rsidR="006575CC" w:rsidRDefault="009F2BF5" w:rsidP="001425FF">
          <w:pPr>
            <w:tabs>
              <w:tab w:val="right" w:pos="9010"/>
            </w:tabs>
            <w:spacing w:before="0" w:after="0" w:line="480" w:lineRule="auto"/>
            <w:jc w:val="left"/>
            <w:rPr>
              <w:rFonts w:ascii="Aptos" w:eastAsia="Aptos" w:hAnsi="Aptos" w:cs="Aptos"/>
              <w:color w:val="000000"/>
            </w:rPr>
          </w:pPr>
          <w:r>
            <w:rPr>
              <w:color w:val="000000"/>
            </w:rPr>
            <w:t>Bảng 3. Các chỉ số kinh tế xã hội ASEAN</w:t>
          </w:r>
          <w:hyperlink r:id="rId41" w:anchor="heading=h.jrhuqc93r3oe">
            <w:r>
              <w:rPr>
                <w:rFonts w:ascii="Aptos" w:eastAsia="Aptos" w:hAnsi="Aptos" w:cs="Aptos"/>
                <w:color w:val="000000"/>
              </w:rPr>
              <w:tab/>
              <w:t>5</w:t>
            </w:r>
          </w:hyperlink>
        </w:p>
        <w:p w14:paraId="4B8E6B76" w14:textId="77777777" w:rsidR="006575CC" w:rsidRDefault="009F2BF5" w:rsidP="001425FF">
          <w:pPr>
            <w:tabs>
              <w:tab w:val="right" w:pos="9010"/>
            </w:tabs>
            <w:spacing w:before="0" w:after="0" w:line="480" w:lineRule="auto"/>
            <w:jc w:val="left"/>
            <w:rPr>
              <w:rFonts w:ascii="Aptos" w:eastAsia="Aptos" w:hAnsi="Aptos" w:cs="Aptos"/>
              <w:color w:val="000000"/>
            </w:rPr>
          </w:pPr>
          <w:r>
            <w:rPr>
              <w:color w:val="000000"/>
            </w:rPr>
            <w:t>Bảng 4. Các đối tác thương mại hàng hóa lớn nhất của ASEAN, năm 2023</w:t>
          </w:r>
          <w:hyperlink r:id="rId42" w:anchor="heading=h.pcf73i6ot6cm">
            <w:r>
              <w:rPr>
                <w:rFonts w:ascii="Aptos" w:eastAsia="Aptos" w:hAnsi="Aptos" w:cs="Aptos"/>
                <w:color w:val="000000"/>
              </w:rPr>
              <w:tab/>
              <w:t>5</w:t>
            </w:r>
          </w:hyperlink>
        </w:p>
        <w:p w14:paraId="31BD73D9" w14:textId="77777777" w:rsidR="006575CC" w:rsidRDefault="009F2BF5" w:rsidP="001425FF">
          <w:pPr>
            <w:tabs>
              <w:tab w:val="right" w:pos="9010"/>
            </w:tabs>
            <w:spacing w:before="0" w:after="0" w:line="480" w:lineRule="auto"/>
            <w:jc w:val="left"/>
            <w:rPr>
              <w:rFonts w:ascii="Aptos" w:eastAsia="Aptos" w:hAnsi="Aptos" w:cs="Aptos"/>
              <w:color w:val="000000"/>
            </w:rPr>
          </w:pPr>
          <w:r>
            <w:rPr>
              <w:color w:val="000000"/>
            </w:rPr>
            <w:t>Bảng 5. Thương mại song phương của các quốc gia thành viên ASEAN với các thành viên GCC</w:t>
          </w:r>
          <w:hyperlink r:id="rId43" w:anchor="heading=h.c534z3n5485l">
            <w:r>
              <w:rPr>
                <w:rFonts w:ascii="Aptos" w:eastAsia="Aptos" w:hAnsi="Aptos" w:cs="Aptos"/>
                <w:color w:val="000000"/>
              </w:rPr>
              <w:tab/>
              <w:t>7</w:t>
            </w:r>
          </w:hyperlink>
        </w:p>
        <w:p w14:paraId="4C120779" w14:textId="77777777" w:rsidR="006575CC" w:rsidRDefault="009F2BF5" w:rsidP="001425FF">
          <w:pPr>
            <w:tabs>
              <w:tab w:val="right" w:pos="9010"/>
            </w:tabs>
            <w:spacing w:before="0" w:after="0" w:line="480" w:lineRule="auto"/>
            <w:jc w:val="left"/>
            <w:rPr>
              <w:rFonts w:ascii="Aptos" w:eastAsia="Aptos" w:hAnsi="Aptos" w:cs="Aptos"/>
              <w:color w:val="000000"/>
            </w:rPr>
          </w:pPr>
          <w:r>
            <w:rPr>
              <w:color w:val="000000"/>
            </w:rPr>
            <w:t>Bảng 6. Thương mại song phương của GCC với các quốc gia thành viên ASEAN</w:t>
          </w:r>
          <w:hyperlink r:id="rId44" w:anchor="heading=h.ym3lnpd4ijrh">
            <w:r>
              <w:rPr>
                <w:rFonts w:ascii="Aptos" w:eastAsia="Aptos" w:hAnsi="Aptos" w:cs="Aptos"/>
                <w:color w:val="000000"/>
              </w:rPr>
              <w:tab/>
              <w:t>8</w:t>
            </w:r>
          </w:hyperlink>
        </w:p>
        <w:p w14:paraId="6AB59D46" w14:textId="77777777" w:rsidR="006575CC" w:rsidRDefault="009F2BF5" w:rsidP="001425FF">
          <w:pPr>
            <w:tabs>
              <w:tab w:val="right" w:pos="9010"/>
            </w:tabs>
            <w:spacing w:before="0" w:after="0" w:line="480" w:lineRule="auto"/>
            <w:jc w:val="left"/>
            <w:rPr>
              <w:rFonts w:ascii="Aptos" w:eastAsia="Aptos" w:hAnsi="Aptos" w:cs="Aptos"/>
              <w:color w:val="000000"/>
            </w:rPr>
          </w:pPr>
          <w:r>
            <w:rPr>
              <w:color w:val="000000"/>
            </w:rPr>
            <w:t>Bảng 7. Dòng vốn FDI chảy vào ASEAN theo quốc gia nguồn, 2023</w:t>
          </w:r>
          <w:hyperlink r:id="rId45" w:anchor="heading=h.re64d4dxq2qm">
            <w:r>
              <w:rPr>
                <w:rFonts w:ascii="Aptos" w:eastAsia="Aptos" w:hAnsi="Aptos" w:cs="Aptos"/>
                <w:color w:val="000000"/>
              </w:rPr>
              <w:tab/>
              <w:t>8</w:t>
            </w:r>
          </w:hyperlink>
        </w:p>
        <w:p w14:paraId="545F6AFC" w14:textId="77777777" w:rsidR="006575CC" w:rsidRDefault="009F2BF5" w:rsidP="001425FF">
          <w:pPr>
            <w:tabs>
              <w:tab w:val="right" w:pos="9010"/>
            </w:tabs>
            <w:spacing w:before="0" w:after="0" w:line="480" w:lineRule="auto"/>
            <w:jc w:val="left"/>
            <w:rPr>
              <w:rFonts w:ascii="Aptos" w:eastAsia="Aptos" w:hAnsi="Aptos" w:cs="Aptos"/>
              <w:color w:val="000000"/>
            </w:rPr>
          </w:pPr>
          <w:r>
            <w:rPr>
              <w:color w:val="000000"/>
            </w:rPr>
            <w:t>Bảng 8. Chỉ định các nước thành viên ASEAN làm Điều phối viên quốc gia cho các Hiệp định thương mại tự do ASEAN</w:t>
          </w:r>
          <w:hyperlink r:id="rId46" w:anchor="heading=h.lelql2le6xez">
            <w:r>
              <w:rPr>
                <w:rFonts w:ascii="Aptos" w:eastAsia="Aptos" w:hAnsi="Aptos" w:cs="Aptos"/>
                <w:color w:val="000000"/>
              </w:rPr>
              <w:tab/>
              <w:t>14</w:t>
            </w:r>
          </w:hyperlink>
        </w:p>
        <w:p w14:paraId="6B98163E" w14:textId="77777777" w:rsidR="006575CC" w:rsidRDefault="009F2BF5" w:rsidP="001425FF">
          <w:pPr>
            <w:tabs>
              <w:tab w:val="right" w:pos="9010"/>
            </w:tabs>
            <w:spacing w:before="0" w:after="0" w:line="480" w:lineRule="auto"/>
            <w:jc w:val="left"/>
            <w:rPr>
              <w:rFonts w:ascii="Aptos" w:eastAsia="Aptos" w:hAnsi="Aptos" w:cs="Aptos"/>
              <w:color w:val="000000"/>
            </w:rPr>
          </w:pPr>
          <w:r>
            <w:rPr>
              <w:color w:val="000000"/>
            </w:rPr>
            <w:t>Bảng 9. Tỷ lệ thực hiện các biện pháp tạo thuận lợi thương mại tại các nước ASEAN và GCC vào năm 2023</w:t>
          </w:r>
          <w:hyperlink r:id="rId47" w:anchor="heading=h.ywq8wdjszsm0">
            <w:r>
              <w:rPr>
                <w:rFonts w:ascii="Aptos" w:eastAsia="Aptos" w:hAnsi="Aptos" w:cs="Aptos"/>
                <w:color w:val="000000"/>
              </w:rPr>
              <w:tab/>
              <w:t>32</w:t>
            </w:r>
          </w:hyperlink>
          <w:r>
            <w:fldChar w:fldCharType="end"/>
          </w:r>
        </w:p>
      </w:sdtContent>
    </w:sdt>
    <w:p w14:paraId="449A3A6A" w14:textId="77777777" w:rsidR="006575CC" w:rsidRDefault="006575CC">
      <w:pPr>
        <w:widowControl w:val="0"/>
        <w:spacing w:before="0" w:after="0" w:line="276" w:lineRule="auto"/>
        <w:jc w:val="left"/>
        <w:rPr>
          <w:rFonts w:ascii="Aptos" w:eastAsia="Aptos" w:hAnsi="Aptos" w:cs="Aptos"/>
          <w:color w:val="000000"/>
        </w:rPr>
      </w:pPr>
    </w:p>
    <w:sdt>
      <w:sdtPr>
        <w:id w:val="1912379410"/>
        <w:docPartObj>
          <w:docPartGallery w:val="Table of Contents"/>
          <w:docPartUnique/>
        </w:docPartObj>
      </w:sdtPr>
      <w:sdtContent>
        <w:p w14:paraId="6BBFD1F1" w14:textId="77777777" w:rsidR="006575CC" w:rsidRDefault="009F2BF5">
          <w:pPr>
            <w:tabs>
              <w:tab w:val="right" w:pos="9010"/>
            </w:tabs>
            <w:spacing w:before="0" w:after="0" w:line="480" w:lineRule="auto"/>
            <w:jc w:val="left"/>
            <w:rPr>
              <w:rFonts w:ascii="Aptos" w:eastAsia="Aptos" w:hAnsi="Aptos" w:cs="Aptos"/>
              <w:color w:val="000000"/>
            </w:rPr>
          </w:pPr>
          <w:r>
            <w:fldChar w:fldCharType="begin"/>
          </w:r>
          <w:r>
            <w:instrText xml:space="preserve"> TOC \h \u \z \t "Heading 1,1,Heading 2,2,Heading 3,3,Heading 4,4,Heading 5,5,Heading 6,6,"</w:instrText>
          </w:r>
          <w:r>
            <w:fldChar w:fldCharType="separate"/>
          </w:r>
          <w:r>
            <w:rPr>
              <w:color w:val="000000"/>
            </w:rPr>
            <w:t>Bảng</w:t>
          </w:r>
          <w:hyperlink r:id="rId48" w:anchor="heading=h.7ys0wpkdo9et">
            <w:r>
              <w:rPr>
                <w:color w:val="000000"/>
              </w:rPr>
              <w:t xml:space="preserve"> A1. Tóm tắt Tài liệu Tầm nhìn của các Quốc gia GCC</w:t>
            </w:r>
          </w:hyperlink>
          <w:hyperlink r:id="rId49" w:anchor="heading=h.7ys0wpkdo9et">
            <w:r>
              <w:rPr>
                <w:rFonts w:ascii="Aptos" w:eastAsia="Aptos" w:hAnsi="Aptos" w:cs="Aptos"/>
                <w:color w:val="000000"/>
              </w:rPr>
              <w:tab/>
              <w:t>42</w:t>
            </w:r>
          </w:hyperlink>
        </w:p>
        <w:p w14:paraId="38E5F7CC" w14:textId="77777777" w:rsidR="006575CC" w:rsidRDefault="009F2BF5">
          <w:pPr>
            <w:spacing w:before="0" w:after="0" w:line="480" w:lineRule="auto"/>
            <w:jc w:val="left"/>
            <w:rPr>
              <w:color w:val="000000"/>
            </w:rPr>
          </w:pPr>
          <w:r>
            <w:fldChar w:fldCharType="end"/>
          </w:r>
        </w:p>
      </w:sdtContent>
    </w:sdt>
    <w:p w14:paraId="696020A7" w14:textId="77777777" w:rsidR="006575CC" w:rsidRDefault="009F2BF5">
      <w:pPr>
        <w:pStyle w:val="Heading1"/>
        <w:spacing w:before="360" w:after="80"/>
        <w:rPr>
          <w:sz w:val="28"/>
          <w:szCs w:val="28"/>
        </w:rPr>
      </w:pPr>
      <w:bookmarkStart w:id="3" w:name="_heading=h.3pdajmcyue09" w:colFirst="0" w:colLast="0"/>
      <w:bookmarkEnd w:id="3"/>
      <w:r>
        <w:br w:type="page"/>
      </w:r>
    </w:p>
    <w:p w14:paraId="27D194D0" w14:textId="77777777" w:rsidR="006575CC" w:rsidRDefault="009F2BF5">
      <w:pPr>
        <w:pStyle w:val="Heading1"/>
        <w:spacing w:before="360" w:after="80"/>
        <w:rPr>
          <w:sz w:val="28"/>
          <w:szCs w:val="28"/>
        </w:rPr>
      </w:pPr>
      <w:bookmarkStart w:id="4" w:name="_heading=h.a8mx3qehqww2" w:colFirst="0" w:colLast="0"/>
      <w:bookmarkEnd w:id="4"/>
      <w:r>
        <w:rPr>
          <w:sz w:val="28"/>
          <w:szCs w:val="28"/>
        </w:rPr>
        <w:lastRenderedPageBreak/>
        <w:t xml:space="preserve">Danh mục các hình minh họa </w:t>
      </w:r>
    </w:p>
    <w:p w14:paraId="2E46C9DA" w14:textId="77777777" w:rsidR="006575CC" w:rsidRDefault="006575CC">
      <w:pPr>
        <w:pStyle w:val="Heading1"/>
        <w:spacing w:before="360" w:after="80"/>
        <w:rPr>
          <w:sz w:val="28"/>
          <w:szCs w:val="28"/>
        </w:rPr>
      </w:pPr>
    </w:p>
    <w:sdt>
      <w:sdtPr>
        <w:id w:val="-671529284"/>
        <w:docPartObj>
          <w:docPartGallery w:val="Table of Contents"/>
          <w:docPartUnique/>
        </w:docPartObj>
      </w:sdtPr>
      <w:sdtContent>
        <w:p w14:paraId="6CBA8550" w14:textId="77777777" w:rsidR="006575CC" w:rsidRDefault="009F2BF5">
          <w:pPr>
            <w:widowControl w:val="0"/>
            <w:tabs>
              <w:tab w:val="right" w:pos="12000"/>
            </w:tabs>
            <w:spacing w:before="60" w:after="0"/>
            <w:jc w:val="left"/>
            <w:rPr>
              <w:color w:val="000000"/>
              <w:sz w:val="20"/>
              <w:szCs w:val="20"/>
            </w:rPr>
          </w:pPr>
          <w:r>
            <w:fldChar w:fldCharType="begin"/>
          </w:r>
          <w:r>
            <w:instrText xml:space="preserve"> TOC \h \u \z \t "Heading 1,1,Heading 2,2,Heading 3,3,Heading 4,4,Heading 5,5,Heading 6,6,"</w:instrText>
          </w:r>
          <w:r>
            <w:fldChar w:fldCharType="separate"/>
          </w:r>
          <w:hyperlink w:anchor="_heading=h.qv7ych5ki9qs">
            <w:r>
              <w:rPr>
                <w:color w:val="000000"/>
                <w:sz w:val="20"/>
                <w:szCs w:val="20"/>
              </w:rPr>
              <w:t>Hình 1. Ảnh hưởng Ước tính của FTA ASEAN-GCC đến Tổng GDP của ASEAN (Năm 1-8)</w:t>
            </w:r>
            <w:r>
              <w:rPr>
                <w:color w:val="000000"/>
                <w:sz w:val="20"/>
                <w:szCs w:val="20"/>
              </w:rPr>
              <w:tab/>
              <w:t>23</w:t>
            </w:r>
          </w:hyperlink>
        </w:p>
        <w:p w14:paraId="4A993517" w14:textId="77777777" w:rsidR="006575CC" w:rsidRDefault="009F2BF5">
          <w:pPr>
            <w:widowControl w:val="0"/>
            <w:tabs>
              <w:tab w:val="right" w:pos="12000"/>
            </w:tabs>
            <w:spacing w:before="60" w:after="0"/>
            <w:jc w:val="left"/>
            <w:rPr>
              <w:color w:val="000000"/>
              <w:sz w:val="20"/>
              <w:szCs w:val="20"/>
            </w:rPr>
          </w:pPr>
          <w:hyperlink w:anchor="_heading=h.gp9kt9q1x2rr">
            <w:r>
              <w:rPr>
                <w:color w:val="000000"/>
                <w:sz w:val="20"/>
                <w:szCs w:val="20"/>
              </w:rPr>
              <w:t>Hình 2. Dự báo xuất khẩu của ASEAN sang GCC khi có và không có FTA (Năm 1 – 8)</w:t>
            </w:r>
            <w:r>
              <w:rPr>
                <w:color w:val="000000"/>
                <w:sz w:val="20"/>
                <w:szCs w:val="20"/>
              </w:rPr>
              <w:tab/>
              <w:t>24</w:t>
            </w:r>
          </w:hyperlink>
        </w:p>
        <w:p w14:paraId="729683E7" w14:textId="77777777" w:rsidR="006575CC" w:rsidRDefault="009F2BF5">
          <w:pPr>
            <w:widowControl w:val="0"/>
            <w:tabs>
              <w:tab w:val="right" w:pos="12000"/>
            </w:tabs>
            <w:spacing w:before="60" w:after="0"/>
            <w:jc w:val="left"/>
            <w:rPr>
              <w:color w:val="000000"/>
              <w:sz w:val="20"/>
              <w:szCs w:val="20"/>
            </w:rPr>
          </w:pPr>
          <w:hyperlink w:anchor="_heading=h.ya5fm1jncel9">
            <w:r>
              <w:rPr>
                <w:color w:val="000000"/>
                <w:sz w:val="20"/>
                <w:szCs w:val="20"/>
              </w:rPr>
              <w:t xml:space="preserve">Hình 3. Dự báo dòng vốn FDI từ GCC vào ASEAN </w:t>
            </w:r>
          </w:hyperlink>
          <w:hyperlink w:anchor="_heading=h.gp9kt9q1x2rr">
            <w:r>
              <w:rPr>
                <w:color w:val="000000"/>
                <w:sz w:val="20"/>
                <w:szCs w:val="20"/>
              </w:rPr>
              <w:t>khi có và không có</w:t>
            </w:r>
          </w:hyperlink>
          <w:hyperlink w:anchor="_heading=h.ya5fm1jncel9">
            <w:r>
              <w:rPr>
                <w:color w:val="000000"/>
                <w:sz w:val="20"/>
                <w:szCs w:val="20"/>
              </w:rPr>
              <w:t xml:space="preserve"> FTA (Năm 1 – 8)</w:t>
            </w:r>
            <w:r>
              <w:rPr>
                <w:color w:val="000000"/>
                <w:sz w:val="20"/>
                <w:szCs w:val="20"/>
              </w:rPr>
              <w:tab/>
              <w:t>24</w:t>
            </w:r>
          </w:hyperlink>
        </w:p>
        <w:p w14:paraId="134F18E0" w14:textId="77777777" w:rsidR="006575CC" w:rsidRDefault="009F2BF5">
          <w:pPr>
            <w:widowControl w:val="0"/>
            <w:tabs>
              <w:tab w:val="right" w:pos="12000"/>
            </w:tabs>
            <w:spacing w:before="60" w:after="0"/>
            <w:jc w:val="left"/>
            <w:rPr>
              <w:color w:val="000000"/>
              <w:sz w:val="20"/>
              <w:szCs w:val="20"/>
            </w:rPr>
          </w:pPr>
          <w:hyperlink w:anchor="_heading=h.wisvq5c58mbm">
            <w:r>
              <w:rPr>
                <w:color w:val="000000"/>
                <w:sz w:val="20"/>
                <w:szCs w:val="20"/>
              </w:rPr>
              <w:t xml:space="preserve">Hình 4. Dự báo dòng vốn FDI từ GCC vào ASEAN </w:t>
            </w:r>
          </w:hyperlink>
          <w:hyperlink w:anchor="_heading=h.gp9kt9q1x2rr">
            <w:r>
              <w:rPr>
                <w:color w:val="000000"/>
                <w:sz w:val="20"/>
                <w:szCs w:val="20"/>
              </w:rPr>
              <w:t>khi có và không có FTA</w:t>
            </w:r>
          </w:hyperlink>
          <w:hyperlink w:anchor="_heading=h.wisvq5c58mbm">
            <w:r>
              <w:rPr>
                <w:color w:val="000000"/>
                <w:sz w:val="20"/>
                <w:szCs w:val="20"/>
              </w:rPr>
              <w:t xml:space="preserve"> (Năm 1 – 8)</w:t>
            </w:r>
            <w:r>
              <w:rPr>
                <w:color w:val="000000"/>
                <w:sz w:val="20"/>
                <w:szCs w:val="20"/>
              </w:rPr>
              <w:tab/>
              <w:t>25</w:t>
            </w:r>
          </w:hyperlink>
        </w:p>
        <w:p w14:paraId="5C7A08D6" w14:textId="77777777" w:rsidR="006575CC" w:rsidRDefault="009F2BF5">
          <w:pPr>
            <w:widowControl w:val="0"/>
            <w:tabs>
              <w:tab w:val="right" w:pos="12000"/>
            </w:tabs>
            <w:spacing w:before="60" w:after="0"/>
            <w:jc w:val="left"/>
            <w:rPr>
              <w:color w:val="000000"/>
              <w:sz w:val="20"/>
              <w:szCs w:val="20"/>
            </w:rPr>
          </w:pPr>
          <w:hyperlink w:anchor="_heading=h.1iyvdzt86ng2">
            <w:r>
              <w:rPr>
                <w:color w:val="000000"/>
                <w:sz w:val="20"/>
                <w:szCs w:val="20"/>
              </w:rPr>
              <w:t>Hình 5. Thương mại của GCC với từng Quốc gia Thành viên ASEAN, 2023 (tỷ USD)</w:t>
            </w:r>
            <w:r>
              <w:rPr>
                <w:color w:val="000000"/>
                <w:sz w:val="20"/>
                <w:szCs w:val="20"/>
              </w:rPr>
              <w:tab/>
              <w:t>28</w:t>
            </w:r>
          </w:hyperlink>
        </w:p>
        <w:p w14:paraId="50B1F42D" w14:textId="77777777" w:rsidR="006575CC" w:rsidRDefault="009F2BF5">
          <w:pPr>
            <w:widowControl w:val="0"/>
            <w:tabs>
              <w:tab w:val="right" w:pos="12000"/>
            </w:tabs>
            <w:spacing w:before="60" w:after="0"/>
            <w:jc w:val="left"/>
            <w:rPr>
              <w:color w:val="000000"/>
              <w:sz w:val="20"/>
              <w:szCs w:val="20"/>
            </w:rPr>
          </w:pPr>
          <w:hyperlink w:anchor="_heading=h.4l3uxp9fwvlp">
            <w:r>
              <w:rPr>
                <w:color w:val="000000"/>
                <w:sz w:val="20"/>
                <w:szCs w:val="20"/>
              </w:rPr>
              <w:t>Hình 6. Thương mại của ASEAN với từng quốc gia thành viên GCC, 2023 (tỷ USD)</w:t>
            </w:r>
            <w:r>
              <w:rPr>
                <w:color w:val="000000"/>
                <w:sz w:val="20"/>
                <w:szCs w:val="20"/>
              </w:rPr>
              <w:tab/>
              <w:t>28</w:t>
            </w:r>
          </w:hyperlink>
        </w:p>
        <w:p w14:paraId="55F1348B" w14:textId="77777777" w:rsidR="006575CC" w:rsidRDefault="009F2BF5">
          <w:pPr>
            <w:widowControl w:val="0"/>
            <w:tabs>
              <w:tab w:val="right" w:pos="12000"/>
            </w:tabs>
            <w:spacing w:before="60" w:after="0"/>
            <w:jc w:val="left"/>
            <w:rPr>
              <w:color w:val="000000"/>
              <w:sz w:val="20"/>
              <w:szCs w:val="20"/>
            </w:rPr>
          </w:pPr>
          <w:hyperlink w:anchor="_heading=h.t5byx5sidr70">
            <w:r>
              <w:rPr>
                <w:color w:val="000000"/>
                <w:sz w:val="20"/>
                <w:szCs w:val="20"/>
              </w:rPr>
              <w:t>Hình 7. Tổng số lượng và phân bổ các biện pháp phi thuế quan (NTMs) mà ASEAN và GCC áp dụng đối với nhau</w:t>
            </w:r>
            <w:r>
              <w:rPr>
                <w:color w:val="000000"/>
                <w:sz w:val="20"/>
                <w:szCs w:val="20"/>
              </w:rPr>
              <w:tab/>
              <w:t>30</w:t>
            </w:r>
          </w:hyperlink>
        </w:p>
        <w:p w14:paraId="21799C4E" w14:textId="77777777" w:rsidR="006575CC" w:rsidRDefault="009F2BF5">
          <w:pPr>
            <w:widowControl w:val="0"/>
            <w:tabs>
              <w:tab w:val="right" w:pos="12000"/>
            </w:tabs>
            <w:spacing w:before="60" w:after="0"/>
            <w:jc w:val="left"/>
            <w:rPr>
              <w:color w:val="000000"/>
              <w:sz w:val="20"/>
              <w:szCs w:val="20"/>
            </w:rPr>
          </w:pPr>
          <w:r>
            <w:rPr>
              <w:color w:val="000000"/>
              <w:sz w:val="20"/>
              <w:szCs w:val="20"/>
            </w:rPr>
            <w:t>Hình 8. Tỷ lệ các biện pháp phi thuế quan (NTMs) do các quốc gia GCC áp đặt đối với nhập khẩu từ ASEAN</w:t>
          </w:r>
          <w:r>
            <w:rPr>
              <w:color w:val="000000"/>
              <w:sz w:val="20"/>
              <w:szCs w:val="20"/>
            </w:rPr>
            <w:tab/>
            <w:t>32</w:t>
          </w:r>
        </w:p>
        <w:p w14:paraId="516E0DB7" w14:textId="77777777" w:rsidR="006575CC" w:rsidRDefault="009F2BF5">
          <w:pPr>
            <w:widowControl w:val="0"/>
            <w:tabs>
              <w:tab w:val="right" w:pos="12000"/>
            </w:tabs>
            <w:spacing w:before="60" w:after="0"/>
            <w:jc w:val="left"/>
            <w:rPr>
              <w:color w:val="000000"/>
              <w:sz w:val="20"/>
              <w:szCs w:val="20"/>
            </w:rPr>
          </w:pPr>
          <w:hyperlink w:anchor="_heading=h.ybjrldln9sfv">
            <w:r>
              <w:rPr>
                <w:color w:val="000000"/>
                <w:sz w:val="20"/>
                <w:szCs w:val="20"/>
              </w:rPr>
              <w:t>Hình 9. Tỷ lệ các biện pháp phi thuế quan (NTMs) do các quốc gia ASEAN áp đặt đối với nhập khẩu từ GCC</w:t>
            </w:r>
            <w:r>
              <w:rPr>
                <w:color w:val="000000"/>
                <w:sz w:val="20"/>
                <w:szCs w:val="20"/>
              </w:rPr>
              <w:tab/>
              <w:t>32</w:t>
            </w:r>
          </w:hyperlink>
        </w:p>
        <w:p w14:paraId="0610F3DC" w14:textId="77777777" w:rsidR="006575CC" w:rsidRDefault="009F2BF5">
          <w:pPr>
            <w:widowControl w:val="0"/>
            <w:tabs>
              <w:tab w:val="right" w:pos="12000"/>
            </w:tabs>
            <w:spacing w:before="60" w:after="0"/>
            <w:jc w:val="left"/>
            <w:rPr>
              <w:color w:val="000000"/>
              <w:sz w:val="20"/>
              <w:szCs w:val="20"/>
            </w:rPr>
          </w:pPr>
          <w:hyperlink w:anchor="_heading=h.e192g86gupiz">
            <w:r>
              <w:rPr>
                <w:color w:val="000000"/>
                <w:sz w:val="20"/>
                <w:szCs w:val="20"/>
              </w:rPr>
              <w:t>Hình 10. Tỷ lệ bao phủ các biện pháp phi thuế quan của các nước ASEAN và GCC theo chương NTM và ngành rộng đối với hàng nhập khẩu lẫn nhau</w:t>
            </w:r>
            <w:r>
              <w:rPr>
                <w:color w:val="000000"/>
                <w:sz w:val="20"/>
                <w:szCs w:val="20"/>
              </w:rPr>
              <w:tab/>
              <w:t>33</w:t>
            </w:r>
          </w:hyperlink>
        </w:p>
        <w:p w14:paraId="5367F23F" w14:textId="77777777" w:rsidR="006575CC" w:rsidRDefault="009F2BF5">
          <w:pPr>
            <w:widowControl w:val="0"/>
            <w:tabs>
              <w:tab w:val="right" w:pos="12000"/>
            </w:tabs>
            <w:spacing w:before="60" w:after="0"/>
            <w:jc w:val="left"/>
            <w:rPr>
              <w:color w:val="000000"/>
              <w:sz w:val="20"/>
              <w:szCs w:val="20"/>
            </w:rPr>
          </w:pPr>
          <w:hyperlink w:anchor="_heading=h.qi2ye6mplgf1">
            <w:r>
              <w:rPr>
                <w:color w:val="000000"/>
                <w:sz w:val="20"/>
                <w:szCs w:val="20"/>
              </w:rPr>
              <w:t>Hình 11. Tỷ lệ các biện pháp phi thuế quan của GCC đối với nhập khẩu từ ASEAN và các đối tác thương mại chính khác</w:t>
            </w:r>
            <w:r>
              <w:rPr>
                <w:color w:val="000000"/>
                <w:sz w:val="20"/>
                <w:szCs w:val="20"/>
              </w:rPr>
              <w:tab/>
              <w:t>34</w:t>
            </w:r>
          </w:hyperlink>
        </w:p>
        <w:p w14:paraId="55C544FC" w14:textId="77777777" w:rsidR="006575CC" w:rsidRDefault="009F2BF5">
          <w:pPr>
            <w:widowControl w:val="0"/>
            <w:tabs>
              <w:tab w:val="right" w:pos="12000"/>
            </w:tabs>
            <w:spacing w:before="60" w:after="0"/>
            <w:jc w:val="left"/>
            <w:rPr>
              <w:color w:val="000000"/>
              <w:sz w:val="20"/>
              <w:szCs w:val="20"/>
            </w:rPr>
          </w:pPr>
          <w:hyperlink w:anchor="_heading=h.1mt3bd35hx46">
            <w:r>
              <w:rPr>
                <w:color w:val="000000"/>
                <w:sz w:val="20"/>
                <w:szCs w:val="20"/>
              </w:rPr>
              <w:t xml:space="preserve">Hình 12. Tỷ lệ </w:t>
            </w:r>
          </w:hyperlink>
          <w:hyperlink w:anchor="_heading=h.qi2ye6mplgf1">
            <w:r>
              <w:rPr>
                <w:color w:val="000000"/>
                <w:sz w:val="20"/>
                <w:szCs w:val="20"/>
              </w:rPr>
              <w:t>các biện pháp phi thuế quan</w:t>
            </w:r>
          </w:hyperlink>
          <w:hyperlink w:anchor="_heading=h.1mt3bd35hx46">
            <w:r>
              <w:rPr>
                <w:color w:val="000000"/>
                <w:sz w:val="20"/>
                <w:szCs w:val="20"/>
              </w:rPr>
              <w:t xml:space="preserve"> của ASEAN đối với nhập khẩu từ GCC và các đối tác thương mại chính khác</w:t>
            </w:r>
            <w:r>
              <w:rPr>
                <w:color w:val="000000"/>
                <w:sz w:val="20"/>
                <w:szCs w:val="20"/>
              </w:rPr>
              <w:tab/>
              <w:t>35</w:t>
            </w:r>
          </w:hyperlink>
        </w:p>
        <w:p w14:paraId="0BF4592F" w14:textId="77777777" w:rsidR="006575CC" w:rsidRDefault="009F2BF5">
          <w:pPr>
            <w:widowControl w:val="0"/>
            <w:tabs>
              <w:tab w:val="right" w:pos="12000"/>
            </w:tabs>
            <w:spacing w:before="60" w:after="0"/>
            <w:jc w:val="left"/>
            <w:rPr>
              <w:color w:val="000000"/>
              <w:sz w:val="20"/>
              <w:szCs w:val="20"/>
            </w:rPr>
          </w:pPr>
          <w:hyperlink w:anchor="_heading=h.g6fnr81wgoqo">
            <w:r>
              <w:rPr>
                <w:color w:val="000000"/>
                <w:sz w:val="20"/>
                <w:szCs w:val="20"/>
              </w:rPr>
              <w:t>Hình 13. Mức độ triển khai các biện pháp tạo điều kiện thương mại theo thời gian tại ASEAN</w:t>
            </w:r>
            <w:r>
              <w:rPr>
                <w:color w:val="000000"/>
                <w:sz w:val="20"/>
                <w:szCs w:val="20"/>
              </w:rPr>
              <w:tab/>
              <w:t>37</w:t>
            </w:r>
          </w:hyperlink>
        </w:p>
        <w:p w14:paraId="380E0730" w14:textId="77777777" w:rsidR="006575CC" w:rsidRDefault="009F2BF5">
          <w:pPr>
            <w:widowControl w:val="0"/>
            <w:tabs>
              <w:tab w:val="right" w:pos="12000"/>
            </w:tabs>
            <w:spacing w:before="60" w:after="0"/>
            <w:jc w:val="left"/>
            <w:rPr>
              <w:color w:val="000000"/>
              <w:sz w:val="20"/>
              <w:szCs w:val="20"/>
            </w:rPr>
          </w:pPr>
          <w:hyperlink w:anchor="_heading=h.bkhdj6f8ye11">
            <w:r>
              <w:rPr>
                <w:color w:val="000000"/>
                <w:sz w:val="20"/>
                <w:szCs w:val="20"/>
              </w:rPr>
              <w:t>Hình 14. Điểm số thuận lợi hóa thương mại trung bình của ASEAN và GCC năm 2023 (%)</w:t>
            </w:r>
            <w:r>
              <w:rPr>
                <w:color w:val="000000"/>
                <w:sz w:val="20"/>
                <w:szCs w:val="20"/>
              </w:rPr>
              <w:tab/>
              <w:t>38</w:t>
            </w:r>
          </w:hyperlink>
        </w:p>
        <w:p w14:paraId="0D368F3D" w14:textId="77777777" w:rsidR="006575CC" w:rsidRDefault="009F2BF5">
          <w:pPr>
            <w:widowControl w:val="0"/>
            <w:tabs>
              <w:tab w:val="right" w:pos="12000"/>
            </w:tabs>
            <w:spacing w:before="60" w:after="0"/>
            <w:jc w:val="left"/>
            <w:rPr>
              <w:color w:val="000000"/>
              <w:sz w:val="20"/>
              <w:szCs w:val="20"/>
            </w:rPr>
          </w:pPr>
          <w:hyperlink w:anchor="_heading=h.fr0lxro3gij0">
            <w:r>
              <w:rPr>
                <w:color w:val="000000"/>
                <w:sz w:val="20"/>
                <w:szCs w:val="20"/>
              </w:rPr>
              <w:t>Phần 4: Kết luận và khuyến nghị</w:t>
            </w:r>
            <w:r>
              <w:rPr>
                <w:color w:val="000000"/>
                <w:sz w:val="20"/>
                <w:szCs w:val="20"/>
              </w:rPr>
              <w:tab/>
              <w:t>50</w:t>
            </w:r>
          </w:hyperlink>
        </w:p>
        <w:p w14:paraId="0121BFA0" w14:textId="77777777" w:rsidR="006575CC" w:rsidRDefault="009F2BF5">
          <w:pPr>
            <w:widowControl w:val="0"/>
            <w:tabs>
              <w:tab w:val="right" w:pos="12000"/>
            </w:tabs>
            <w:spacing w:before="60" w:after="0"/>
            <w:jc w:val="left"/>
            <w:rPr>
              <w:b/>
              <w:bCs/>
              <w:color w:val="000000"/>
              <w:sz w:val="22"/>
              <w:szCs w:val="22"/>
            </w:rPr>
          </w:pPr>
          <w:hyperlink w:anchor="_heading=h.pbju1myzovgq">
            <w:r>
              <w:rPr>
                <w:color w:val="000000"/>
                <w:sz w:val="20"/>
                <w:szCs w:val="20"/>
              </w:rPr>
              <w:t>Bảng A 1. Tóm tắt Tài liệu Tầm nhìn của các quốc gia GCC</w:t>
            </w:r>
          </w:hyperlink>
          <w:hyperlink w:anchor="_heading=h.pbju1myzovgq">
            <w:r>
              <w:rPr>
                <w:b/>
                <w:bCs/>
                <w:color w:val="000000"/>
                <w:sz w:val="22"/>
                <w:szCs w:val="22"/>
              </w:rPr>
              <w:tab/>
              <w:t>54</w:t>
            </w:r>
          </w:hyperlink>
          <w:r>
            <w:fldChar w:fldCharType="end"/>
          </w:r>
        </w:p>
      </w:sdtContent>
    </w:sdt>
    <w:p w14:paraId="06C113E7" w14:textId="77777777" w:rsidR="006575CC" w:rsidRDefault="009F2BF5">
      <w:pPr>
        <w:pStyle w:val="Heading1"/>
        <w:spacing w:before="360" w:after="80" w:line="360" w:lineRule="auto"/>
        <w:rPr>
          <w:sz w:val="28"/>
          <w:szCs w:val="28"/>
        </w:rPr>
      </w:pPr>
      <w:r>
        <w:br w:type="page"/>
      </w:r>
    </w:p>
    <w:p w14:paraId="38252FEE" w14:textId="0A17F3C2" w:rsidR="006575CC" w:rsidRDefault="009F2BF5">
      <w:pPr>
        <w:jc w:val="center"/>
        <w:rPr>
          <w:b/>
          <w:bCs/>
        </w:rPr>
      </w:pPr>
      <w:r>
        <w:rPr>
          <w:b/>
          <w:bCs/>
        </w:rPr>
        <w:lastRenderedPageBreak/>
        <w:t>Tăng cường Quan hệ Kinh tế ASEAN - GCC: Cách tiếp cận mang tính chiến lược</w:t>
      </w:r>
    </w:p>
    <w:p w14:paraId="1407875E" w14:textId="77777777" w:rsidR="009F2BF5" w:rsidRDefault="009F2BF5">
      <w:pPr>
        <w:pStyle w:val="Heading1"/>
        <w:spacing w:before="0" w:after="80"/>
      </w:pPr>
      <w:bookmarkStart w:id="5" w:name="_heading=h.i4iffyymtjgk" w:colFirst="0" w:colLast="0"/>
      <w:bookmarkEnd w:id="5"/>
    </w:p>
    <w:p w14:paraId="46AFE3B7" w14:textId="53EF07B5" w:rsidR="006575CC" w:rsidRDefault="009F2BF5">
      <w:pPr>
        <w:pStyle w:val="Heading1"/>
        <w:spacing w:before="0" w:after="80"/>
      </w:pPr>
      <w:r>
        <w:t>Tóm tắt chung</w:t>
      </w:r>
    </w:p>
    <w:p w14:paraId="2BEE3788" w14:textId="169EE75B" w:rsidR="006575CC" w:rsidRDefault="009F2BF5">
      <w:pPr>
        <w:numPr>
          <w:ilvl w:val="0"/>
          <w:numId w:val="10"/>
        </w:numPr>
      </w:pPr>
      <w:bookmarkStart w:id="6" w:name="_heading=h.s7e0vdbfx9vz" w:colFirst="0" w:colLast="0"/>
      <w:bookmarkEnd w:id="6"/>
      <w:r>
        <w:t xml:space="preserve">Hiệp hội các Quốc gia Đông Nam Á (ASEAN) và Hội đồng Hợp tác các Quốc gia Ả Rập Vùng Vịnh, còn được gọi là Hội đồng Hợp tác Vùng Vịnh (GCC), đang ở ngã rẽ trong quan hệ đối tác sau Hội nghị Cấp cao ASEAN - GCC lần thứ nhất diễn ra ngày 23 tháng 10 năm 2023 tại Riyadh. Tại Hội nghị này, các Nhà Lãnh đạo đã thông qua Tuyên bố </w:t>
      </w:r>
      <w:r w:rsidR="00F1697E">
        <w:t>c</w:t>
      </w:r>
      <w:r>
        <w:t>hung Hội nghị Thượng đỉnh Riyadh ASEAN - GCC và Khung Hợp tác ASEAN - GCC giai đoạn 2024 - 2028, trong đó, ngoài các nội dung khác, hai bên thống nhất “tiếp tục tham vấn để tìm kiếm các cơ hội mới về thương mại, đầu tư và hợp tác kỹ thuật giữa ASEAN và GCC, bao gồm khả năng xây dựng một khuôn khổ hợp tác về kinh tế, thương mại, kỹ thuật và đầu tư.”</w:t>
      </w:r>
    </w:p>
    <w:p w14:paraId="4639527A" w14:textId="1F887A60" w:rsidR="006575CC" w:rsidRDefault="009F2BF5">
      <w:pPr>
        <w:numPr>
          <w:ilvl w:val="0"/>
          <w:numId w:val="10"/>
        </w:numPr>
      </w:pPr>
      <w:r>
        <w:t xml:space="preserve">Hội nghị Cấp cao ASEAN–GCC lần thứ hai được tổ chức tại Kuala Lumpur vào tháng 5 năm 2025. Với cương vị là Chủ tịch ASEAN năm 2025, Malaysia đã xác định Tuyên bố về Hợp tác Kinh tế ASEAN–Hội đồng Hợp tác Vùng Vịnh (GCC) là một trong những Ưu tiên </w:t>
      </w:r>
      <w:r w:rsidR="00F1697E" w:rsidRPr="00F1697E">
        <w:t xml:space="preserve">Kinh tế </w:t>
      </w:r>
      <w:r>
        <w:t>thuộc Trụ cột Chiến lược 1 (Tăng cường Thương mại và Đầu tư). Báo cáo này, dự kiến đánh giá tính khả thi của việc thiết lập Hiệp định Thương mại Tự do (FTA) ASEAN–GCC hoặc các phương án hợp tác theo từng lĩnh vực giữa ASEAN và GCC nhằm thúc đẩy hội nhập kinh tế liên khu vực sâu rộng hơn, đồng thời xem xét những điểm dễ tổn thương của các ngành then chốt đối với cả hai bên, đặc biệt trong bối cảnh những thách thức địa chính trị hiện nay, nhằm cung cấp các thông tin đầu vào cho Tuyên bố nêu trên.</w:t>
      </w:r>
    </w:p>
    <w:p w14:paraId="201DFD8C" w14:textId="77777777" w:rsidR="006575CC" w:rsidRDefault="009F2BF5">
      <w:pPr>
        <w:numPr>
          <w:ilvl w:val="0"/>
          <w:numId w:val="10"/>
        </w:numPr>
      </w:pPr>
      <w:r>
        <w:t>Xét đến khoảng thời gian ngắn được giao để hoàn thành nghiên cứu này, phương pháp được áp dụng trong quá trình xây dựng báo cáo dựa trên Bộ Tiêu chí và Cách tiếp cận của Ban Thư ký ASEAN nhằm Hướng dẫn ASEAN trong Việc Tăng cường Hợp tác Kinh tế Chiến lược với Các Đối tác Bên ngoài: Hội đồng Hợp tác Vùng Vịnh, đồng thời bổ sung phân tích so sánh lợi ích kinh tế giữa hai kịch bản: (a) Hiệp định Thương mại Tự do (FTA) ASEAN–GCC; và (b) việc GCC gia nhập Hiệp định Đối tác Kinh tế Toàn diện Khu vực (RCEP).</w:t>
      </w:r>
    </w:p>
    <w:p w14:paraId="39949490" w14:textId="51CB8619" w:rsidR="006575CC" w:rsidRDefault="009F2BF5">
      <w:pPr>
        <w:numPr>
          <w:ilvl w:val="0"/>
          <w:numId w:val="10"/>
        </w:numPr>
      </w:pPr>
      <w:r>
        <w:t>Thương mại và đầu tư đóng vai trò then chốt đối với cả ASEAN và GCC, khi xét đến cơ cấu kinh tế của hai bên có thể thấy nhiều điểm bổ trợ lẫn nhau. Chẳng hạn, ASEAN là một trong những chủ thể lớn trên thị trường toàn cầu về thương mại hàng hóa và dịch vụ, trong khi GCC vẫn là nhà xuất khẩu dầu khí lớn nhất – những đầu vào thiết yếu cho ngành sản xuất của ASEAN. Trong khi GCC đang nỗ lực giảm sự phụ thuộc vào dầu khí, chương trình kinh tế của ASEAN lại hướng tới việc nâng cao vị thế trong chuỗi giá trị toàn cầu cả về sản xuất lẫn dịch vụ.</w:t>
      </w:r>
    </w:p>
    <w:p w14:paraId="141434B4" w14:textId="77777777" w:rsidR="006575CC" w:rsidRDefault="009F2BF5">
      <w:pPr>
        <w:numPr>
          <w:ilvl w:val="0"/>
          <w:numId w:val="10"/>
        </w:numPr>
      </w:pPr>
      <w:r>
        <w:t xml:space="preserve">Với tổng GDP (năm 2023) đạt 6 nghìn tỷ USD, tầm quan trọng kinh tế của ASEAN và GCC trên thị trường toàn cầu về thương mại và đầu tư là điều không thể phủ nhận. GDP kết hợp của hai khu vực chiếm 5,9% tổng GDP toàn cầu 102.897 tỷ USD năm 2023. Tổng kim ngạch thương mại của ASEAN trong năm 2023 đạt 3,5 nghìn tỷ USD, trong đó dịch vụ đóng góp 1,06 nghìn tỷ USD, cho thấy mức độ tham gia kinh tế rộng </w:t>
      </w:r>
      <w:r>
        <w:lastRenderedPageBreak/>
        <w:t>lớn của khu vực. Tương tự, các nền kinh tế GCC cũng ghi nhận dòng thương mại mạnh mẽ, chủ yếu được thúc đẩy bởi xuất khẩu dầu khí, riêng UAE đóng góp tới 954 tỷ USD trong tổng thương mại hàng hóa. Những con số này không chỉ nhấn mạnh sức sống kinh tế mà còn cho thấy tiềm năng mở rộng liên kết thương mại và đầu tư sâu sắc hơn giữa ASEAN và GCC, đặc biệt khi thị phần của GCC trong tổng thương mại hàng hóa của ASEAN chỉ ở mức 3,71%, so với việc ASEAN chiếm 5,45% trong tổng thương mại hàng hóa của GCC.</w:t>
      </w:r>
    </w:p>
    <w:p w14:paraId="66368F71" w14:textId="77777777" w:rsidR="006575CC" w:rsidRDefault="009F2BF5">
      <w:pPr>
        <w:numPr>
          <w:ilvl w:val="0"/>
          <w:numId w:val="10"/>
        </w:numPr>
      </w:pPr>
      <w:r>
        <w:t>Cả GCC lẫn bất kỳ quốc gia thành viên nào của khối này hiện chưa phải là Đối tác Đối thoại đầy đủ của ASEAN, mặc dù toàn bộ các quốc gia thành viên GCC đều đã gia nhập Hiệp ước Thân thiện và Hợp tác ở Đông Nam Á (TAC) và đều đã cử Đại sứ thường trú của mình tại ASEAN. Trong số sáu thành viên GCC, chỉ có Các Tiểu vương quốc Ả Rập Thống nhất (UAE) – có lẽ nhờ chính sách đối ngoại chủ động và quan hệ gắn bó với các Quốc gia Thành viên ASEAN – đã nộp đơn và được công nhận là Đối tác Đối thoại theo lĩnh vực (Sectoral Dialogue Partner).</w:t>
      </w:r>
    </w:p>
    <w:p w14:paraId="5629C8C7" w14:textId="5AEC2421" w:rsidR="006575CC" w:rsidRDefault="009F2BF5">
      <w:pPr>
        <w:numPr>
          <w:ilvl w:val="0"/>
          <w:numId w:val="10"/>
        </w:numPr>
      </w:pPr>
      <w:r>
        <w:t xml:space="preserve">Tại Hội nghị Cấp cao ASEAN–GCC lần thứ nhất được tổ chức tại Riyadh vào tháng 10 năm 2023, các Nhà Lãnh đạo đã thông qua Tuyên bố </w:t>
      </w:r>
      <w:r w:rsidR="00F1697E">
        <w:t>c</w:t>
      </w:r>
      <w:r>
        <w:t>hung Hội nghị Thượng đỉnh Riyadh ASEAN–GCC, trong đó nhấn mạnh, bên cạnh các nội dung khác, việc tăng cường dòng chảy thương mại và đầu tư bằng cách tạo ra các cơ hội đầu tư chung cùng có lợi, đặc biệt chú trọng các lĩnh vực như hạ tầng bền vững, năng lượng tái tạo, hóa dầu, nông nghiệp, sản xuất, y tế, du lịch, logistics, thành phố thông minh, kết nối và số hóa; thúc đẩy hợp tác về các ưu tiên đối tác kinh tế trọng yếu gồm tăng cường hội nhập thị trường khu vực, phát triển bền vững và khử cacbon, chuyển đổi số và tính bao trùm (trong đó có các doanh nghiệp siêu nhỏ, nhỏ và vừa – MSME), tăng cường hợp tác công–tư và mở rộng giao lưu nhân dân; xác định các lĩnh vực hợp tác trong phát triển nông nghiệp bền vững, tuần hoàn và thúc đẩy sản xuất lương thực bền vững, đẩy mạnh thương mại và đầu tư trong các ngành công nghiệp liên quan đến lương thực và nông nghiệp, khuyến khích trao đổi thông tin, chia sẻ kinh nghiệm, nghiên cứu, công nghệ hiện đại và thực tiễn tốt, cũng như tổ chức các hoạt động nâng cao năng lực trong các lĩnh vực như phát triển ngành thực phẩm và công nghiệp halal, bao gồm các tiêu chuẩn khác nhau cho chứng nhận thực phẩm halal; đồng thời hỗ trợ các nỗ lực hướng tới nền kinh tế số mở, an toàn, toàn diện và bền vững, tận dụng công nghệ thông tin và truyền thông (ICT) để thúc đẩy đổi mới sáng tạo và khởi nghiệp, cũng như các phát triển công nghệ mới như Internet vạn vật (IoT), mạng 5G, trí tuệ nhân tạo (AI) và thành phố thông minh.</w:t>
      </w:r>
    </w:p>
    <w:p w14:paraId="1C085542" w14:textId="77777777" w:rsidR="006575CC" w:rsidRDefault="009F2BF5">
      <w:pPr>
        <w:numPr>
          <w:ilvl w:val="0"/>
          <w:numId w:val="10"/>
        </w:numPr>
      </w:pPr>
      <w:r>
        <w:t>Hội nghị Thượng đỉnh Riyadh cũng đã thông qua Khung Hợp tác ASEAN–GCC giai đoạn 2024–2028, trong đó nêu rõ hai bên sẽ “tiếp tục tham vấn để tìm kiếm các cơ hội mới về thương mại, đầu tư và hợp tác kỹ thuật giữa ASEAN và GCC, bao gồm khả năng xây dựng một khuôn khổ hợp tác về kinh tế, thương mại, kỹ thuật và đầu tư.”</w:t>
      </w:r>
    </w:p>
    <w:p w14:paraId="06BB8C16" w14:textId="77777777" w:rsidR="006575CC" w:rsidRDefault="009F2BF5">
      <w:pPr>
        <w:numPr>
          <w:ilvl w:val="0"/>
          <w:numId w:val="10"/>
        </w:numPr>
      </w:pPr>
      <w:r>
        <w:t xml:space="preserve">Cả ASEAN và các quốc gia GCC – dù tập thể hay riêng lẻ – đều đang tích cực đàm phán các hiệp định thương mại tự do (FTA) và/hoặc hiệp định đối tác kinh tế toàn diện (CEPA). GCC bắt đầu sớm hơn ASEAN trong việc đàm phán FTA/CEPA, cụ thể từ năm 1990 khi khởi động đàm phán FTA EU–GCC, trong khi ASEAN chỉ bắt đầu từ </w:t>
      </w:r>
      <w:r>
        <w:lastRenderedPageBreak/>
        <w:t>năm 2005, nhưng đến nay mới chỉ có FTA GCC–Singapore và FTA GCC–EFTA là đã có hiệu lực. Ngược lại, ASEAN đã ký FTA với Trung Quốc, Nhật Bản, Hàn Quốc, Australia và New Zealand, Ấn Độ, Hồng Kông (Trung Quốc) và Hiệp định Đối tác Kinh tế Toàn diện Khu vực (RCEP). Hiện GCC đang có nhiều cuộc đàm phán FTA còn dang dở, bao gồm với EU, Trung Quốc, MERCOSUR, Nhật Bản, Ấn Độ, Hàn Quốc, Thổ Nhĩ Kỳ, Australia và Vương quốc Anh. FTA giữa GCC và New Zealand đã hoàn tất và đang chờ có hiệu lực. Trong khi đó, ASEAN đang đàm phán FTA với Canada, còn đàm phán FTA với EU thì vẫn chưa được khởi động lại.</w:t>
      </w:r>
    </w:p>
    <w:p w14:paraId="63F9E9ED" w14:textId="4E55DB62" w:rsidR="006575CC" w:rsidRDefault="009F2BF5">
      <w:pPr>
        <w:numPr>
          <w:ilvl w:val="0"/>
          <w:numId w:val="10"/>
        </w:numPr>
      </w:pPr>
      <w:r>
        <w:t>Phạm vi và nội dung của các FTA của cả hai khu vực đều bao gồm những yếu tố truyền thống như thương mại hàng hóa và các nội dung liên quan (quy tắc xuất xứ, rào cản kỹ thuật đối với thương mại, các biện pháp kiểm dịch động thực vật, thủ tục hải quan và tạo thuận lợi thương mại, cùng các biện pháp phòng vệ thương mại), thương mại dịch vụ, đầu tư và cơ chế giải quyết tranh chấp. Các yếu tố phi truyền thống như chính sách cạnh tranh, quyền sở hữu trí tuệ, thương mại điện tử và mua sắm chính phủ cũng được đưa vào – ít nhất trong RCEP và AANZFTA – dù mức độ cam kết có khác nhau. Đáng chú ý, các lần nâng cấp gần đây của các FTA ASEAN, đặc biệt là AANZFTA và ACFTA, đã bắt đầu bổ sung các yếu tố mới và đang nổi như phát triển bền vững, chuyển đổi số, thương mại trong các tình huống khủng hoảng và kết nối chuỗi cung ứng. Hợp tác kinh tế cũng là nội dung bắt buộc trong các FTA của ASEAN.</w:t>
      </w:r>
    </w:p>
    <w:p w14:paraId="0590234F" w14:textId="77777777" w:rsidR="006575CC" w:rsidRDefault="009F2BF5">
      <w:pPr>
        <w:numPr>
          <w:ilvl w:val="0"/>
          <w:numId w:val="10"/>
        </w:numPr>
      </w:pPr>
      <w:r>
        <w:t>Giống như bất kỳ cuộc đàm phán thương mại nào mà các quốc gia tham gia với tư cách một khối, việc dung hòa những quan điểm khác biệt để đạt được đồng thuận luôn là thách thức trong việc đi đến các kết quả toàn diện và cân bằng. Nỗ lực cân bằng giữa lợi ích quốc gia và các mục tiêu của khu vực cũng là một thách thức lớn. Điều này càng trở nên khó khăn hơn nếu đối tác FTA tiềm năng là một nền kinh tế phát triển, bởi họ thường đặt ra mức độ cam kết rất cao và thậm chí thúc đẩy những vấn đề vốn không đạt được đồng thuận ở cấp độ đa phương nhằm hướng tới các kết quả có ý nghĩa về mặt thương mại.</w:t>
      </w:r>
    </w:p>
    <w:p w14:paraId="05A74AFF" w14:textId="77777777" w:rsidR="006575CC" w:rsidRDefault="009F2BF5">
      <w:pPr>
        <w:numPr>
          <w:ilvl w:val="0"/>
          <w:numId w:val="10"/>
        </w:numPr>
      </w:pPr>
      <w:r>
        <w:t>Để đánh giá các tác động kinh tế của một Hiệp định Thương mại Tự do (FTA) tiềm năng giữa ASEAN và GCC, một mô hình mô phỏng kinh tế đã được sử dụng nhằm dự báo những lợi ích mà cả hai khu vực có thể đạt được. Kết quả mô phỏng cho thấy ASEAN sẽ hưởng lợi kinh tế đáng kể, đặc biệt về tăng trưởng GDP, mở rộng xuất khẩu và gia tăng dòng vốn đầu tư trực tiếp nước ngoài.</w:t>
      </w:r>
      <w:r>
        <w:rPr>
          <w:vertAlign w:val="superscript"/>
        </w:rPr>
        <w:footnoteReference w:id="1"/>
      </w:r>
      <w:r>
        <w:t xml:space="preserve"> Kết quả của đánh giá này được tóm tắt như sau:</w:t>
      </w:r>
    </w:p>
    <w:p w14:paraId="7DF4BC13" w14:textId="77777777" w:rsidR="006575CC" w:rsidRDefault="009F2BF5">
      <w:pPr>
        <w:numPr>
          <w:ilvl w:val="0"/>
          <w:numId w:val="2"/>
        </w:numPr>
        <w:ind w:left="1276" w:hanging="556"/>
      </w:pPr>
      <w:r>
        <w:rPr>
          <w:b/>
          <w:bCs/>
          <w:u w:val="single"/>
        </w:rPr>
        <w:lastRenderedPageBreak/>
        <w:t>Tăng trưởng GDP</w:t>
      </w:r>
      <w:r>
        <w:t>. Hiệp định Thương mại Tự do (FTA) ASEAN–GCC có thể mang lại cho ASEAN mức lợi ích kinh tế khoảng 90 tỷ USD, tương đương khoảng 3,5% GDP của ASEAN trong giai đoạn mười năm. “Delta GDP” hằng năm – tức chênh lệch giữa GDP dự báo trong và ngoài kịch bản FTA – tăng dần từ 7,8 tỷ USD vào năm đầu tiên lên 10,4 tỷ USD vào năm thứ tám, cho thấy tác động tích lũy tích cực của hội nhập kinh tế sâu rộng hơn giữa hai khu vực. Nếu GCC gia nhập RCEP thay vì ký FTA với ASEAN, mức tăng GDP từ FTA ASEAN–GCC được dự báo sẽ cao hơn so với kịch bản GCC tham gia RCEP, chủ yếu vì các Quốc gia Thành viên ASEAN sẽ phải cạnh tranh với các thành viên RCEP khác tại thị trường GCC trong trường hợp sau.</w:t>
      </w:r>
    </w:p>
    <w:p w14:paraId="30E021E2" w14:textId="77777777" w:rsidR="006575CC" w:rsidRDefault="009F2BF5">
      <w:pPr>
        <w:numPr>
          <w:ilvl w:val="0"/>
          <w:numId w:val="2"/>
        </w:numPr>
        <w:ind w:left="1276" w:hanging="556"/>
      </w:pPr>
      <w:r>
        <w:rPr>
          <w:b/>
          <w:bCs/>
          <w:u w:val="single"/>
        </w:rPr>
        <w:t>Tăng trưởng xuất khẩu</w:t>
      </w:r>
      <w:r>
        <w:t>. Mô phỏng dự báo rằng xuất khẩu của ASEAN sang GCC sẽ tăng khoảng 6 tỷ USD mỗi năm trong khuôn khổ FTA ASEAN–GCC, chủ yếu nhờ sự mở rộng của các ngành có lợi thế cạnh tranh cốt lõi của ASEAN, bao gồm sản xuất chế tạo và các sản phẩm halal.</w:t>
      </w:r>
    </w:p>
    <w:p w14:paraId="2180B40B" w14:textId="77777777" w:rsidR="006575CC" w:rsidRDefault="009F2BF5">
      <w:pPr>
        <w:numPr>
          <w:ilvl w:val="0"/>
          <w:numId w:val="2"/>
        </w:numPr>
        <w:ind w:left="1276" w:hanging="556"/>
      </w:pPr>
      <w:r>
        <w:rPr>
          <w:b/>
          <w:bCs/>
          <w:u w:val="single"/>
        </w:rPr>
        <w:t>Phân bổ theo ngành</w:t>
      </w:r>
      <w:r>
        <w:t>. Phân tích cơ cấu ngành của mức tăng trưởng thương mại dự kiến ​​cho thấy đóng góp lớn nhất sẽ đến từ hàng may mặc, giày dép và sản phẩm da (29,6%), tiếp theo là thực phẩm (15,1%), máy móc và thiết bị vận tải (14,6%) và điện tử và máy móc điện (12,1%). Sự phân bổ này phù hợp với lợi thế cạnh tranh lâu đời của ASEAN trong các ngành này và phản ánh bản chất bổ sung của cơ cấu kinh tế ASEAN-GCC, trong đó thế mạnh sản xuất của ASEAN bổ sung cho sự thống trị của GCC về năng lượng và dịch vụ tài chính.</w:t>
      </w:r>
    </w:p>
    <w:p w14:paraId="6187D4C6" w14:textId="77777777" w:rsidR="006575CC" w:rsidRDefault="009F2BF5">
      <w:pPr>
        <w:numPr>
          <w:ilvl w:val="0"/>
          <w:numId w:val="2"/>
        </w:numPr>
        <w:ind w:left="1276" w:hanging="556"/>
      </w:pPr>
      <w:r>
        <w:rPr>
          <w:b/>
          <w:bCs/>
          <w:u w:val="single"/>
        </w:rPr>
        <w:t>Dòng vốn FDI.</w:t>
      </w:r>
      <w:r>
        <w:t xml:space="preserve"> FTA ASEAN-GCC có thể làm tăng đáng kể đầu tư trực tiếp nước ngoài (FDI) từ GCC sang ASEAN, với mức tăng trưởng ước tính khoảng 2 tỷ USD mỗi năm. Xu hướng tăng trưởng dòng vốn FDI này là nhờ các cải cách đầu tư liên quan đến hiệp định thương mại và tiềm năng tăng trưởng cao của ASEAN. FTA cũng có thể thúc đẩy dòng vốn đầu tư này khi các nhà đầu tư GCC hưởng lợi từ tiềm năng lợi nhuận cao từ việc đầu tư vào ASEAN và sau đó cung cấp trở lại thị trường GCC thông qua xuất khẩu, từ đó tạo ra một chu kỳ tăng trưởng đầu tư và thương mại lành mạnh.</w:t>
      </w:r>
    </w:p>
    <w:p w14:paraId="32FA9469" w14:textId="77777777" w:rsidR="006575CC" w:rsidRDefault="009F2BF5">
      <w:pPr>
        <w:numPr>
          <w:ilvl w:val="0"/>
          <w:numId w:val="2"/>
        </w:numPr>
        <w:ind w:left="1276" w:hanging="556"/>
      </w:pPr>
      <w:r>
        <w:rPr>
          <w:b/>
          <w:bCs/>
          <w:u w:val="single"/>
        </w:rPr>
        <w:t>Tính bổ trợ thương mại.</w:t>
      </w:r>
      <w:r>
        <w:t xml:space="preserve"> Các lợi ích dự báo cho thấy FTA ASEAN–GCC sẽ khai thác hiệu quả tính bổ trợ trong cơ cấu kinh tế của hai khu vực. ASEAN sẽ được hưởng lợi nhờ khả năng tiếp cận tốt hơn thị trường GCC đối với hàng hóa sản xuất, nông sản và dịch vụ, trong khi GCC sẽ có điều kiện thuận lợi hơn để tiếp cận thị trường tiêu dùng đang tăng trưởng nhanh của ASEAN cũng như các cơ hội đầu tư trong khu vực.</w:t>
      </w:r>
    </w:p>
    <w:p w14:paraId="521C49E0" w14:textId="77777777" w:rsidR="006575CC" w:rsidRDefault="009F2BF5">
      <w:pPr>
        <w:numPr>
          <w:ilvl w:val="0"/>
          <w:numId w:val="10"/>
        </w:numPr>
      </w:pPr>
      <w:r>
        <w:t xml:space="preserve">Điều quan trọng cần lưu ý là việc hiện thực hóa các lợi ích tiềm năng này còn phụ thuộc vào phạm vi và mức độ cam kết của FTA cuối cùng, đặc biệt là mức độ xóa bỏ </w:t>
      </w:r>
      <w:r>
        <w:lastRenderedPageBreak/>
        <w:t>thuế quan, tự do hóa dịch vụ và các biện pháp tạo thuận lợi cho đầu tư mà hai bên thống nhất. Bên cạnh đó, các cải cách trong nước mang tính bổ trợ cũng là cần thiết để tối đa hóa lợi ích của hiệp định và bảo đảm những lợi ích này được phân bổ công bằng giữa các Quốc gia Thành viên ASEAN.</w:t>
      </w:r>
    </w:p>
    <w:p w14:paraId="224AE607" w14:textId="77777777" w:rsidR="006575CC" w:rsidRDefault="009F2BF5">
      <w:pPr>
        <w:numPr>
          <w:ilvl w:val="0"/>
          <w:numId w:val="10"/>
        </w:numPr>
      </w:pPr>
      <w:r>
        <w:t>Báo cáo cũng xem xét chi phí của việc đàm phán một FTA với GCC. Dù không thể phủ nhận rằng việc tăng cường quan hệ kinh tế ASEAN–GCC, bao gồm khả năng ký kết FTA, sẽ mở ra cơ hội cho cả hai bên đạt được tăng trưởng và thịnh vượng kinh tế, vẫn tồn tại một số thách thức có thể làm suy giảm những lợi ích dự báo. Các thách thức này bao gồm: (i) nguồn lực đáng kể, cả tài chính lẫn nhân lực, cần thiết để đàm phán một hiệp định toàn diện với cam kết trọn gói; (ii) các cuộc đàm phán FTA song song ở cấp khu vực và song phương, vốn thường kéo dài do các quốc gia tham gia có xu hướng thận trọng để không ảnh hưởng đến lập trường của mình trong bất kỳ cuộc đàm phán nào; (iii) sự khác biệt về cơ cấu kinh tế, cụ thể là ASEAN áp dụng nguyên tắc “nhượng bộ chung”, yêu cầu đối tác FTA tiềm năng có một biểu cam kết thống nhất áp dụng cho tất cả các Quốc gia Thành viên ASEAN, điều này có thể khó cho GCC – với tư cách là một Liên minh Hải quan – khi các sản phẩm họ quan tâm có thể khác nhau giữa các quốc gia thành viên; và (iv) hai bên có thể có cơ cấu thể chế khác nhau trong việc đàm phán một FTA/CEPA khu vực–khu vực, do đó việc hiểu rõ cách thức đàm phán FTA của đối tác là rất quan trọng đối với cả GCC và ASEAN.</w:t>
      </w:r>
    </w:p>
    <w:p w14:paraId="2E67513E" w14:textId="77777777" w:rsidR="006575CC" w:rsidRDefault="009F2BF5">
      <w:pPr>
        <w:numPr>
          <w:ilvl w:val="0"/>
          <w:numId w:val="10"/>
        </w:numPr>
      </w:pPr>
      <w:r>
        <w:t>Với sức nặng kinh tế của cả ASEAN và GCC cùng vai trò quan trọng mà hai bên nắm giữ trong chuỗi giá trị toàn cầu, việc tăng cường quan hệ kinh tế ASEAN–GCC sẽ chỉ thực sự mang lại lợi ích lẫn nhau trong bối cảnh thương mại khu vực và toàn cầu. Tuy nhiên, mặc dù một FTA ASEAN–GCC có thể được xem là bước đi tiếp theo nhằm làm sâu sắc hơn quan hệ kinh tế giữa hai bên, trước những thách thức tiềm ẩn, có lẽ cần xem xét một cách tiếp cận thực tế và linh hoạt hơn để thúc đẩy quan hệ kinh tế sâu rộng, coi FTA ASEAN–GCC là tầm nhìn dài hạn. Cách tiếp cận này, có thể coi là “từng bước xây dựng”, cũng sẽ cho phép các quốc gia GCC, dù tập thể hay riêng lẻ, hoàn tất các cuộc đàm phán FTA song phương đang diễn ra với các Quốc gia Thành viên ASEAN.</w:t>
      </w:r>
    </w:p>
    <w:p w14:paraId="4CA481ED" w14:textId="77777777" w:rsidR="006575CC" w:rsidRDefault="009F2BF5">
      <w:pPr>
        <w:numPr>
          <w:ilvl w:val="0"/>
          <w:numId w:val="10"/>
        </w:numPr>
      </w:pPr>
      <w:r>
        <w:t>Phù hợp với Khuôn khổ Hợp tác ASEAN–GCC (2024–2028), một văn kiện kết quả của Hội nghị Thượng đỉnh ASEAN–GCC tại Riyadh, bài viết này khuyến nghị ASEAN và GCC trước hết nên xem xét việc xây dựng một thỏa thuận hoặc khuôn khổ hợp tác như một bước tiếp nối Khuôn khổ Hợp tác Riyadh và là bước đi chiến lược đầu tiên hướng tới quan hệ đối tác kinh tế sâu rộng và chặt chẽ hơn. Thỏa thuận hoặc khuôn khổ hợp tác được đề xuất này sẽ tạo cơ sở để thúc đẩy các “thu hoạch sớm” theo từng lĩnh vực trong bốn nhóm hợp tác ngành rộng.</w:t>
      </w:r>
    </w:p>
    <w:p w14:paraId="5E194919" w14:textId="77777777" w:rsidR="006575CC" w:rsidRDefault="009F2BF5">
      <w:pPr>
        <w:numPr>
          <w:ilvl w:val="0"/>
          <w:numId w:val="1"/>
        </w:numPr>
        <w:ind w:left="1276" w:hanging="556"/>
      </w:pPr>
      <w:r>
        <w:rPr>
          <w:b/>
          <w:bCs/>
          <w:u w:val="single"/>
        </w:rPr>
        <w:t>Tăng cường hội nhập kinh tế khu vực.</w:t>
      </w:r>
      <w:r>
        <w:t xml:space="preserve"> ASEAN và GCC là những đối tác thương mại quan trọng của nhau. Tuy nhiên, thương mại ASEAN–GCC vẫn còn tương đối nhỏ và chủ yếu tập trung vào khí đốt và dầu mỏ, do đó còn nhiều dư địa để cải thiện nếu có những chính sách can thiệp phù hợp, đặc biệt trong các lĩnh vực tạo thuận lợi thương mại, bao gồm quản lý các biện pháp phi thuế quan (NTMs) và thương mại dịch vụ.</w:t>
      </w:r>
    </w:p>
    <w:p w14:paraId="0B16226C" w14:textId="77777777" w:rsidR="006575CC" w:rsidRDefault="009F2BF5">
      <w:pPr>
        <w:numPr>
          <w:ilvl w:val="1"/>
          <w:numId w:val="1"/>
        </w:numPr>
      </w:pPr>
      <w:r>
        <w:rPr>
          <w:b/>
          <w:bCs/>
          <w:i/>
          <w:iCs/>
        </w:rPr>
        <w:lastRenderedPageBreak/>
        <w:t>Các Biện Pháp Phi Thuế Quan (NTMs).</w:t>
      </w:r>
      <w:r>
        <w:t xml:space="preserve"> Để ứng phó với xu hướng gia tăng tầm quan trọng của các biện pháp phi thuế quan so với thuế quan truyền thống như một rào cản trong việc thúc đẩy dòng chảy thương mại quốc tế liền mạch, khuyến nghị rằng hai bên nên xem xét: (i) tăng cường tính minh bạch thông qua việc thiết lập hoặc cải thiện các cơ sở dữ liệu thương mại tập trung (trade repositories), đóng vai trò là kho thông tin về các biện pháp phi thuế quan, giúp doanh nghiệp dễ dàng tiếp cận các quy định, biện pháp và thủ tục mới nhất; (ii) củng cố việc chia sẻ dữ liệu nhằm giúp ASEAN và GCC giám sát và phân tích tác động của các biện pháp phi thuế quan đối với dòng chảy thương mại, từ đó hỗ trợ các nhà hoạch định chính sách ở cả hai khu vực xác định những biện pháp không cần thiết hoặc quá hạn chế và thực hiện các bước cần thiết để điều chỉnh hoặc đơn giản hóa; (iii) xây dựng các Thỏa Thuận Thừa Nhận Lẫn Nhau (MRAs) và hợp tác trong đánh giá sự phù hợp, thủ tục công nhận, tiêu chuẩn và quy chuẩn kỹ thuật nhằm đơn giản hóa hơn nữa các quy trình thương mại bằng cách giảm thiểu các kiểm tra và thủ tục trùng lặp; và (iv) tiến hành các nghiên cứu, khảo sát chuyên sâu về các biện pháp phi thuế quan để không chỉ cung cấp thông tin cho các nhà hoạch định chính sách và doanh nghiệp mà còn định hướng việc xây dựng các chiến lược hiệu quả nhằm giảm thiểu tác động hạn chế thương mại, qua đó hỗ trợ tăng trưởng kinh tế bền vững cho cả hai khu vực.</w:t>
      </w:r>
    </w:p>
    <w:p w14:paraId="6B3330A5" w14:textId="77777777" w:rsidR="006575CC" w:rsidRDefault="009F2BF5">
      <w:pPr>
        <w:numPr>
          <w:ilvl w:val="1"/>
          <w:numId w:val="1"/>
        </w:numPr>
        <w:rPr>
          <w:b/>
          <w:bCs/>
        </w:rPr>
      </w:pPr>
      <w:r>
        <w:rPr>
          <w:b/>
          <w:bCs/>
          <w:i/>
          <w:iCs/>
        </w:rPr>
        <w:t xml:space="preserve">Tạo Thuận Lợi Thương Mại. </w:t>
      </w:r>
      <w:r>
        <w:t>Mặc dù ASEAN và GCC đã đạt được những tiến bộ đáng kể trong việc triển khai các biện pháp tạo thuận lợi thương mại, một số lĩnh vực then chốt sau đây sẽ có ý nghĩa quyết định cho việc tiếp tục nâng cao hiệu quả trong lĩnh vực này: (i) tăng cường minh bạch, bao gồm việc chia sẻ thông tin về các quy định khác nhau và xác định những yếu tố dữ liệu có thể được hai khu vực hài hòa, đồng thời cập nhật lên các cổng thông tin thương mại; (ii) phát triển và củng cố các nền tảng số hóa hải quan để trao đổi chứng từ, cải thiện khả năng tương tác giữa các hệ thống hải quan quốc gia, rút ngắn thời gian thông quan và nâng cao hiệu quả tổng thể trên toàn khối; và (iii) thiết lập một cơ chế thể chế rõ ràng nhằm tăng cường hợp tác và phối hợp giữa hai khu vực.</w:t>
      </w:r>
    </w:p>
    <w:p w14:paraId="25DE189D" w14:textId="77777777" w:rsidR="006575CC" w:rsidRDefault="006575CC">
      <w:pPr>
        <w:ind w:left="720"/>
        <w:rPr>
          <w:b/>
          <w:bCs/>
        </w:rPr>
      </w:pPr>
    </w:p>
    <w:p w14:paraId="5462FD73" w14:textId="77777777" w:rsidR="006575CC" w:rsidRDefault="009F2BF5">
      <w:pPr>
        <w:numPr>
          <w:ilvl w:val="1"/>
          <w:numId w:val="1"/>
        </w:numPr>
      </w:pPr>
      <w:r>
        <w:rPr>
          <w:b/>
          <w:bCs/>
          <w:i/>
          <w:iCs/>
        </w:rPr>
        <w:t>Thương Mại Dịch Vụ.</w:t>
      </w:r>
      <w:r>
        <w:t xml:space="preserve"> Các khuyến nghị từ nghiên cứu này bao gồm: (i) tăng cường và tạo thuận lợi cho thương mại dịch vụ, bao gồm việc di chuyển nhân lực một cách thông suốt giữa ASEAN và GCC, thông qua một khuôn khổ tạo thuận lợi dịch vụ ASEAN–GCC; (ii) khuyến khích hợp tác trong các lĩnh vực có lợi ích chung như ngân hàng và dịch vụ tài chính, du lịch halal, chăm sóc sức khỏe, xây dựng, logistics và giáo dục – dựa trên lợi thế so sánh và nhu cầu kinh tế của mỗi bên; và (iii) nâng cấp và mở rộng các tuyến hàng không thông qua một thỏa thuận vận tải hàng không cấp khu vực nhằm tăng cường kết nối, đặc biệt là kết nối </w:t>
      </w:r>
      <w:r>
        <w:lastRenderedPageBreak/>
        <w:t>giữa người dân hai khu vực, cũng như tạo thuận lợi cho việc lưu chuyển hàng hóa và dịch vụ.</w:t>
      </w:r>
    </w:p>
    <w:p w14:paraId="74A20A61" w14:textId="77777777" w:rsidR="006575CC" w:rsidRDefault="009F2BF5">
      <w:pPr>
        <w:numPr>
          <w:ilvl w:val="0"/>
          <w:numId w:val="1"/>
        </w:numPr>
        <w:ind w:left="1276" w:hanging="556"/>
      </w:pPr>
      <w:r>
        <w:rPr>
          <w:b/>
          <w:bCs/>
          <w:u w:val="single"/>
        </w:rPr>
        <w:t xml:space="preserve">Chuyển Đổi Số. </w:t>
      </w:r>
      <w:r>
        <w:t>Tận dụng các sáng kiến chuyển đổi số của mỗi bên để thúc đẩy quan hệ kinh tế sâu rộng hơn, hợp tác về chuyển đổi số có thể bao gồm: (i) chia sẻ kinh nghiệm và thực tiễn tốt trong quá trình chuyển đổi số, đặc biệt trong các lĩnh vực tạo thuận lợi thương mại xuyên biên giới, thương mại điện tử, thanh toán số, v.v.; (ii) thúc đẩy ứng dụng công nghệ số trong các quy trình hải quan, bao gồm Cơ chế Một cửa ASEAN (ASW); (iii) tạo thuận lợi cho thương mại điện tử và thanh toán số; (iv) hợp tác trong các lĩnh vực liên quan đến số hóa như thành phố thông minh, Internet vạn vật (IoT), Trí tuệ nhân tạo (AI), chính phủ điện tử; và (v) thu hẹp khoảng cách số như một bước đi hướng tới thúc đẩy và tiến tới hội nhập số ASEAN–GCC.</w:t>
      </w:r>
    </w:p>
    <w:p w14:paraId="077510C5" w14:textId="77777777" w:rsidR="006575CC" w:rsidRDefault="009F2BF5">
      <w:pPr>
        <w:numPr>
          <w:ilvl w:val="0"/>
          <w:numId w:val="1"/>
        </w:numPr>
        <w:ind w:left="1276" w:hanging="556"/>
      </w:pPr>
      <w:r>
        <w:rPr>
          <w:b/>
          <w:bCs/>
          <w:u w:val="single"/>
        </w:rPr>
        <w:t xml:space="preserve">Tính Bền Vững. </w:t>
      </w:r>
      <w:r>
        <w:t>Phù hợp với mục tiêu theo đuổi nền kinh tế xanh của mỗi bên, ASEAN và GCC có thể xem xét ưu tiên và tập trung hợp tác ban đầu vào: (i) năng lượng tái tạo và hiệu quả năng lượng; (ii) kinh tế tuần hoàn; (iii) biến đổi khí hậu; và (iv) tài chính xanh. Cụ thể, hai bên có thể cân nhắc: trao đổi kinh nghiệm và thực tiễn tốt về quá trình chuyển đổi xanh; tăng cường hợp tác trong các lĩnh vực liên quan đến tác động của biến đổi khí hậu, bao gồm thu giữ, sử dụng và lưu trữ carbon (CCUS); tận dụng Chiến lược Trung hòa Carbon của ASEAN để thúc đẩy tính tuần hoàn trong chuỗi cung ứng và đẩy nhanh quá trình chuyển đổi sang nền kinh tế xanh; và xem xét việc ký kết Biên bản Ghi nhớ (MOU) về hợp tác đầu tư nhằm, trong đó có việc thúc đẩy đầu tư xanh vào năng lượng và năng lượng tái tạo, cũng như hợp tác phát triển khoáng sản bền vững để hỗ trợ phát triển các công nghệ liên quan.</w:t>
      </w:r>
    </w:p>
    <w:p w14:paraId="31110DD7" w14:textId="77777777" w:rsidR="006575CC" w:rsidRDefault="009F2BF5">
      <w:pPr>
        <w:numPr>
          <w:ilvl w:val="0"/>
          <w:numId w:val="1"/>
        </w:numPr>
        <w:ind w:left="1276" w:hanging="556"/>
      </w:pPr>
      <w:proofErr w:type="gramStart"/>
      <w:r>
        <w:rPr>
          <w:b/>
          <w:bCs/>
          <w:u w:val="single"/>
        </w:rPr>
        <w:t>An</w:t>
      </w:r>
      <w:proofErr w:type="gramEnd"/>
      <w:r>
        <w:rPr>
          <w:b/>
          <w:bCs/>
          <w:u w:val="single"/>
        </w:rPr>
        <w:t xml:space="preserve"> Ninh Lương Thực</w:t>
      </w:r>
      <w:r>
        <w:t>. Do GCC phụ thuộc nhiều vào nguồn cung bên ngoài và dễ bị tác động bởi những gián đoạn trong chuỗi cung ứng lương thực toàn cầu, khuyến nghị rằng, như một phần của việc làm sâu sắc hơn quan hệ kinh tế ASEAN–GCC và đóng góp vào nỗ lực bảo đảm an ninh lương thực của GCC, ASEAN nên xem xét khuyến khích GCC đầu tư vào sản xuất lương thực và nông sản ở nước ngoài, bao gồm nhưng không giới hạn ở việc đầu tư vào đất nông nghiệp cũng như ngành chế biến thực phẩm tại các quốc gia thành viên ASEAN, đặc biệt là thực phẩm halal, nhằm bảo đảm nguồn cung lương thực và nông sản ổn định, an toàn và liên tục.</w:t>
      </w:r>
    </w:p>
    <w:p w14:paraId="764CB463" w14:textId="77777777" w:rsidR="006575CC" w:rsidRDefault="009F2BF5">
      <w:pPr>
        <w:numPr>
          <w:ilvl w:val="0"/>
          <w:numId w:val="1"/>
        </w:numPr>
        <w:ind w:left="1276" w:hanging="556"/>
      </w:pPr>
      <w:proofErr w:type="gramStart"/>
      <w:r>
        <w:rPr>
          <w:b/>
          <w:bCs/>
          <w:u w:val="single"/>
        </w:rPr>
        <w:t>An</w:t>
      </w:r>
      <w:proofErr w:type="gramEnd"/>
      <w:r>
        <w:rPr>
          <w:b/>
          <w:bCs/>
          <w:u w:val="single"/>
        </w:rPr>
        <w:t xml:space="preserve"> Ninh Năng Lượng. </w:t>
      </w:r>
      <w:r>
        <w:t xml:space="preserve">Ngược lại, ASEAN phụ thuộc nhiều vào các nguồn cung bên ngoài cho nhu cầu năng lượng, đặc biệt là dầu và khí đốt, khiến khu vực đối mặt với nguy cơ không chỉ từ những gián đoạn tiềm ẩn trong chuỗi cung ứng toàn cầu mà còn từ căng thẳng địa chính trị – nhất là tại các vùng sản xuất dầu – và biến động giá năng lượng. Mặc dù ASEAN đã có những sáng kiến nhằm bảo đảm an ninh năng lượng trong khu vực, khuyến nghị rằng, như một phần của quan hệ kinh tế ASEAN–GCC, GCC có thể xem xét: (i) thiết lập kho dự trữ, tận dụng Cơ chế An ninh Năng lượng ASEAN (APSA), và một cơ chế ứng phó khẩn cấp phối hợp; và (ii) đầu tư Quỹ Tài </w:t>
      </w:r>
      <w:r>
        <w:lastRenderedPageBreak/>
        <w:t>sản Có chủ quyền (SWF) vào Dự án Lưới điện ASEAN cũng như tài trợ cho các dự án năng lượng sạch.</w:t>
      </w:r>
    </w:p>
    <w:p w14:paraId="77B13E83" w14:textId="57F1C755" w:rsidR="006575CC" w:rsidRDefault="009F2BF5">
      <w:pPr>
        <w:numPr>
          <w:ilvl w:val="0"/>
          <w:numId w:val="10"/>
        </w:numPr>
        <w:sectPr w:rsidR="006575CC">
          <w:pgSz w:w="12240" w:h="15840"/>
          <w:pgMar w:top="1440" w:right="1440" w:bottom="1440" w:left="1440" w:header="720" w:footer="720" w:gutter="0"/>
          <w:pgNumType w:start="1"/>
          <w:cols w:space="720"/>
        </w:sectPr>
      </w:pPr>
      <w:r>
        <w:t>Nhận thấy rằng Hiệp định Thương mại Tự do ASEAN–GCC (FTA) sẽ vẫn là mục tiêu cuối cùng, đề xuất rằng hai bên nên tiến hành một nghiên cứu khả thi chung để đánh giá sâu về chi phí và lợi ích kinh tế đối với cả ASEAN và GCC từ một FTA tiềm năng giữa hai bên. Cuối cùng, nhằm duy trì đà hợp tác sau khi dự kiến thông qua Tuyên bố về Quan hệ Kinh tế ASEAN–GCC tại Hội nghị Cấp cao ASEAN–GCC lần thứ 2 tổ chức vào tháng 5 năm 2025 tại Malaysia, khuyến nghị rằng cần xem xét thành lập một cơ chế thể chế. Cơ quan này được kỳ vọng sẽ thúc đẩy việc làm sâu sắc và mở rộng quan hệ đối tác kinh tế ASEAN–GCC phù hợp với Tuyên bố, cũng như xây dựng “thỏa thuận/hiệp định khung” để làm cơ sở cho việc triển khai các quan hệ hợp tác theo ngành.</w:t>
      </w:r>
    </w:p>
    <w:p w14:paraId="65B80DDD" w14:textId="77777777" w:rsidR="006575CC" w:rsidRDefault="009F2BF5">
      <w:pPr>
        <w:pStyle w:val="Heading1"/>
        <w:spacing w:before="360" w:after="80"/>
      </w:pPr>
      <w:bookmarkStart w:id="7" w:name="_heading=h.7f7p93gum3or" w:colFirst="0" w:colLast="0"/>
      <w:bookmarkEnd w:id="7"/>
      <w:r>
        <w:rPr>
          <w:sz w:val="28"/>
          <w:szCs w:val="28"/>
        </w:rPr>
        <w:lastRenderedPageBreak/>
        <w:t>Phần 1: Giới thiệu / Bối cảnh</w:t>
      </w:r>
    </w:p>
    <w:p w14:paraId="60F8D53D" w14:textId="77777777" w:rsidR="006575CC" w:rsidRDefault="009F2BF5">
      <w:pPr>
        <w:numPr>
          <w:ilvl w:val="3"/>
          <w:numId w:val="10"/>
        </w:numPr>
      </w:pPr>
      <w:r>
        <w:t>Hiệp hội các Quốc gia Đông Nam Á (ASEAN) và Hội đồng Hợp tác các Quốc gia Ả Rập vùng Vịnh (GCC) đang ở ngã rẽ trong quan hệ đối tác của mình sau Hội nghị Cấp cao ASEAN–GCC lần thứ nhất ngày 23 tháng 10 năm 2023 tại Riyadh, với điểm nhấn là việc thông qua Tuyên bố chung Hội nghị Thượng đỉnh Riyadh ASEAN–GCC và Khung Hợp tác ASEAN–GCC giai đoạn 2024–2028. Khung Hợp tác này quy định, trong số các nội dung khác, rằng hai bên sẽ “tiếp tục tham vấn để tìm kiếm các cơ hội mới về thương mại, đầu tư và hợp tác kỹ thuật giữa ASEAN và GCC, bao gồm khả năng xây dựng một thỏa thuận khung về hợp tác kinh tế, thương mại, kỹ thuật và đầu tư.”</w:t>
      </w:r>
    </w:p>
    <w:p w14:paraId="45196BF6" w14:textId="479EFCFE" w:rsidR="006575CC" w:rsidRDefault="009F2BF5">
      <w:pPr>
        <w:numPr>
          <w:ilvl w:val="3"/>
          <w:numId w:val="10"/>
        </w:numPr>
      </w:pPr>
      <w:r>
        <w:t>Hội nghị Cấp cao ASEAN–GCC lần thứ hai được tổ chức tại Malaysia vào tháng 5 năm 2025. Với vai trò là Chủ tịch ASEAN năm 2025, Malaysia đã xác định Tuyên bố về Hợp tác Kinh tế ASEAN–Hội đồng Hợp tác Vùng Vịnh (ASEAN–GCC) là một trong những Kết quả Kinh tế Ưu tiên thuộc Trụ cột Chiến lược 1 (Tăng cường Thương mại và Đầu tư). Với mục tiêu này, tại Hội nghị Bộ trưởng Kinh tế ASEAN (AEM) lần thứ 56 tổ chức tại Viêng Chăn vào tháng 9 năm 2024, các Bộ trưởng đã thống nhất tiến hành một nghiên cứu độc lập về việc thúc đẩy quan hệ kinh tế ASEAN–GCC, bao gồm khả năng thiết lập Hiệp định Thương mại Tự do (FTA) ASEAN–GCC, và trình các khuyến nghị lên các Bộ trưởng tại phiên họp AEM Retreat vào tháng 2 năm 2025 để xem xét.</w:t>
      </w:r>
    </w:p>
    <w:p w14:paraId="7B4F9E4C" w14:textId="77777777" w:rsidR="006575CC" w:rsidRDefault="009F2BF5">
      <w:pPr>
        <w:numPr>
          <w:ilvl w:val="3"/>
          <w:numId w:val="10"/>
        </w:numPr>
      </w:pPr>
      <w:r>
        <w:t>Nghiên cứu này dự kiến sẽ xem xét tính khả thi của một Hiệp định Thương mại Tự do (FTA) ASEAN–GCC hoặc các hình thức hợp tác theo ngành thay thế giữa ASEAN và GCC nhằm thúc đẩy hội nhập kinh tế khu vực–khu vực sâu rộng hơn, đồng thời giải quyết các điểm yếu tiềm ẩn của những ngành then chốt đối với cả hai bên, đặc biệt trong bối cảnh những thách thức địa chính trị hiện nay.</w:t>
      </w:r>
    </w:p>
    <w:p w14:paraId="3878B2F6" w14:textId="77777777" w:rsidR="006575CC" w:rsidRDefault="009F2BF5">
      <w:pPr>
        <w:numPr>
          <w:ilvl w:val="3"/>
          <w:numId w:val="10"/>
        </w:numPr>
      </w:pPr>
      <w:r>
        <w:t>Do thời gian hoàn thành nghiên cứu có hạn, phương pháp tiếp cận được sử dụng là dựa trên “Tiêu chí và Cách tiếp cận của Ban Thư ký ASEAN để Hướng dẫn Tham gia Kinh tế Chiến lược của ASEAN với các Đối tác Bên ngoài: Hội đồng Hợp tác Vùng Vịnh (GCC)” và bổ sung bằng phân tích so sánh lợi ích kinh tế giữa hai kịch bản: (a) FTA ASEAN–GCC; và (b) GCC gia nhập Hiệp định Đối tác Kinh tế Toàn diện Khu vực (RCEP).</w:t>
      </w:r>
    </w:p>
    <w:p w14:paraId="097649D5" w14:textId="77777777" w:rsidR="006575CC" w:rsidRDefault="009F2BF5">
      <w:pPr>
        <w:numPr>
          <w:ilvl w:val="3"/>
          <w:numId w:val="10"/>
        </w:numPr>
      </w:pPr>
      <w:r>
        <w:lastRenderedPageBreak/>
        <w:t>Nghiên cứu này sẽ bắt đầu với một cái nhìn tổng quan ngắn gọn về quan hệ ASEAN–GCC, sau đó đi sâu vào chương trình đàm phán thương mại của GCC đối với ASEAN và cách thức những chương trình này có thể thúc đẩy quan hệ kinh tế ASEAN–GCC sâu rộng hơn. Phần phân tích của nghiên cứu sẽ tập trung vào các lợi ích tiềm năng của FTA ASEAN–GCC so với việc GCC gia nhập Hiệp định RCEP, đồng thời đề cập đến chi phí đàm phán FTA ASEAN–GCC. Cuối cùng, nghiên cứu sẽ đưa ra các khuyến nghị về tính khả thi và thực tiễn của việc theo đuổi FTA với GCC cũng như các cách tiếp cận khả thi để nâng quan hệ kinh tế ASEAN–GCC lên tầm cao mới.</w:t>
      </w:r>
    </w:p>
    <w:p w14:paraId="19FB2847" w14:textId="77777777" w:rsidR="006575CC" w:rsidRDefault="009F2BF5">
      <w:pPr>
        <w:pStyle w:val="Heading1"/>
        <w:spacing w:before="360" w:after="80"/>
        <w:rPr>
          <w:u w:val="single"/>
        </w:rPr>
      </w:pPr>
      <w:bookmarkStart w:id="8" w:name="_heading=h.ceoetmqll2cq" w:colFirst="0" w:colLast="0"/>
      <w:bookmarkEnd w:id="8"/>
      <w:r>
        <w:rPr>
          <w:sz w:val="28"/>
          <w:szCs w:val="28"/>
        </w:rPr>
        <w:t>Phần 2: Tổng quan về quan hệ ASEAN–GCC</w:t>
      </w:r>
    </w:p>
    <w:p w14:paraId="5344F299" w14:textId="77777777" w:rsidR="006575CC" w:rsidRDefault="009F2BF5">
      <w:pPr>
        <w:numPr>
          <w:ilvl w:val="3"/>
          <w:numId w:val="10"/>
        </w:numPr>
      </w:pPr>
      <w:r>
        <w:rPr>
          <w:b/>
          <w:bCs/>
          <w:u w:val="single"/>
        </w:rPr>
        <w:t>Hội đồng Hợp tác Vùng Vịnh (GCC).</w:t>
      </w:r>
      <w:r>
        <w:t xml:space="preserve"> GCC có nguồn gốc từ năm 1975, khi các Bộ trưởng Ngoại giao từ tám quốc gia vùng Vịnh, gồm Bahrain, Iran, Iraq, Kuwait, Oman, Qatar, Ả Rập Saudi và Các Tiểu Vương quốc Ả Rập Thống nhất (UAE), gặp nhau tại Jeddah để thảo luận về đề xuất của Ả Rập Saudi về khả năng thiết lập một hiệp ước an ninh chung giữa các quốc gia này. Hội đồng Hợp tác các Quốc gia Ả Rập vùng Vịnh, hay còn gọi là GCC, chính thức được thành lập vào ngày 25 tháng 5 năm 1981, không bao gồm Iran và Iraq. Mục tiêu cơ bản của GCC, như được phản ánh trong Hiến chương GCC, là “thực hiện sự phối hợp, hội nhập và kết nối giữa các Quốc gia Thành viên trong tất cả các lĩnh vực nhằm đạt được sự thống nhất giữa họ” cũng như “làm sâu sắc và củng cố các mối quan hệ, liên kết và các lĩnh vực hợp tác hiện có giữa nhân dân các nước trong nhiều lĩnh vực khác nhau”.</w:t>
      </w:r>
    </w:p>
    <w:p w14:paraId="171BCA60" w14:textId="77777777" w:rsidR="006575CC" w:rsidRDefault="009F2BF5">
      <w:pPr>
        <w:numPr>
          <w:ilvl w:val="3"/>
          <w:numId w:val="10"/>
        </w:numPr>
      </w:pPr>
      <w:r>
        <w:t>Hiệp định Kinh tế giữa các Quốc gia GCC, ký tại Muscat vào ngày 31 tháng 12 năm 2001, đã mở đường cho việc thành lập Liên minh Hải quan GCC vào ngày 1 tháng 1 năm 2003. Điều 1 (Liên minh Hải quan) trong Chương 1 (Thương mại) của Hiệp định này quy định rằng “thương mại giữa các Quốc gia Thành viên GCC sẽ được thực hiện trong khuôn khổ một liên minh hải quan”. Liên minh này ít nhất phải bao gồm: (a) một biểu thuế quan chung bên ngoài (CET); (b) các quy định và thủ tục hải quan chung; (c) một điểm nhập khẩu duy nhất nơi thu thuế hải quan; (d) loại bỏ tất cả các rào cản về thuế quan và phi thuế quan, có tính đến các luật liên quan đến kiểm dịch nông nghiệp và thú y, cũng như các quy định về hàng hóa cấm và hạn chế; và (e) đối xử quốc gia đối với hàng hóa sản xuất tại bất kỳ quốc gia thành viên nào.</w:t>
      </w:r>
    </w:p>
    <w:p w14:paraId="202F82D8" w14:textId="0C5F7ABC" w:rsidR="006575CC" w:rsidRDefault="009F2BF5">
      <w:pPr>
        <w:numPr>
          <w:ilvl w:val="3"/>
          <w:numId w:val="10"/>
        </w:numPr>
      </w:pPr>
      <w:r>
        <w:lastRenderedPageBreak/>
        <w:t xml:space="preserve">Hiệp định cũng quy định tại Điều 2 (Quan hệ Kinh tế Quốc tế) rằng các quốc gia thành viên sẽ tiến hành quan hệ kinh tế một cách tập thể khi làm việc với các nước, khối và nhóm khu vực khác, cũng như các tổ chức khu vực/quốc tế khác. Để đạt được mục tiêu này, các quốc gia thành viên sẽ cùng nhau “đàm phán theo cách phục vụ </w:t>
      </w:r>
      <w:r w:rsidR="00F1697E">
        <w:t xml:space="preserve">quan điểm </w:t>
      </w:r>
      <w:r>
        <w:t>đàm phán của từng nước,” “ký kết các hiệp định kinh tế với các đối tác thương mại,” và thống nhất các chính sách trao đổi thương mại với bên ngoài. Trong Liên minh Hải quan GCC, hàng hóa nhập khẩu vào khu vực chịu thuế quan chung (CET) 5%. Hàng hóa này được thông quan tại điểm nhập khẩu đầu tiên dựa trên các thủ tục hải quan quy định trong Luật Hải quan Chung (2002) và khi đã được giải phóng, có thể tự do lưu thông trong khu vực. Doanh thu thu được từ các loại thuế nhập khẩu này sau đó được chia sẻ giữa các quốc gia thành viên.</w:t>
      </w:r>
    </w:p>
    <w:p w14:paraId="59BB5443" w14:textId="77777777" w:rsidR="006575CC" w:rsidRDefault="009F2BF5">
      <w:pPr>
        <w:numPr>
          <w:ilvl w:val="3"/>
          <w:numId w:val="10"/>
        </w:numPr>
      </w:pPr>
      <w:r>
        <w:t>Như thể hiện trong Bảng 1 dưới đây, GCC có tổng dân số khoảng 58 triệu người và tổng GDP xấp xỉ 2,11 nghìn tỷ USD. Mặc dù tổng quy mô kinh tế của GCC nhỏ hơn so với một số khu vực khác, nhưng thu nhập bình quân đầu người lại cao hơn. Qatar dẫn đầu với GDP bình quân đầu người 69,54 nghìn USD, tiếp theo là UAE với 48,14 nghìn USD, phản ánh sự giàu có từ dầu mỏ và các ngành dịch vụ giá trị cao. Ả Rập Saudi, nền kinh tế lớn nhất trong GCC, chiếm 1,06 nghìn tỷ USD GDP, thể hiện vị thế thống lĩnh của nước này trong nền kinh tế khu vực.</w:t>
      </w:r>
    </w:p>
    <w:p w14:paraId="029C663C" w14:textId="77777777" w:rsidR="006575CC" w:rsidRDefault="009F2BF5">
      <w:pPr>
        <w:jc w:val="center"/>
        <w:rPr>
          <w:b/>
          <w:bCs/>
          <w:i/>
          <w:iCs/>
          <w:color w:val="C00000"/>
        </w:rPr>
      </w:pPr>
      <w:bookmarkStart w:id="9" w:name="_heading=h.ol7t8lrjmwt8" w:colFirst="0" w:colLast="0"/>
      <w:bookmarkEnd w:id="9"/>
      <w:r>
        <w:rPr>
          <w:b/>
          <w:bCs/>
        </w:rPr>
        <w:t>Bảng 1. Các Chỉ số Kinh tế - Xã hội của GCC</w:t>
      </w:r>
    </w:p>
    <w:tbl>
      <w:tblPr>
        <w:tblStyle w:val="12"/>
        <w:tblW w:w="901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05"/>
        <w:gridCol w:w="1100"/>
        <w:gridCol w:w="1101"/>
        <w:gridCol w:w="1101"/>
        <w:gridCol w:w="1101"/>
        <w:gridCol w:w="1101"/>
        <w:gridCol w:w="1101"/>
      </w:tblGrid>
      <w:tr w:rsidR="006575CC" w14:paraId="1BC668C8" w14:textId="77777777" w:rsidTr="00657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50AC1BF" w14:textId="77777777" w:rsidR="006575CC" w:rsidRDefault="009F2BF5">
            <w:pPr>
              <w:rPr>
                <w:sz w:val="20"/>
                <w:szCs w:val="20"/>
              </w:rPr>
            </w:pPr>
            <w:r>
              <w:rPr>
                <w:sz w:val="20"/>
                <w:szCs w:val="20"/>
              </w:rPr>
              <w:t>Chỉ số</w:t>
            </w:r>
          </w:p>
        </w:tc>
        <w:tc>
          <w:tcPr>
            <w:tcW w:w="1100" w:type="dxa"/>
            <w:vAlign w:val="center"/>
          </w:tcPr>
          <w:p w14:paraId="48B78DD6" w14:textId="77777777" w:rsidR="006575CC" w:rsidRDefault="009F2BF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Bahrain</w:t>
            </w:r>
          </w:p>
        </w:tc>
        <w:tc>
          <w:tcPr>
            <w:tcW w:w="1101" w:type="dxa"/>
            <w:vAlign w:val="center"/>
          </w:tcPr>
          <w:p w14:paraId="44C9263B" w14:textId="77777777" w:rsidR="006575CC" w:rsidRDefault="009F2BF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Kuwait</w:t>
            </w:r>
          </w:p>
        </w:tc>
        <w:tc>
          <w:tcPr>
            <w:tcW w:w="1101" w:type="dxa"/>
            <w:vAlign w:val="center"/>
          </w:tcPr>
          <w:p w14:paraId="73CC76F4" w14:textId="77777777" w:rsidR="006575CC" w:rsidRDefault="009F2BF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Oman</w:t>
            </w:r>
          </w:p>
        </w:tc>
        <w:tc>
          <w:tcPr>
            <w:tcW w:w="1101" w:type="dxa"/>
            <w:vAlign w:val="center"/>
          </w:tcPr>
          <w:p w14:paraId="05FC6076" w14:textId="77777777" w:rsidR="006575CC" w:rsidRDefault="009F2BF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Qatar</w:t>
            </w:r>
          </w:p>
        </w:tc>
        <w:tc>
          <w:tcPr>
            <w:tcW w:w="1101" w:type="dxa"/>
            <w:vAlign w:val="center"/>
          </w:tcPr>
          <w:p w14:paraId="3E0D3F0C" w14:textId="77777777" w:rsidR="006575CC" w:rsidRDefault="009F2BF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Ả Rập Saudi</w:t>
            </w:r>
          </w:p>
        </w:tc>
        <w:tc>
          <w:tcPr>
            <w:tcW w:w="1101" w:type="dxa"/>
            <w:vAlign w:val="center"/>
          </w:tcPr>
          <w:p w14:paraId="1D388155" w14:textId="77777777" w:rsidR="006575CC" w:rsidRDefault="009F2BF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UAE</w:t>
            </w:r>
          </w:p>
        </w:tc>
      </w:tr>
      <w:tr w:rsidR="006575CC" w14:paraId="7579BCA8" w14:textId="77777777" w:rsidTr="00657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5AE7E66" w14:textId="77777777" w:rsidR="006575CC" w:rsidRDefault="009F2BF5">
            <w:pPr>
              <w:rPr>
                <w:sz w:val="20"/>
                <w:szCs w:val="20"/>
              </w:rPr>
            </w:pPr>
            <w:r>
              <w:rPr>
                <w:b w:val="0"/>
                <w:bCs w:val="0"/>
                <w:sz w:val="20"/>
                <w:szCs w:val="20"/>
              </w:rPr>
              <w:t>Dân số, 2019, triệu người</w:t>
            </w:r>
          </w:p>
        </w:tc>
        <w:tc>
          <w:tcPr>
            <w:tcW w:w="1100" w:type="dxa"/>
            <w:vAlign w:val="center"/>
          </w:tcPr>
          <w:p w14:paraId="3233DC4F"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p>
        </w:tc>
        <w:tc>
          <w:tcPr>
            <w:tcW w:w="1101" w:type="dxa"/>
            <w:vAlign w:val="center"/>
          </w:tcPr>
          <w:p w14:paraId="0A978098"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4.9</w:t>
            </w:r>
          </w:p>
        </w:tc>
        <w:tc>
          <w:tcPr>
            <w:tcW w:w="1101" w:type="dxa"/>
            <w:vAlign w:val="center"/>
          </w:tcPr>
          <w:p w14:paraId="712CFC0A"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5.2</w:t>
            </w:r>
          </w:p>
        </w:tc>
        <w:tc>
          <w:tcPr>
            <w:tcW w:w="1101" w:type="dxa"/>
            <w:vAlign w:val="center"/>
          </w:tcPr>
          <w:p w14:paraId="65CE0E02"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p>
        </w:tc>
        <w:tc>
          <w:tcPr>
            <w:tcW w:w="1101" w:type="dxa"/>
            <w:vAlign w:val="center"/>
          </w:tcPr>
          <w:p w14:paraId="2CFC3EAA"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32.8</w:t>
            </w:r>
          </w:p>
        </w:tc>
        <w:tc>
          <w:tcPr>
            <w:tcW w:w="1101" w:type="dxa"/>
            <w:vAlign w:val="center"/>
          </w:tcPr>
          <w:p w14:paraId="63FCD4BA"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10.7</w:t>
            </w:r>
          </w:p>
        </w:tc>
      </w:tr>
      <w:tr w:rsidR="006575CC" w14:paraId="071619A0" w14:textId="77777777" w:rsidTr="006575CC">
        <w:trPr>
          <w:trHeight w:val="416"/>
        </w:trPr>
        <w:tc>
          <w:tcPr>
            <w:cnfStyle w:val="001000000000" w:firstRow="0" w:lastRow="0" w:firstColumn="1" w:lastColumn="0" w:oddVBand="0" w:evenVBand="0" w:oddHBand="0" w:evenHBand="0" w:firstRowFirstColumn="0" w:firstRowLastColumn="0" w:lastRowFirstColumn="0" w:lastRowLastColumn="0"/>
            <w:tcW w:w="2405" w:type="dxa"/>
          </w:tcPr>
          <w:p w14:paraId="5A47781C" w14:textId="77777777" w:rsidR="006575CC" w:rsidRDefault="009F2BF5">
            <w:pPr>
              <w:rPr>
                <w:sz w:val="20"/>
                <w:szCs w:val="20"/>
              </w:rPr>
            </w:pPr>
            <w:r>
              <w:rPr>
                <w:b w:val="0"/>
                <w:bCs w:val="0"/>
                <w:sz w:val="20"/>
                <w:szCs w:val="20"/>
              </w:rPr>
              <w:t>GDP, 2023, tỷ USD</w:t>
            </w:r>
          </w:p>
        </w:tc>
        <w:tc>
          <w:tcPr>
            <w:tcW w:w="1100" w:type="dxa"/>
            <w:vAlign w:val="center"/>
          </w:tcPr>
          <w:p w14:paraId="02D7A66A"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46.1</w:t>
            </w:r>
          </w:p>
        </w:tc>
        <w:tc>
          <w:tcPr>
            <w:tcW w:w="1101" w:type="dxa"/>
            <w:vAlign w:val="center"/>
          </w:tcPr>
          <w:p w14:paraId="2617D4A0"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163.7</w:t>
            </w:r>
          </w:p>
        </w:tc>
        <w:tc>
          <w:tcPr>
            <w:tcW w:w="1101" w:type="dxa"/>
            <w:vAlign w:val="center"/>
          </w:tcPr>
          <w:p w14:paraId="7B44C6BB"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108.8</w:t>
            </w:r>
          </w:p>
        </w:tc>
        <w:tc>
          <w:tcPr>
            <w:tcW w:w="1101" w:type="dxa"/>
            <w:vAlign w:val="center"/>
          </w:tcPr>
          <w:p w14:paraId="1888E527"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213.0</w:t>
            </w:r>
          </w:p>
        </w:tc>
        <w:tc>
          <w:tcPr>
            <w:tcW w:w="1101" w:type="dxa"/>
            <w:vAlign w:val="center"/>
          </w:tcPr>
          <w:p w14:paraId="56CBCE53"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1,067.6</w:t>
            </w:r>
          </w:p>
        </w:tc>
        <w:tc>
          <w:tcPr>
            <w:tcW w:w="1101" w:type="dxa"/>
            <w:vAlign w:val="center"/>
          </w:tcPr>
          <w:p w14:paraId="63B73917"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514.1</w:t>
            </w:r>
          </w:p>
        </w:tc>
      </w:tr>
      <w:tr w:rsidR="006575CC" w14:paraId="4199713D" w14:textId="77777777" w:rsidTr="00657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5E1C2AC" w14:textId="77777777" w:rsidR="006575CC" w:rsidRDefault="009F2BF5">
            <w:pPr>
              <w:rPr>
                <w:sz w:val="20"/>
                <w:szCs w:val="20"/>
              </w:rPr>
            </w:pPr>
            <w:r>
              <w:rPr>
                <w:b w:val="0"/>
                <w:bCs w:val="0"/>
                <w:sz w:val="20"/>
                <w:szCs w:val="20"/>
              </w:rPr>
              <w:t>Tăng trưởng thực tế hàng năm, 2023 (%)</w:t>
            </w:r>
          </w:p>
        </w:tc>
        <w:tc>
          <w:tcPr>
            <w:tcW w:w="1100" w:type="dxa"/>
            <w:vAlign w:val="center"/>
          </w:tcPr>
          <w:p w14:paraId="70F63F7C"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p>
        </w:tc>
        <w:tc>
          <w:tcPr>
            <w:tcW w:w="1101" w:type="dxa"/>
            <w:vAlign w:val="center"/>
          </w:tcPr>
          <w:p w14:paraId="31EE73C1"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w:t>
            </w:r>
          </w:p>
        </w:tc>
        <w:tc>
          <w:tcPr>
            <w:tcW w:w="1101" w:type="dxa"/>
            <w:vAlign w:val="center"/>
          </w:tcPr>
          <w:p w14:paraId="23DB88C2"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c>
          <w:tcPr>
            <w:tcW w:w="1101" w:type="dxa"/>
            <w:vAlign w:val="center"/>
          </w:tcPr>
          <w:p w14:paraId="381A458E"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1101" w:type="dxa"/>
            <w:vAlign w:val="center"/>
          </w:tcPr>
          <w:p w14:paraId="62EB3293"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w:t>
            </w:r>
          </w:p>
        </w:tc>
        <w:tc>
          <w:tcPr>
            <w:tcW w:w="1101" w:type="dxa"/>
            <w:vAlign w:val="center"/>
          </w:tcPr>
          <w:p w14:paraId="74001102"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w:t>
            </w:r>
          </w:p>
        </w:tc>
      </w:tr>
      <w:tr w:rsidR="006575CC" w14:paraId="136D395F" w14:textId="77777777" w:rsidTr="006575CC">
        <w:tc>
          <w:tcPr>
            <w:cnfStyle w:val="001000000000" w:firstRow="0" w:lastRow="0" w:firstColumn="1" w:lastColumn="0" w:oddVBand="0" w:evenVBand="0" w:oddHBand="0" w:evenHBand="0" w:firstRowFirstColumn="0" w:firstRowLastColumn="0" w:lastRowFirstColumn="0" w:lastRowLastColumn="0"/>
            <w:tcW w:w="2405" w:type="dxa"/>
          </w:tcPr>
          <w:p w14:paraId="369A0036" w14:textId="77777777" w:rsidR="006575CC" w:rsidRDefault="009F2BF5">
            <w:pPr>
              <w:rPr>
                <w:sz w:val="20"/>
                <w:szCs w:val="20"/>
              </w:rPr>
            </w:pPr>
            <w:r>
              <w:rPr>
                <w:b w:val="0"/>
                <w:bCs w:val="0"/>
                <w:sz w:val="20"/>
                <w:szCs w:val="20"/>
              </w:rPr>
              <w:t>GDP bình quân đầu người, 2019, nghìn USD</w:t>
            </w:r>
          </w:p>
        </w:tc>
        <w:tc>
          <w:tcPr>
            <w:tcW w:w="1100" w:type="dxa"/>
            <w:vAlign w:val="center"/>
          </w:tcPr>
          <w:p w14:paraId="4D06E34B"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29.2</w:t>
            </w:r>
          </w:p>
        </w:tc>
        <w:tc>
          <w:tcPr>
            <w:tcW w:w="1101" w:type="dxa"/>
            <w:vAlign w:val="center"/>
          </w:tcPr>
          <w:p w14:paraId="1C4A9F9F"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33.3</w:t>
            </w:r>
          </w:p>
        </w:tc>
        <w:tc>
          <w:tcPr>
            <w:tcW w:w="1101" w:type="dxa"/>
            <w:vAlign w:val="center"/>
          </w:tcPr>
          <w:p w14:paraId="75DA5566"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21.1</w:t>
            </w:r>
          </w:p>
        </w:tc>
        <w:tc>
          <w:tcPr>
            <w:tcW w:w="1101" w:type="dxa"/>
            <w:vAlign w:val="center"/>
          </w:tcPr>
          <w:p w14:paraId="540B2490"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69.5</w:t>
            </w:r>
          </w:p>
        </w:tc>
        <w:tc>
          <w:tcPr>
            <w:tcW w:w="1101" w:type="dxa"/>
            <w:vAlign w:val="center"/>
          </w:tcPr>
          <w:p w14:paraId="4A86818D"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32.5</w:t>
            </w:r>
          </w:p>
        </w:tc>
        <w:tc>
          <w:tcPr>
            <w:tcW w:w="1101" w:type="dxa"/>
            <w:vAlign w:val="center"/>
          </w:tcPr>
          <w:p w14:paraId="2524E4E0"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48.1</w:t>
            </w:r>
          </w:p>
        </w:tc>
      </w:tr>
      <w:tr w:rsidR="006575CC" w14:paraId="09E9C9A9" w14:textId="77777777" w:rsidTr="00657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03EBCBD" w14:textId="77777777" w:rsidR="006575CC" w:rsidRDefault="009F2BF5">
            <w:pPr>
              <w:rPr>
                <w:sz w:val="20"/>
                <w:szCs w:val="20"/>
              </w:rPr>
            </w:pPr>
            <w:r>
              <w:rPr>
                <w:b w:val="0"/>
                <w:bCs w:val="0"/>
                <w:sz w:val="20"/>
                <w:szCs w:val="20"/>
              </w:rPr>
              <w:lastRenderedPageBreak/>
              <w:t>Thương mại hàng hóa, 2023, tỷ USD</w:t>
            </w:r>
          </w:p>
        </w:tc>
        <w:tc>
          <w:tcPr>
            <w:tcW w:w="1100" w:type="dxa"/>
            <w:vAlign w:val="center"/>
          </w:tcPr>
          <w:p w14:paraId="61DB8695"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40.2</w:t>
            </w:r>
          </w:p>
        </w:tc>
        <w:tc>
          <w:tcPr>
            <w:tcW w:w="1101" w:type="dxa"/>
            <w:vAlign w:val="center"/>
          </w:tcPr>
          <w:p w14:paraId="3DC6FFDC"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121.5</w:t>
            </w:r>
          </w:p>
        </w:tc>
        <w:tc>
          <w:tcPr>
            <w:tcW w:w="1101" w:type="dxa"/>
            <w:vAlign w:val="center"/>
          </w:tcPr>
          <w:p w14:paraId="16526CD2"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99.1</w:t>
            </w:r>
          </w:p>
        </w:tc>
        <w:tc>
          <w:tcPr>
            <w:tcW w:w="1101" w:type="dxa"/>
            <w:vAlign w:val="center"/>
          </w:tcPr>
          <w:p w14:paraId="73257C38"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128.2</w:t>
            </w:r>
          </w:p>
        </w:tc>
        <w:tc>
          <w:tcPr>
            <w:tcW w:w="1101" w:type="dxa"/>
            <w:vAlign w:val="center"/>
          </w:tcPr>
          <w:p w14:paraId="001B5893"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527.0</w:t>
            </w:r>
          </w:p>
        </w:tc>
        <w:tc>
          <w:tcPr>
            <w:tcW w:w="1101" w:type="dxa"/>
            <w:vAlign w:val="center"/>
          </w:tcPr>
          <w:p w14:paraId="3421A5FE"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954.0</w:t>
            </w:r>
          </w:p>
        </w:tc>
      </w:tr>
      <w:tr w:rsidR="006575CC" w14:paraId="50E86B5F" w14:textId="77777777" w:rsidTr="006575CC">
        <w:tc>
          <w:tcPr>
            <w:cnfStyle w:val="001000000000" w:firstRow="0" w:lastRow="0" w:firstColumn="1" w:lastColumn="0" w:oddVBand="0" w:evenVBand="0" w:oddHBand="0" w:evenHBand="0" w:firstRowFirstColumn="0" w:firstRowLastColumn="0" w:lastRowFirstColumn="0" w:lastRowLastColumn="0"/>
            <w:tcW w:w="2405" w:type="dxa"/>
          </w:tcPr>
          <w:p w14:paraId="68EA05B9" w14:textId="77777777" w:rsidR="006575CC" w:rsidRDefault="009F2BF5">
            <w:pPr>
              <w:rPr>
                <w:sz w:val="20"/>
                <w:szCs w:val="20"/>
              </w:rPr>
            </w:pPr>
            <w:r>
              <w:rPr>
                <w:b w:val="0"/>
                <w:bCs w:val="0"/>
                <w:sz w:val="20"/>
                <w:szCs w:val="20"/>
              </w:rPr>
              <w:t>Thương mại dịch vụ, 2023, tỷ USD</w:t>
            </w:r>
          </w:p>
        </w:tc>
        <w:tc>
          <w:tcPr>
            <w:tcW w:w="1100" w:type="dxa"/>
            <w:vAlign w:val="center"/>
          </w:tcPr>
          <w:p w14:paraId="74EA8649"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27.6</w:t>
            </w:r>
          </w:p>
        </w:tc>
        <w:tc>
          <w:tcPr>
            <w:tcW w:w="1101" w:type="dxa"/>
            <w:vAlign w:val="center"/>
          </w:tcPr>
          <w:p w14:paraId="642E96ED"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38.6</w:t>
            </w:r>
          </w:p>
        </w:tc>
        <w:tc>
          <w:tcPr>
            <w:tcW w:w="1101" w:type="dxa"/>
            <w:vAlign w:val="center"/>
          </w:tcPr>
          <w:p w14:paraId="6A60FE67"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15.1</w:t>
            </w:r>
          </w:p>
        </w:tc>
        <w:tc>
          <w:tcPr>
            <w:tcW w:w="1101" w:type="dxa"/>
            <w:vAlign w:val="center"/>
          </w:tcPr>
          <w:p w14:paraId="260C9C5F"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68.0</w:t>
            </w:r>
          </w:p>
        </w:tc>
        <w:tc>
          <w:tcPr>
            <w:tcW w:w="1101" w:type="dxa"/>
            <w:vAlign w:val="center"/>
          </w:tcPr>
          <w:p w14:paraId="4CD7B204"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132.8</w:t>
            </w:r>
          </w:p>
        </w:tc>
        <w:tc>
          <w:tcPr>
            <w:tcW w:w="1101" w:type="dxa"/>
            <w:vAlign w:val="center"/>
          </w:tcPr>
          <w:p w14:paraId="09D52490"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272.8</w:t>
            </w:r>
          </w:p>
        </w:tc>
      </w:tr>
      <w:tr w:rsidR="006575CC" w14:paraId="575ABED6" w14:textId="77777777" w:rsidTr="00657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666666"/>
            </w:tcBorders>
          </w:tcPr>
          <w:p w14:paraId="7F6C0B27" w14:textId="77777777" w:rsidR="006575CC" w:rsidRDefault="009F2BF5">
            <w:pPr>
              <w:rPr>
                <w:sz w:val="20"/>
                <w:szCs w:val="20"/>
              </w:rPr>
            </w:pPr>
            <w:r>
              <w:rPr>
                <w:b w:val="0"/>
                <w:bCs w:val="0"/>
                <w:sz w:val="20"/>
                <w:szCs w:val="20"/>
              </w:rPr>
              <w:t>FDI vào, 2023, tỷ USD</w:t>
            </w:r>
          </w:p>
        </w:tc>
        <w:tc>
          <w:tcPr>
            <w:tcW w:w="1100" w:type="dxa"/>
            <w:tcBorders>
              <w:bottom w:val="single" w:sz="4" w:space="0" w:color="666666"/>
            </w:tcBorders>
            <w:vAlign w:val="center"/>
          </w:tcPr>
          <w:p w14:paraId="6EF4C9BB"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w:t>
            </w:r>
          </w:p>
        </w:tc>
        <w:tc>
          <w:tcPr>
            <w:tcW w:w="1101" w:type="dxa"/>
            <w:tcBorders>
              <w:bottom w:val="single" w:sz="4" w:space="0" w:color="666666"/>
            </w:tcBorders>
            <w:vAlign w:val="center"/>
          </w:tcPr>
          <w:p w14:paraId="3FEC00CC"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w:t>
            </w:r>
          </w:p>
        </w:tc>
        <w:tc>
          <w:tcPr>
            <w:tcW w:w="1101" w:type="dxa"/>
            <w:tcBorders>
              <w:bottom w:val="single" w:sz="4" w:space="0" w:color="666666"/>
            </w:tcBorders>
            <w:vAlign w:val="center"/>
          </w:tcPr>
          <w:p w14:paraId="5BE7614F"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4.7</w:t>
            </w:r>
          </w:p>
        </w:tc>
        <w:tc>
          <w:tcPr>
            <w:tcW w:w="1101" w:type="dxa"/>
            <w:tcBorders>
              <w:bottom w:val="single" w:sz="4" w:space="0" w:color="666666"/>
            </w:tcBorders>
            <w:vAlign w:val="center"/>
          </w:tcPr>
          <w:p w14:paraId="568CED50"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-0.05</w:t>
            </w:r>
          </w:p>
        </w:tc>
        <w:tc>
          <w:tcPr>
            <w:tcW w:w="1101" w:type="dxa"/>
            <w:tcBorders>
              <w:bottom w:val="single" w:sz="4" w:space="0" w:color="666666"/>
            </w:tcBorders>
            <w:vAlign w:val="center"/>
          </w:tcPr>
          <w:p w14:paraId="7778F931"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12.3</w:t>
            </w:r>
          </w:p>
        </w:tc>
        <w:tc>
          <w:tcPr>
            <w:tcW w:w="1101" w:type="dxa"/>
            <w:tcBorders>
              <w:bottom w:val="single" w:sz="4" w:space="0" w:color="666666"/>
            </w:tcBorders>
            <w:vAlign w:val="center"/>
          </w:tcPr>
          <w:p w14:paraId="76FCB28D" w14:textId="77777777" w:rsidR="006575CC" w:rsidRDefault="009F2BF5">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30.7</w:t>
            </w:r>
          </w:p>
        </w:tc>
      </w:tr>
      <w:tr w:rsidR="006575CC" w14:paraId="3A676262" w14:textId="77777777" w:rsidTr="006575CC">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666666"/>
            </w:tcBorders>
          </w:tcPr>
          <w:p w14:paraId="4F57FC12" w14:textId="77777777" w:rsidR="006575CC" w:rsidRDefault="009F2BF5">
            <w:pPr>
              <w:rPr>
                <w:sz w:val="20"/>
                <w:szCs w:val="20"/>
              </w:rPr>
            </w:pPr>
            <w:r>
              <w:rPr>
                <w:b w:val="0"/>
                <w:bCs w:val="0"/>
                <w:sz w:val="20"/>
                <w:szCs w:val="20"/>
              </w:rPr>
              <w:t>FDI ra, 2023, tỷ USD</w:t>
            </w:r>
          </w:p>
        </w:tc>
        <w:tc>
          <w:tcPr>
            <w:tcW w:w="1100" w:type="dxa"/>
            <w:tcBorders>
              <w:bottom w:val="single" w:sz="4" w:space="0" w:color="666666"/>
            </w:tcBorders>
            <w:vAlign w:val="center"/>
          </w:tcPr>
          <w:p w14:paraId="7D6E20B1"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101" w:type="dxa"/>
            <w:tcBorders>
              <w:bottom w:val="single" w:sz="4" w:space="0" w:color="666666"/>
            </w:tcBorders>
            <w:vAlign w:val="center"/>
          </w:tcPr>
          <w:p w14:paraId="04E9248F"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11.2</w:t>
            </w:r>
          </w:p>
        </w:tc>
        <w:tc>
          <w:tcPr>
            <w:tcW w:w="1101" w:type="dxa"/>
            <w:tcBorders>
              <w:bottom w:val="single" w:sz="4" w:space="0" w:color="666666"/>
            </w:tcBorders>
            <w:vAlign w:val="center"/>
          </w:tcPr>
          <w:p w14:paraId="7F2C37F8"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w:t>
            </w:r>
          </w:p>
        </w:tc>
        <w:tc>
          <w:tcPr>
            <w:tcW w:w="1101" w:type="dxa"/>
            <w:tcBorders>
              <w:bottom w:val="single" w:sz="4" w:space="0" w:color="666666"/>
            </w:tcBorders>
            <w:vAlign w:val="center"/>
          </w:tcPr>
          <w:p w14:paraId="5E6C23DF"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w:t>
            </w:r>
          </w:p>
        </w:tc>
        <w:tc>
          <w:tcPr>
            <w:tcW w:w="1101" w:type="dxa"/>
            <w:tcBorders>
              <w:bottom w:val="single" w:sz="4" w:space="0" w:color="666666"/>
            </w:tcBorders>
            <w:vAlign w:val="center"/>
          </w:tcPr>
          <w:p w14:paraId="75A908BC"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16.1</w:t>
            </w:r>
          </w:p>
        </w:tc>
        <w:tc>
          <w:tcPr>
            <w:tcW w:w="1101" w:type="dxa"/>
            <w:tcBorders>
              <w:bottom w:val="single" w:sz="4" w:space="0" w:color="666666"/>
            </w:tcBorders>
            <w:vAlign w:val="center"/>
          </w:tcPr>
          <w:p w14:paraId="70C1159F"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22.3</w:t>
            </w:r>
          </w:p>
        </w:tc>
      </w:tr>
    </w:tbl>
    <w:p w14:paraId="2B36198D" w14:textId="77777777" w:rsidR="006575CC" w:rsidRDefault="009F2BF5">
      <w:pPr>
        <w:rPr>
          <w:i/>
          <w:iCs/>
          <w:color w:val="C00000"/>
        </w:rPr>
      </w:pPr>
      <w:r>
        <w:rPr>
          <w:sz w:val="20"/>
          <w:szCs w:val="20"/>
        </w:rPr>
        <w:t>Nguồn: Quỹ Tiền tệ Quốc tế, Cơ sở dữ liệu Triển vọng Kinh tế Thế giới (tháng 10/2024) cho GDP, Tăng trưởng Hàng năm và Dân số; UNCTADStat cho Tăng trưởng Trung bình Hàng năm và Đầu tư Trực tiếp Nước ngoài (dòng vào và dòng ra); WTO Stats cho thương mại hàng hóa và dịch vụ.</w:t>
      </w:r>
    </w:p>
    <w:p w14:paraId="557F08CB" w14:textId="77777777" w:rsidR="006575CC" w:rsidRDefault="009F2BF5">
      <w:pPr>
        <w:numPr>
          <w:ilvl w:val="3"/>
          <w:numId w:val="10"/>
        </w:numPr>
      </w:pPr>
      <w:r>
        <w:t>Hồ sơ thương mại của GCC, được trình bày trong Bảng 2, phản ánh sự phụ thuộc lẫn nhau cả trong khu vực và trên phạm vi toàn cầu. Trung Quốc là đối tác thương mại bên ngoài lớn nhất, với tổng giá trị thương mại đạt 222 tỷ USD, cho thấy vai trò quan trọng của nước này trong xuất khẩu dầu mỏ của GCC cũng như nhập khẩu các mặt hàng như máy móc và thiết bị điện tử. Thương mại nội khối GCC đạt 191 tỷ USD, nhấn mạnh nỗ lực hội nhập kinh tế giữa các quốc gia thành viên thông qua các sáng kiến hợp tác. Đồng thời, Ấn Độ và các quốc gia ASEAN cũng là những đối tác thương mại chủ chốt, với tổng giá trị thương mại lần lượt đạt 121 tỷ USD và 102 tỷ USD, phản ánh tầm quan trọng ngày càng tăng của Nam Á và Đông Nam Á đối với thương mại của GCC.</w:t>
      </w:r>
    </w:p>
    <w:p w14:paraId="05813408" w14:textId="77777777" w:rsidR="006575CC" w:rsidRDefault="006575CC"/>
    <w:p w14:paraId="48B5DA0B" w14:textId="77777777" w:rsidR="006575CC" w:rsidRDefault="009F2BF5">
      <w:pPr>
        <w:jc w:val="center"/>
      </w:pPr>
      <w:bookmarkStart w:id="10" w:name="_heading=h.dxe4y1k5q3tt" w:colFirst="0" w:colLast="0"/>
      <w:bookmarkEnd w:id="10"/>
      <w:r>
        <w:rPr>
          <w:b/>
          <w:bCs/>
        </w:rPr>
        <w:t>Bảng 2. Các Đối tác Thương mại Hàng hóa Lớn nhất của GCC, 2023</w:t>
      </w:r>
    </w:p>
    <w:tbl>
      <w:tblPr>
        <w:tblStyle w:val="11"/>
        <w:tblW w:w="8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2040"/>
        <w:gridCol w:w="1785"/>
        <w:gridCol w:w="1785"/>
        <w:gridCol w:w="1785"/>
      </w:tblGrid>
      <w:tr w:rsidR="006575CC" w14:paraId="32DE4C19" w14:textId="77777777">
        <w:trPr>
          <w:jc w:val="center"/>
        </w:trPr>
        <w:tc>
          <w:tcPr>
            <w:tcW w:w="660" w:type="dxa"/>
            <w:vAlign w:val="center"/>
          </w:tcPr>
          <w:p w14:paraId="037AA840" w14:textId="77777777" w:rsidR="006575CC" w:rsidRDefault="009F2BF5">
            <w:pPr>
              <w:jc w:val="center"/>
              <w:rPr>
                <w:sz w:val="20"/>
                <w:szCs w:val="20"/>
              </w:rPr>
            </w:pPr>
            <w:r>
              <w:rPr>
                <w:sz w:val="20"/>
                <w:szCs w:val="20"/>
              </w:rPr>
              <w:t>STT</w:t>
            </w:r>
          </w:p>
        </w:tc>
        <w:tc>
          <w:tcPr>
            <w:tcW w:w="2040" w:type="dxa"/>
            <w:vAlign w:val="center"/>
          </w:tcPr>
          <w:p w14:paraId="139540F9" w14:textId="77777777" w:rsidR="006575CC" w:rsidRDefault="009F2BF5">
            <w:pPr>
              <w:jc w:val="center"/>
              <w:rPr>
                <w:sz w:val="20"/>
                <w:szCs w:val="20"/>
              </w:rPr>
            </w:pPr>
            <w:r>
              <w:rPr>
                <w:sz w:val="20"/>
                <w:szCs w:val="20"/>
              </w:rPr>
              <w:t>Đối tác thương mại</w:t>
            </w:r>
          </w:p>
        </w:tc>
        <w:tc>
          <w:tcPr>
            <w:tcW w:w="1785" w:type="dxa"/>
            <w:vAlign w:val="center"/>
          </w:tcPr>
          <w:p w14:paraId="5FEA39E4" w14:textId="77777777" w:rsidR="006575CC" w:rsidRDefault="009F2BF5">
            <w:pPr>
              <w:jc w:val="left"/>
              <w:rPr>
                <w:sz w:val="20"/>
                <w:szCs w:val="20"/>
              </w:rPr>
            </w:pPr>
            <w:r>
              <w:rPr>
                <w:sz w:val="20"/>
                <w:szCs w:val="20"/>
              </w:rPr>
              <w:t>Tổng (tỷ USD)</w:t>
            </w:r>
          </w:p>
        </w:tc>
        <w:tc>
          <w:tcPr>
            <w:tcW w:w="1785" w:type="dxa"/>
            <w:vAlign w:val="center"/>
          </w:tcPr>
          <w:p w14:paraId="37BBCAD4" w14:textId="77777777" w:rsidR="006575CC" w:rsidRDefault="009F2BF5">
            <w:pPr>
              <w:jc w:val="center"/>
              <w:rPr>
                <w:sz w:val="20"/>
                <w:szCs w:val="20"/>
              </w:rPr>
            </w:pPr>
            <w:r>
              <w:rPr>
                <w:sz w:val="20"/>
                <w:szCs w:val="20"/>
              </w:rPr>
              <w:t>Xuất khẩu (tỷ USD)</w:t>
            </w:r>
          </w:p>
        </w:tc>
        <w:tc>
          <w:tcPr>
            <w:tcW w:w="1785" w:type="dxa"/>
            <w:vAlign w:val="center"/>
          </w:tcPr>
          <w:p w14:paraId="3A60E92E" w14:textId="77777777" w:rsidR="006575CC" w:rsidRDefault="009F2BF5">
            <w:pPr>
              <w:jc w:val="left"/>
              <w:rPr>
                <w:sz w:val="20"/>
                <w:szCs w:val="20"/>
              </w:rPr>
            </w:pPr>
            <w:r>
              <w:rPr>
                <w:sz w:val="20"/>
                <w:szCs w:val="20"/>
              </w:rPr>
              <w:t>Nhập khẩu (tỷ USD)</w:t>
            </w:r>
          </w:p>
        </w:tc>
      </w:tr>
      <w:tr w:rsidR="006575CC" w14:paraId="6C4F60BE" w14:textId="77777777">
        <w:trPr>
          <w:jc w:val="center"/>
        </w:trPr>
        <w:tc>
          <w:tcPr>
            <w:tcW w:w="660" w:type="dxa"/>
          </w:tcPr>
          <w:p w14:paraId="151A3260" w14:textId="77777777" w:rsidR="006575CC" w:rsidRDefault="009F2BF5">
            <w:pPr>
              <w:jc w:val="center"/>
              <w:rPr>
                <w:sz w:val="20"/>
                <w:szCs w:val="20"/>
              </w:rPr>
            </w:pPr>
            <w:r>
              <w:rPr>
                <w:sz w:val="20"/>
                <w:szCs w:val="20"/>
              </w:rPr>
              <w:t>1</w:t>
            </w:r>
          </w:p>
        </w:tc>
        <w:tc>
          <w:tcPr>
            <w:tcW w:w="2040" w:type="dxa"/>
          </w:tcPr>
          <w:p w14:paraId="290B57CE" w14:textId="77777777" w:rsidR="006575CC" w:rsidRDefault="009F2BF5">
            <w:pPr>
              <w:rPr>
                <w:sz w:val="20"/>
                <w:szCs w:val="20"/>
              </w:rPr>
            </w:pPr>
            <w:r>
              <w:rPr>
                <w:sz w:val="20"/>
                <w:szCs w:val="20"/>
              </w:rPr>
              <w:t>Trung Quốc</w:t>
            </w:r>
          </w:p>
        </w:tc>
        <w:tc>
          <w:tcPr>
            <w:tcW w:w="1785" w:type="dxa"/>
          </w:tcPr>
          <w:p w14:paraId="333445E4" w14:textId="77777777" w:rsidR="006575CC" w:rsidRDefault="009F2BF5">
            <w:pPr>
              <w:jc w:val="right"/>
              <w:rPr>
                <w:sz w:val="20"/>
                <w:szCs w:val="20"/>
              </w:rPr>
            </w:pPr>
            <w:r>
              <w:rPr>
                <w:sz w:val="20"/>
                <w:szCs w:val="20"/>
              </w:rPr>
              <w:t>222</w:t>
            </w:r>
          </w:p>
        </w:tc>
        <w:tc>
          <w:tcPr>
            <w:tcW w:w="1785" w:type="dxa"/>
          </w:tcPr>
          <w:p w14:paraId="7769FD50" w14:textId="77777777" w:rsidR="006575CC" w:rsidRDefault="009F2BF5">
            <w:pPr>
              <w:jc w:val="right"/>
              <w:rPr>
                <w:sz w:val="20"/>
                <w:szCs w:val="20"/>
              </w:rPr>
            </w:pPr>
            <w:r>
              <w:rPr>
                <w:sz w:val="20"/>
                <w:szCs w:val="20"/>
              </w:rPr>
              <w:t>83</w:t>
            </w:r>
          </w:p>
        </w:tc>
        <w:tc>
          <w:tcPr>
            <w:tcW w:w="1785" w:type="dxa"/>
          </w:tcPr>
          <w:p w14:paraId="3827DCD3" w14:textId="77777777" w:rsidR="006575CC" w:rsidRDefault="009F2BF5">
            <w:pPr>
              <w:jc w:val="right"/>
              <w:rPr>
                <w:sz w:val="20"/>
                <w:szCs w:val="20"/>
              </w:rPr>
            </w:pPr>
            <w:r>
              <w:rPr>
                <w:sz w:val="20"/>
                <w:szCs w:val="20"/>
              </w:rPr>
              <w:t>139</w:t>
            </w:r>
          </w:p>
        </w:tc>
      </w:tr>
      <w:tr w:rsidR="006575CC" w14:paraId="54A2B0D4" w14:textId="77777777">
        <w:trPr>
          <w:jc w:val="center"/>
        </w:trPr>
        <w:tc>
          <w:tcPr>
            <w:tcW w:w="660" w:type="dxa"/>
          </w:tcPr>
          <w:p w14:paraId="3C3F4DEA" w14:textId="77777777" w:rsidR="006575CC" w:rsidRDefault="009F2BF5">
            <w:pPr>
              <w:jc w:val="center"/>
              <w:rPr>
                <w:sz w:val="20"/>
                <w:szCs w:val="20"/>
              </w:rPr>
            </w:pPr>
            <w:r>
              <w:rPr>
                <w:sz w:val="20"/>
                <w:szCs w:val="20"/>
              </w:rPr>
              <w:t>2</w:t>
            </w:r>
          </w:p>
        </w:tc>
        <w:tc>
          <w:tcPr>
            <w:tcW w:w="2040" w:type="dxa"/>
          </w:tcPr>
          <w:p w14:paraId="639CCB45" w14:textId="77777777" w:rsidR="006575CC" w:rsidRDefault="009F2BF5">
            <w:pPr>
              <w:rPr>
                <w:sz w:val="20"/>
                <w:szCs w:val="20"/>
              </w:rPr>
            </w:pPr>
            <w:r>
              <w:rPr>
                <w:sz w:val="20"/>
                <w:szCs w:val="20"/>
              </w:rPr>
              <w:t>Nội khối -GCC</w:t>
            </w:r>
          </w:p>
        </w:tc>
        <w:tc>
          <w:tcPr>
            <w:tcW w:w="1785" w:type="dxa"/>
          </w:tcPr>
          <w:p w14:paraId="112EF7ED" w14:textId="77777777" w:rsidR="006575CC" w:rsidRDefault="009F2BF5">
            <w:pPr>
              <w:jc w:val="right"/>
              <w:rPr>
                <w:sz w:val="20"/>
                <w:szCs w:val="20"/>
              </w:rPr>
            </w:pPr>
            <w:r>
              <w:rPr>
                <w:sz w:val="20"/>
                <w:szCs w:val="20"/>
              </w:rPr>
              <w:t>191</w:t>
            </w:r>
          </w:p>
        </w:tc>
        <w:tc>
          <w:tcPr>
            <w:tcW w:w="1785" w:type="dxa"/>
          </w:tcPr>
          <w:p w14:paraId="51E9FB1D" w14:textId="77777777" w:rsidR="006575CC" w:rsidRDefault="009F2BF5">
            <w:pPr>
              <w:jc w:val="right"/>
              <w:rPr>
                <w:sz w:val="20"/>
                <w:szCs w:val="20"/>
              </w:rPr>
            </w:pPr>
            <w:r>
              <w:rPr>
                <w:sz w:val="20"/>
                <w:szCs w:val="20"/>
              </w:rPr>
              <w:t>121</w:t>
            </w:r>
          </w:p>
        </w:tc>
        <w:tc>
          <w:tcPr>
            <w:tcW w:w="1785" w:type="dxa"/>
          </w:tcPr>
          <w:p w14:paraId="18537455" w14:textId="77777777" w:rsidR="006575CC" w:rsidRDefault="009F2BF5">
            <w:pPr>
              <w:jc w:val="right"/>
              <w:rPr>
                <w:sz w:val="20"/>
                <w:szCs w:val="20"/>
              </w:rPr>
            </w:pPr>
            <w:r>
              <w:rPr>
                <w:sz w:val="20"/>
                <w:szCs w:val="20"/>
              </w:rPr>
              <w:t>70</w:t>
            </w:r>
          </w:p>
        </w:tc>
      </w:tr>
      <w:tr w:rsidR="006575CC" w14:paraId="0723FAB5" w14:textId="77777777">
        <w:trPr>
          <w:jc w:val="center"/>
        </w:trPr>
        <w:tc>
          <w:tcPr>
            <w:tcW w:w="660" w:type="dxa"/>
          </w:tcPr>
          <w:p w14:paraId="00668797" w14:textId="77777777" w:rsidR="006575CC" w:rsidRDefault="009F2BF5">
            <w:pPr>
              <w:jc w:val="center"/>
              <w:rPr>
                <w:sz w:val="20"/>
                <w:szCs w:val="20"/>
              </w:rPr>
            </w:pPr>
            <w:r>
              <w:rPr>
                <w:sz w:val="20"/>
                <w:szCs w:val="20"/>
              </w:rPr>
              <w:t>3</w:t>
            </w:r>
          </w:p>
        </w:tc>
        <w:tc>
          <w:tcPr>
            <w:tcW w:w="2040" w:type="dxa"/>
          </w:tcPr>
          <w:p w14:paraId="786C65C6" w14:textId="77777777" w:rsidR="006575CC" w:rsidRDefault="009F2BF5">
            <w:pPr>
              <w:rPr>
                <w:sz w:val="20"/>
                <w:szCs w:val="20"/>
              </w:rPr>
            </w:pPr>
            <w:r>
              <w:rPr>
                <w:sz w:val="20"/>
                <w:szCs w:val="20"/>
              </w:rPr>
              <w:t>Ấn Độ</w:t>
            </w:r>
          </w:p>
        </w:tc>
        <w:tc>
          <w:tcPr>
            <w:tcW w:w="1785" w:type="dxa"/>
          </w:tcPr>
          <w:p w14:paraId="7189466D" w14:textId="77777777" w:rsidR="006575CC" w:rsidRDefault="009F2BF5">
            <w:pPr>
              <w:jc w:val="right"/>
              <w:rPr>
                <w:sz w:val="20"/>
                <w:szCs w:val="20"/>
              </w:rPr>
            </w:pPr>
            <w:r>
              <w:rPr>
                <w:sz w:val="20"/>
                <w:szCs w:val="20"/>
              </w:rPr>
              <w:t>121</w:t>
            </w:r>
          </w:p>
        </w:tc>
        <w:tc>
          <w:tcPr>
            <w:tcW w:w="1785" w:type="dxa"/>
          </w:tcPr>
          <w:p w14:paraId="3A5FC899" w14:textId="77777777" w:rsidR="006575CC" w:rsidRDefault="009F2BF5">
            <w:pPr>
              <w:jc w:val="right"/>
              <w:rPr>
                <w:sz w:val="20"/>
                <w:szCs w:val="20"/>
              </w:rPr>
            </w:pPr>
            <w:r>
              <w:rPr>
                <w:sz w:val="20"/>
                <w:szCs w:val="20"/>
              </w:rPr>
              <w:t>71</w:t>
            </w:r>
          </w:p>
        </w:tc>
        <w:tc>
          <w:tcPr>
            <w:tcW w:w="1785" w:type="dxa"/>
          </w:tcPr>
          <w:p w14:paraId="079F58F2" w14:textId="77777777" w:rsidR="006575CC" w:rsidRDefault="009F2BF5">
            <w:pPr>
              <w:jc w:val="right"/>
              <w:rPr>
                <w:sz w:val="20"/>
                <w:szCs w:val="20"/>
              </w:rPr>
            </w:pPr>
            <w:r>
              <w:rPr>
                <w:sz w:val="20"/>
                <w:szCs w:val="20"/>
              </w:rPr>
              <w:t>49</w:t>
            </w:r>
          </w:p>
        </w:tc>
      </w:tr>
      <w:tr w:rsidR="006575CC" w14:paraId="390DC014" w14:textId="77777777">
        <w:trPr>
          <w:jc w:val="center"/>
        </w:trPr>
        <w:tc>
          <w:tcPr>
            <w:tcW w:w="660" w:type="dxa"/>
          </w:tcPr>
          <w:p w14:paraId="0A55AD7A" w14:textId="77777777" w:rsidR="006575CC" w:rsidRDefault="009F2BF5">
            <w:pPr>
              <w:jc w:val="center"/>
              <w:rPr>
                <w:sz w:val="20"/>
                <w:szCs w:val="20"/>
              </w:rPr>
            </w:pPr>
            <w:r>
              <w:rPr>
                <w:sz w:val="20"/>
                <w:szCs w:val="20"/>
              </w:rPr>
              <w:lastRenderedPageBreak/>
              <w:t>4</w:t>
            </w:r>
          </w:p>
        </w:tc>
        <w:tc>
          <w:tcPr>
            <w:tcW w:w="2040" w:type="dxa"/>
          </w:tcPr>
          <w:p w14:paraId="13ECCBE2" w14:textId="77777777" w:rsidR="006575CC" w:rsidRDefault="009F2BF5">
            <w:pPr>
              <w:rPr>
                <w:sz w:val="20"/>
                <w:szCs w:val="20"/>
              </w:rPr>
            </w:pPr>
            <w:r>
              <w:rPr>
                <w:sz w:val="20"/>
                <w:szCs w:val="20"/>
              </w:rPr>
              <w:t>ASEAN</w:t>
            </w:r>
          </w:p>
        </w:tc>
        <w:tc>
          <w:tcPr>
            <w:tcW w:w="1785" w:type="dxa"/>
          </w:tcPr>
          <w:p w14:paraId="7E56572B" w14:textId="77777777" w:rsidR="006575CC" w:rsidRDefault="009F2BF5">
            <w:pPr>
              <w:jc w:val="right"/>
              <w:rPr>
                <w:sz w:val="20"/>
                <w:szCs w:val="20"/>
              </w:rPr>
            </w:pPr>
            <w:r>
              <w:rPr>
                <w:sz w:val="20"/>
                <w:szCs w:val="20"/>
              </w:rPr>
              <w:t>102</w:t>
            </w:r>
          </w:p>
        </w:tc>
        <w:tc>
          <w:tcPr>
            <w:tcW w:w="1785" w:type="dxa"/>
          </w:tcPr>
          <w:p w14:paraId="515B040E" w14:textId="77777777" w:rsidR="006575CC" w:rsidRDefault="009F2BF5">
            <w:pPr>
              <w:jc w:val="right"/>
              <w:rPr>
                <w:sz w:val="20"/>
                <w:szCs w:val="20"/>
              </w:rPr>
            </w:pPr>
            <w:r>
              <w:rPr>
                <w:sz w:val="20"/>
                <w:szCs w:val="20"/>
              </w:rPr>
              <w:t>54</w:t>
            </w:r>
          </w:p>
        </w:tc>
        <w:tc>
          <w:tcPr>
            <w:tcW w:w="1785" w:type="dxa"/>
          </w:tcPr>
          <w:p w14:paraId="2BB77B9B" w14:textId="77777777" w:rsidR="006575CC" w:rsidRDefault="009F2BF5">
            <w:pPr>
              <w:jc w:val="right"/>
              <w:rPr>
                <w:sz w:val="20"/>
                <w:szCs w:val="20"/>
              </w:rPr>
            </w:pPr>
            <w:r>
              <w:rPr>
                <w:sz w:val="20"/>
                <w:szCs w:val="20"/>
              </w:rPr>
              <w:t>48</w:t>
            </w:r>
          </w:p>
        </w:tc>
      </w:tr>
      <w:tr w:rsidR="006575CC" w14:paraId="4F6B9A84" w14:textId="77777777">
        <w:trPr>
          <w:jc w:val="center"/>
        </w:trPr>
        <w:tc>
          <w:tcPr>
            <w:tcW w:w="660" w:type="dxa"/>
          </w:tcPr>
          <w:p w14:paraId="5F8E7FC7" w14:textId="77777777" w:rsidR="006575CC" w:rsidRDefault="009F2BF5">
            <w:pPr>
              <w:jc w:val="center"/>
              <w:rPr>
                <w:sz w:val="20"/>
                <w:szCs w:val="20"/>
              </w:rPr>
            </w:pPr>
            <w:r>
              <w:rPr>
                <w:sz w:val="20"/>
                <w:szCs w:val="20"/>
              </w:rPr>
              <w:t>5</w:t>
            </w:r>
          </w:p>
        </w:tc>
        <w:tc>
          <w:tcPr>
            <w:tcW w:w="2040" w:type="dxa"/>
          </w:tcPr>
          <w:p w14:paraId="78C8DE30" w14:textId="77777777" w:rsidR="006575CC" w:rsidRDefault="009F2BF5">
            <w:pPr>
              <w:rPr>
                <w:sz w:val="20"/>
                <w:szCs w:val="20"/>
              </w:rPr>
            </w:pPr>
            <w:r>
              <w:rPr>
                <w:sz w:val="20"/>
                <w:szCs w:val="20"/>
              </w:rPr>
              <w:t>Hoa Kỳ</w:t>
            </w:r>
          </w:p>
        </w:tc>
        <w:tc>
          <w:tcPr>
            <w:tcW w:w="1785" w:type="dxa"/>
          </w:tcPr>
          <w:p w14:paraId="4D00E307" w14:textId="77777777" w:rsidR="006575CC" w:rsidRDefault="009F2BF5">
            <w:pPr>
              <w:jc w:val="right"/>
              <w:rPr>
                <w:sz w:val="20"/>
                <w:szCs w:val="20"/>
              </w:rPr>
            </w:pPr>
            <w:r>
              <w:rPr>
                <w:sz w:val="20"/>
                <w:szCs w:val="20"/>
              </w:rPr>
              <w:t>90</w:t>
            </w:r>
          </w:p>
        </w:tc>
        <w:tc>
          <w:tcPr>
            <w:tcW w:w="1785" w:type="dxa"/>
          </w:tcPr>
          <w:p w14:paraId="36126CAB" w14:textId="77777777" w:rsidR="006575CC" w:rsidRDefault="009F2BF5">
            <w:pPr>
              <w:jc w:val="right"/>
              <w:rPr>
                <w:sz w:val="20"/>
                <w:szCs w:val="20"/>
              </w:rPr>
            </w:pPr>
            <w:r>
              <w:rPr>
                <w:sz w:val="20"/>
                <w:szCs w:val="20"/>
              </w:rPr>
              <w:t>33</w:t>
            </w:r>
          </w:p>
        </w:tc>
        <w:tc>
          <w:tcPr>
            <w:tcW w:w="1785" w:type="dxa"/>
          </w:tcPr>
          <w:p w14:paraId="7BDFAFE3" w14:textId="77777777" w:rsidR="006575CC" w:rsidRDefault="009F2BF5">
            <w:pPr>
              <w:jc w:val="right"/>
              <w:rPr>
                <w:sz w:val="20"/>
                <w:szCs w:val="20"/>
              </w:rPr>
            </w:pPr>
            <w:r>
              <w:rPr>
                <w:sz w:val="20"/>
                <w:szCs w:val="20"/>
              </w:rPr>
              <w:t>56</w:t>
            </w:r>
          </w:p>
        </w:tc>
      </w:tr>
      <w:tr w:rsidR="006575CC" w14:paraId="6427FA9C" w14:textId="77777777">
        <w:trPr>
          <w:jc w:val="center"/>
        </w:trPr>
        <w:tc>
          <w:tcPr>
            <w:tcW w:w="660" w:type="dxa"/>
          </w:tcPr>
          <w:p w14:paraId="6E1387F3" w14:textId="77777777" w:rsidR="006575CC" w:rsidRDefault="009F2BF5">
            <w:pPr>
              <w:jc w:val="center"/>
              <w:rPr>
                <w:sz w:val="20"/>
                <w:szCs w:val="20"/>
              </w:rPr>
            </w:pPr>
            <w:r>
              <w:rPr>
                <w:sz w:val="20"/>
                <w:szCs w:val="20"/>
              </w:rPr>
              <w:t>6</w:t>
            </w:r>
          </w:p>
        </w:tc>
        <w:tc>
          <w:tcPr>
            <w:tcW w:w="2040" w:type="dxa"/>
          </w:tcPr>
          <w:p w14:paraId="7E5378D9" w14:textId="77777777" w:rsidR="006575CC" w:rsidRDefault="009F2BF5">
            <w:pPr>
              <w:rPr>
                <w:sz w:val="20"/>
                <w:szCs w:val="20"/>
              </w:rPr>
            </w:pPr>
            <w:r>
              <w:rPr>
                <w:sz w:val="20"/>
                <w:szCs w:val="20"/>
              </w:rPr>
              <w:t>Nhật Bản</w:t>
            </w:r>
          </w:p>
        </w:tc>
        <w:tc>
          <w:tcPr>
            <w:tcW w:w="1785" w:type="dxa"/>
          </w:tcPr>
          <w:p w14:paraId="63501B89" w14:textId="77777777" w:rsidR="006575CC" w:rsidRDefault="009F2BF5">
            <w:pPr>
              <w:jc w:val="right"/>
              <w:rPr>
                <w:sz w:val="20"/>
                <w:szCs w:val="20"/>
              </w:rPr>
            </w:pPr>
            <w:r>
              <w:rPr>
                <w:sz w:val="20"/>
                <w:szCs w:val="20"/>
              </w:rPr>
              <w:t>71</w:t>
            </w:r>
          </w:p>
        </w:tc>
        <w:tc>
          <w:tcPr>
            <w:tcW w:w="1785" w:type="dxa"/>
          </w:tcPr>
          <w:p w14:paraId="133D369B" w14:textId="77777777" w:rsidR="006575CC" w:rsidRDefault="009F2BF5">
            <w:pPr>
              <w:jc w:val="right"/>
              <w:rPr>
                <w:sz w:val="20"/>
                <w:szCs w:val="20"/>
              </w:rPr>
            </w:pPr>
            <w:r>
              <w:rPr>
                <w:sz w:val="20"/>
                <w:szCs w:val="20"/>
              </w:rPr>
              <w:t>43</w:t>
            </w:r>
          </w:p>
        </w:tc>
        <w:tc>
          <w:tcPr>
            <w:tcW w:w="1785" w:type="dxa"/>
          </w:tcPr>
          <w:p w14:paraId="2E649800" w14:textId="77777777" w:rsidR="006575CC" w:rsidRDefault="009F2BF5">
            <w:pPr>
              <w:jc w:val="right"/>
              <w:rPr>
                <w:sz w:val="20"/>
                <w:szCs w:val="20"/>
              </w:rPr>
            </w:pPr>
            <w:r>
              <w:rPr>
                <w:sz w:val="20"/>
                <w:szCs w:val="20"/>
              </w:rPr>
              <w:t>28</w:t>
            </w:r>
          </w:p>
        </w:tc>
      </w:tr>
      <w:tr w:rsidR="006575CC" w14:paraId="131A1691" w14:textId="77777777">
        <w:trPr>
          <w:jc w:val="center"/>
        </w:trPr>
        <w:tc>
          <w:tcPr>
            <w:tcW w:w="660" w:type="dxa"/>
          </w:tcPr>
          <w:p w14:paraId="6CC61EDE" w14:textId="77777777" w:rsidR="006575CC" w:rsidRDefault="009F2BF5">
            <w:pPr>
              <w:jc w:val="center"/>
              <w:rPr>
                <w:sz w:val="20"/>
                <w:szCs w:val="20"/>
              </w:rPr>
            </w:pPr>
            <w:r>
              <w:rPr>
                <w:sz w:val="20"/>
                <w:szCs w:val="20"/>
              </w:rPr>
              <w:t>7</w:t>
            </w:r>
          </w:p>
        </w:tc>
        <w:tc>
          <w:tcPr>
            <w:tcW w:w="2040" w:type="dxa"/>
          </w:tcPr>
          <w:p w14:paraId="079B0F95" w14:textId="77777777" w:rsidR="006575CC" w:rsidRDefault="009F2BF5">
            <w:pPr>
              <w:rPr>
                <w:sz w:val="20"/>
                <w:szCs w:val="20"/>
              </w:rPr>
            </w:pPr>
            <w:r>
              <w:rPr>
                <w:sz w:val="20"/>
                <w:szCs w:val="20"/>
              </w:rPr>
              <w:t>Hàn Quốc</w:t>
            </w:r>
          </w:p>
        </w:tc>
        <w:tc>
          <w:tcPr>
            <w:tcW w:w="1785" w:type="dxa"/>
          </w:tcPr>
          <w:p w14:paraId="62B16E04" w14:textId="77777777" w:rsidR="006575CC" w:rsidRDefault="009F2BF5">
            <w:pPr>
              <w:jc w:val="right"/>
              <w:rPr>
                <w:sz w:val="20"/>
                <w:szCs w:val="20"/>
              </w:rPr>
            </w:pPr>
            <w:r>
              <w:rPr>
                <w:sz w:val="20"/>
                <w:szCs w:val="20"/>
              </w:rPr>
              <w:t>56</w:t>
            </w:r>
          </w:p>
        </w:tc>
        <w:tc>
          <w:tcPr>
            <w:tcW w:w="1785" w:type="dxa"/>
          </w:tcPr>
          <w:p w14:paraId="4BD673B5" w14:textId="77777777" w:rsidR="006575CC" w:rsidRDefault="009F2BF5">
            <w:pPr>
              <w:jc w:val="right"/>
              <w:rPr>
                <w:sz w:val="20"/>
                <w:szCs w:val="20"/>
              </w:rPr>
            </w:pPr>
            <w:r>
              <w:rPr>
                <w:sz w:val="20"/>
                <w:szCs w:val="20"/>
              </w:rPr>
              <w:t>43</w:t>
            </w:r>
          </w:p>
        </w:tc>
        <w:tc>
          <w:tcPr>
            <w:tcW w:w="1785" w:type="dxa"/>
          </w:tcPr>
          <w:p w14:paraId="7D21C1F0" w14:textId="77777777" w:rsidR="006575CC" w:rsidRDefault="009F2BF5">
            <w:pPr>
              <w:jc w:val="right"/>
              <w:rPr>
                <w:sz w:val="20"/>
                <w:szCs w:val="20"/>
              </w:rPr>
            </w:pPr>
            <w:r>
              <w:rPr>
                <w:sz w:val="20"/>
                <w:szCs w:val="20"/>
              </w:rPr>
              <w:t>13</w:t>
            </w:r>
          </w:p>
        </w:tc>
      </w:tr>
      <w:tr w:rsidR="006575CC" w14:paraId="79DC6AA2" w14:textId="77777777">
        <w:trPr>
          <w:jc w:val="center"/>
        </w:trPr>
        <w:tc>
          <w:tcPr>
            <w:tcW w:w="660" w:type="dxa"/>
          </w:tcPr>
          <w:p w14:paraId="6AE06E3F" w14:textId="77777777" w:rsidR="006575CC" w:rsidRDefault="009F2BF5">
            <w:pPr>
              <w:jc w:val="center"/>
              <w:rPr>
                <w:sz w:val="20"/>
                <w:szCs w:val="20"/>
              </w:rPr>
            </w:pPr>
            <w:r>
              <w:rPr>
                <w:sz w:val="20"/>
                <w:szCs w:val="20"/>
              </w:rPr>
              <w:t>8</w:t>
            </w:r>
          </w:p>
        </w:tc>
        <w:tc>
          <w:tcPr>
            <w:tcW w:w="2040" w:type="dxa"/>
          </w:tcPr>
          <w:p w14:paraId="3EF26238" w14:textId="77777777" w:rsidR="006575CC" w:rsidRDefault="009F2BF5">
            <w:pPr>
              <w:rPr>
                <w:sz w:val="20"/>
                <w:szCs w:val="20"/>
              </w:rPr>
            </w:pPr>
            <w:r>
              <w:rPr>
                <w:sz w:val="20"/>
                <w:szCs w:val="20"/>
              </w:rPr>
              <w:t>Thổ Nhĩ Kỳ</w:t>
            </w:r>
          </w:p>
        </w:tc>
        <w:tc>
          <w:tcPr>
            <w:tcW w:w="1785" w:type="dxa"/>
          </w:tcPr>
          <w:p w14:paraId="73AED795" w14:textId="77777777" w:rsidR="006575CC" w:rsidRDefault="009F2BF5">
            <w:pPr>
              <w:jc w:val="right"/>
              <w:rPr>
                <w:sz w:val="20"/>
                <w:szCs w:val="20"/>
              </w:rPr>
            </w:pPr>
            <w:r>
              <w:rPr>
                <w:sz w:val="20"/>
                <w:szCs w:val="20"/>
              </w:rPr>
              <w:t>47</w:t>
            </w:r>
          </w:p>
        </w:tc>
        <w:tc>
          <w:tcPr>
            <w:tcW w:w="1785" w:type="dxa"/>
          </w:tcPr>
          <w:p w14:paraId="159155C9" w14:textId="77777777" w:rsidR="006575CC" w:rsidRDefault="009F2BF5">
            <w:pPr>
              <w:jc w:val="right"/>
              <w:rPr>
                <w:sz w:val="20"/>
                <w:szCs w:val="20"/>
              </w:rPr>
            </w:pPr>
            <w:r>
              <w:rPr>
                <w:sz w:val="20"/>
                <w:szCs w:val="20"/>
              </w:rPr>
              <w:t>24</w:t>
            </w:r>
          </w:p>
        </w:tc>
        <w:tc>
          <w:tcPr>
            <w:tcW w:w="1785" w:type="dxa"/>
          </w:tcPr>
          <w:p w14:paraId="0394ADCE" w14:textId="77777777" w:rsidR="006575CC" w:rsidRDefault="009F2BF5">
            <w:pPr>
              <w:jc w:val="right"/>
              <w:rPr>
                <w:sz w:val="20"/>
                <w:szCs w:val="20"/>
              </w:rPr>
            </w:pPr>
            <w:r>
              <w:rPr>
                <w:sz w:val="20"/>
                <w:szCs w:val="20"/>
              </w:rPr>
              <w:t>23</w:t>
            </w:r>
          </w:p>
        </w:tc>
      </w:tr>
      <w:tr w:rsidR="006575CC" w14:paraId="5D00A489" w14:textId="77777777">
        <w:trPr>
          <w:jc w:val="center"/>
        </w:trPr>
        <w:tc>
          <w:tcPr>
            <w:tcW w:w="660" w:type="dxa"/>
          </w:tcPr>
          <w:p w14:paraId="17F3CEE7" w14:textId="77777777" w:rsidR="006575CC" w:rsidRDefault="009F2BF5">
            <w:pPr>
              <w:jc w:val="center"/>
              <w:rPr>
                <w:sz w:val="20"/>
                <w:szCs w:val="20"/>
              </w:rPr>
            </w:pPr>
            <w:r>
              <w:rPr>
                <w:sz w:val="20"/>
                <w:szCs w:val="20"/>
              </w:rPr>
              <w:t>9</w:t>
            </w:r>
          </w:p>
        </w:tc>
        <w:tc>
          <w:tcPr>
            <w:tcW w:w="2040" w:type="dxa"/>
          </w:tcPr>
          <w:p w14:paraId="7F5525BE" w14:textId="77777777" w:rsidR="006575CC" w:rsidRDefault="009F2BF5">
            <w:pPr>
              <w:rPr>
                <w:sz w:val="20"/>
                <w:szCs w:val="20"/>
              </w:rPr>
            </w:pPr>
            <w:r>
              <w:rPr>
                <w:sz w:val="20"/>
                <w:szCs w:val="20"/>
              </w:rPr>
              <w:t>Thụy Sỹ</w:t>
            </w:r>
          </w:p>
        </w:tc>
        <w:tc>
          <w:tcPr>
            <w:tcW w:w="1785" w:type="dxa"/>
          </w:tcPr>
          <w:p w14:paraId="0095E236" w14:textId="77777777" w:rsidR="006575CC" w:rsidRDefault="009F2BF5">
            <w:pPr>
              <w:jc w:val="right"/>
              <w:rPr>
                <w:sz w:val="20"/>
                <w:szCs w:val="20"/>
              </w:rPr>
            </w:pPr>
            <w:r>
              <w:rPr>
                <w:sz w:val="20"/>
                <w:szCs w:val="20"/>
              </w:rPr>
              <w:t>33</w:t>
            </w:r>
          </w:p>
        </w:tc>
        <w:tc>
          <w:tcPr>
            <w:tcW w:w="1785" w:type="dxa"/>
          </w:tcPr>
          <w:p w14:paraId="1113F295" w14:textId="77777777" w:rsidR="006575CC" w:rsidRDefault="009F2BF5">
            <w:pPr>
              <w:jc w:val="right"/>
              <w:rPr>
                <w:sz w:val="20"/>
                <w:szCs w:val="20"/>
              </w:rPr>
            </w:pPr>
            <w:r>
              <w:rPr>
                <w:sz w:val="20"/>
                <w:szCs w:val="20"/>
              </w:rPr>
              <w:t>13</w:t>
            </w:r>
          </w:p>
        </w:tc>
        <w:tc>
          <w:tcPr>
            <w:tcW w:w="1785" w:type="dxa"/>
          </w:tcPr>
          <w:p w14:paraId="454E041D" w14:textId="77777777" w:rsidR="006575CC" w:rsidRDefault="009F2BF5">
            <w:pPr>
              <w:jc w:val="right"/>
              <w:rPr>
                <w:sz w:val="20"/>
                <w:szCs w:val="20"/>
              </w:rPr>
            </w:pPr>
            <w:r>
              <w:rPr>
                <w:sz w:val="20"/>
                <w:szCs w:val="20"/>
              </w:rPr>
              <w:t>20</w:t>
            </w:r>
          </w:p>
        </w:tc>
      </w:tr>
      <w:tr w:rsidR="006575CC" w14:paraId="17FA1550" w14:textId="77777777">
        <w:trPr>
          <w:jc w:val="center"/>
        </w:trPr>
        <w:tc>
          <w:tcPr>
            <w:tcW w:w="660" w:type="dxa"/>
          </w:tcPr>
          <w:p w14:paraId="7CB515C0" w14:textId="77777777" w:rsidR="006575CC" w:rsidRDefault="009F2BF5">
            <w:pPr>
              <w:jc w:val="center"/>
              <w:rPr>
                <w:sz w:val="20"/>
                <w:szCs w:val="20"/>
              </w:rPr>
            </w:pPr>
            <w:r>
              <w:rPr>
                <w:sz w:val="20"/>
                <w:szCs w:val="20"/>
              </w:rPr>
              <w:t>10</w:t>
            </w:r>
          </w:p>
        </w:tc>
        <w:tc>
          <w:tcPr>
            <w:tcW w:w="2040" w:type="dxa"/>
          </w:tcPr>
          <w:p w14:paraId="4A105BDD" w14:textId="77777777" w:rsidR="006575CC" w:rsidRDefault="009F2BF5">
            <w:pPr>
              <w:rPr>
                <w:sz w:val="20"/>
                <w:szCs w:val="20"/>
              </w:rPr>
            </w:pPr>
            <w:r>
              <w:rPr>
                <w:sz w:val="20"/>
                <w:szCs w:val="20"/>
              </w:rPr>
              <w:t>I-rắc</w:t>
            </w:r>
          </w:p>
        </w:tc>
        <w:tc>
          <w:tcPr>
            <w:tcW w:w="1785" w:type="dxa"/>
          </w:tcPr>
          <w:p w14:paraId="70A10386" w14:textId="77777777" w:rsidR="006575CC" w:rsidRDefault="009F2BF5">
            <w:pPr>
              <w:jc w:val="right"/>
              <w:rPr>
                <w:sz w:val="20"/>
                <w:szCs w:val="20"/>
              </w:rPr>
            </w:pPr>
            <w:r>
              <w:rPr>
                <w:sz w:val="20"/>
                <w:szCs w:val="20"/>
              </w:rPr>
              <w:t>31</w:t>
            </w:r>
          </w:p>
        </w:tc>
        <w:tc>
          <w:tcPr>
            <w:tcW w:w="1785" w:type="dxa"/>
          </w:tcPr>
          <w:p w14:paraId="6C112E81" w14:textId="77777777" w:rsidR="006575CC" w:rsidRDefault="009F2BF5">
            <w:pPr>
              <w:jc w:val="right"/>
              <w:rPr>
                <w:sz w:val="20"/>
                <w:szCs w:val="20"/>
              </w:rPr>
            </w:pPr>
            <w:r>
              <w:rPr>
                <w:sz w:val="20"/>
                <w:szCs w:val="20"/>
              </w:rPr>
              <w:t>25</w:t>
            </w:r>
          </w:p>
        </w:tc>
        <w:tc>
          <w:tcPr>
            <w:tcW w:w="1785" w:type="dxa"/>
          </w:tcPr>
          <w:p w14:paraId="6A31EA65" w14:textId="77777777" w:rsidR="006575CC" w:rsidRDefault="009F2BF5">
            <w:pPr>
              <w:jc w:val="right"/>
              <w:rPr>
                <w:sz w:val="20"/>
                <w:szCs w:val="20"/>
              </w:rPr>
            </w:pPr>
            <w:r>
              <w:rPr>
                <w:sz w:val="20"/>
                <w:szCs w:val="20"/>
              </w:rPr>
              <w:t>6</w:t>
            </w:r>
          </w:p>
        </w:tc>
      </w:tr>
      <w:tr w:rsidR="006575CC" w14:paraId="6AA3E2C2" w14:textId="77777777">
        <w:trPr>
          <w:jc w:val="center"/>
        </w:trPr>
        <w:tc>
          <w:tcPr>
            <w:tcW w:w="660" w:type="dxa"/>
          </w:tcPr>
          <w:p w14:paraId="701051C3" w14:textId="77777777" w:rsidR="006575CC" w:rsidRDefault="009F2BF5">
            <w:pPr>
              <w:jc w:val="center"/>
              <w:rPr>
                <w:sz w:val="20"/>
                <w:szCs w:val="20"/>
              </w:rPr>
            </w:pPr>
            <w:r>
              <w:rPr>
                <w:sz w:val="20"/>
                <w:szCs w:val="20"/>
              </w:rPr>
              <w:t>11</w:t>
            </w:r>
          </w:p>
        </w:tc>
        <w:tc>
          <w:tcPr>
            <w:tcW w:w="2040" w:type="dxa"/>
          </w:tcPr>
          <w:p w14:paraId="3D1D8C6B" w14:textId="77777777" w:rsidR="006575CC" w:rsidRDefault="009F2BF5">
            <w:pPr>
              <w:rPr>
                <w:sz w:val="20"/>
                <w:szCs w:val="20"/>
              </w:rPr>
            </w:pPr>
            <w:r>
              <w:rPr>
                <w:sz w:val="20"/>
                <w:szCs w:val="20"/>
              </w:rPr>
              <w:t>Ý</w:t>
            </w:r>
          </w:p>
        </w:tc>
        <w:tc>
          <w:tcPr>
            <w:tcW w:w="1785" w:type="dxa"/>
          </w:tcPr>
          <w:p w14:paraId="31A0B1F9" w14:textId="77777777" w:rsidR="006575CC" w:rsidRDefault="009F2BF5">
            <w:pPr>
              <w:jc w:val="right"/>
              <w:rPr>
                <w:sz w:val="20"/>
                <w:szCs w:val="20"/>
              </w:rPr>
            </w:pPr>
            <w:r>
              <w:rPr>
                <w:sz w:val="20"/>
                <w:szCs w:val="20"/>
              </w:rPr>
              <w:t>31</w:t>
            </w:r>
          </w:p>
        </w:tc>
        <w:tc>
          <w:tcPr>
            <w:tcW w:w="1785" w:type="dxa"/>
          </w:tcPr>
          <w:p w14:paraId="7CD873C5" w14:textId="77777777" w:rsidR="006575CC" w:rsidRDefault="009F2BF5">
            <w:pPr>
              <w:jc w:val="right"/>
              <w:rPr>
                <w:sz w:val="20"/>
                <w:szCs w:val="20"/>
              </w:rPr>
            </w:pPr>
            <w:r>
              <w:rPr>
                <w:sz w:val="20"/>
                <w:szCs w:val="20"/>
              </w:rPr>
              <w:t>10</w:t>
            </w:r>
          </w:p>
        </w:tc>
        <w:tc>
          <w:tcPr>
            <w:tcW w:w="1785" w:type="dxa"/>
          </w:tcPr>
          <w:p w14:paraId="16DE565D" w14:textId="77777777" w:rsidR="006575CC" w:rsidRDefault="009F2BF5">
            <w:pPr>
              <w:jc w:val="right"/>
              <w:rPr>
                <w:sz w:val="20"/>
                <w:szCs w:val="20"/>
              </w:rPr>
            </w:pPr>
            <w:r>
              <w:rPr>
                <w:sz w:val="20"/>
                <w:szCs w:val="20"/>
              </w:rPr>
              <w:t>20</w:t>
            </w:r>
          </w:p>
        </w:tc>
      </w:tr>
      <w:tr w:rsidR="006575CC" w14:paraId="46487AE1" w14:textId="77777777">
        <w:trPr>
          <w:jc w:val="center"/>
        </w:trPr>
        <w:tc>
          <w:tcPr>
            <w:tcW w:w="660" w:type="dxa"/>
          </w:tcPr>
          <w:p w14:paraId="2C3F166D" w14:textId="77777777" w:rsidR="006575CC" w:rsidRDefault="009F2BF5">
            <w:pPr>
              <w:jc w:val="center"/>
              <w:rPr>
                <w:sz w:val="20"/>
                <w:szCs w:val="20"/>
              </w:rPr>
            </w:pPr>
            <w:r>
              <w:rPr>
                <w:sz w:val="20"/>
                <w:szCs w:val="20"/>
              </w:rPr>
              <w:t>12</w:t>
            </w:r>
          </w:p>
        </w:tc>
        <w:tc>
          <w:tcPr>
            <w:tcW w:w="2040" w:type="dxa"/>
          </w:tcPr>
          <w:p w14:paraId="0B4C274C" w14:textId="77777777" w:rsidR="006575CC" w:rsidRDefault="009F2BF5">
            <w:pPr>
              <w:rPr>
                <w:sz w:val="20"/>
                <w:szCs w:val="20"/>
              </w:rPr>
            </w:pPr>
            <w:r>
              <w:rPr>
                <w:sz w:val="20"/>
                <w:szCs w:val="20"/>
              </w:rPr>
              <w:t>Đức</w:t>
            </w:r>
          </w:p>
        </w:tc>
        <w:tc>
          <w:tcPr>
            <w:tcW w:w="1785" w:type="dxa"/>
          </w:tcPr>
          <w:p w14:paraId="038C3DF8" w14:textId="77777777" w:rsidR="006575CC" w:rsidRDefault="009F2BF5">
            <w:pPr>
              <w:jc w:val="right"/>
              <w:rPr>
                <w:sz w:val="20"/>
                <w:szCs w:val="20"/>
              </w:rPr>
            </w:pPr>
            <w:r>
              <w:rPr>
                <w:sz w:val="20"/>
                <w:szCs w:val="20"/>
              </w:rPr>
              <w:t>28</w:t>
            </w:r>
          </w:p>
        </w:tc>
        <w:tc>
          <w:tcPr>
            <w:tcW w:w="1785" w:type="dxa"/>
          </w:tcPr>
          <w:p w14:paraId="3631FEC7" w14:textId="77777777" w:rsidR="006575CC" w:rsidRDefault="009F2BF5">
            <w:pPr>
              <w:jc w:val="right"/>
              <w:rPr>
                <w:sz w:val="20"/>
                <w:szCs w:val="20"/>
              </w:rPr>
            </w:pPr>
            <w:r>
              <w:rPr>
                <w:sz w:val="20"/>
                <w:szCs w:val="20"/>
              </w:rPr>
              <w:t>3</w:t>
            </w:r>
          </w:p>
        </w:tc>
        <w:tc>
          <w:tcPr>
            <w:tcW w:w="1785" w:type="dxa"/>
          </w:tcPr>
          <w:p w14:paraId="3707EE29" w14:textId="77777777" w:rsidR="006575CC" w:rsidRDefault="009F2BF5">
            <w:pPr>
              <w:jc w:val="right"/>
              <w:rPr>
                <w:sz w:val="20"/>
                <w:szCs w:val="20"/>
              </w:rPr>
            </w:pPr>
            <w:r>
              <w:rPr>
                <w:sz w:val="20"/>
                <w:szCs w:val="20"/>
              </w:rPr>
              <w:t>25</w:t>
            </w:r>
          </w:p>
        </w:tc>
      </w:tr>
      <w:tr w:rsidR="006575CC" w14:paraId="4A10BB45" w14:textId="77777777">
        <w:trPr>
          <w:jc w:val="center"/>
        </w:trPr>
        <w:tc>
          <w:tcPr>
            <w:tcW w:w="660" w:type="dxa"/>
          </w:tcPr>
          <w:p w14:paraId="659ED75D" w14:textId="77777777" w:rsidR="006575CC" w:rsidRDefault="009F2BF5">
            <w:pPr>
              <w:jc w:val="center"/>
              <w:rPr>
                <w:sz w:val="20"/>
                <w:szCs w:val="20"/>
              </w:rPr>
            </w:pPr>
            <w:r>
              <w:rPr>
                <w:sz w:val="20"/>
                <w:szCs w:val="20"/>
              </w:rPr>
              <w:t>17</w:t>
            </w:r>
          </w:p>
        </w:tc>
        <w:tc>
          <w:tcPr>
            <w:tcW w:w="2040" w:type="dxa"/>
          </w:tcPr>
          <w:p w14:paraId="19B8EB85" w14:textId="77777777" w:rsidR="006575CC" w:rsidRDefault="009F2BF5">
            <w:pPr>
              <w:rPr>
                <w:sz w:val="20"/>
                <w:szCs w:val="20"/>
              </w:rPr>
            </w:pPr>
            <w:r>
              <w:rPr>
                <w:sz w:val="20"/>
                <w:szCs w:val="20"/>
              </w:rPr>
              <w:t>Pháp</w:t>
            </w:r>
          </w:p>
        </w:tc>
        <w:tc>
          <w:tcPr>
            <w:tcW w:w="1785" w:type="dxa"/>
          </w:tcPr>
          <w:p w14:paraId="663013E6" w14:textId="77777777" w:rsidR="006575CC" w:rsidRDefault="009F2BF5">
            <w:pPr>
              <w:jc w:val="right"/>
              <w:rPr>
                <w:sz w:val="20"/>
                <w:szCs w:val="20"/>
              </w:rPr>
            </w:pPr>
            <w:r>
              <w:rPr>
                <w:sz w:val="20"/>
                <w:szCs w:val="20"/>
              </w:rPr>
              <w:t>25</w:t>
            </w:r>
          </w:p>
        </w:tc>
        <w:tc>
          <w:tcPr>
            <w:tcW w:w="1785" w:type="dxa"/>
          </w:tcPr>
          <w:p w14:paraId="5D783C70" w14:textId="77777777" w:rsidR="006575CC" w:rsidRDefault="009F2BF5">
            <w:pPr>
              <w:jc w:val="right"/>
              <w:rPr>
                <w:sz w:val="20"/>
                <w:szCs w:val="20"/>
              </w:rPr>
            </w:pPr>
            <w:r>
              <w:rPr>
                <w:sz w:val="20"/>
                <w:szCs w:val="20"/>
              </w:rPr>
              <w:t>10</w:t>
            </w:r>
          </w:p>
        </w:tc>
        <w:tc>
          <w:tcPr>
            <w:tcW w:w="1785" w:type="dxa"/>
          </w:tcPr>
          <w:p w14:paraId="68B38561" w14:textId="77777777" w:rsidR="006575CC" w:rsidRDefault="009F2BF5">
            <w:pPr>
              <w:jc w:val="right"/>
              <w:rPr>
                <w:sz w:val="20"/>
                <w:szCs w:val="20"/>
              </w:rPr>
            </w:pPr>
            <w:r>
              <w:rPr>
                <w:sz w:val="20"/>
                <w:szCs w:val="20"/>
              </w:rPr>
              <w:t>16</w:t>
            </w:r>
          </w:p>
        </w:tc>
      </w:tr>
      <w:tr w:rsidR="006575CC" w14:paraId="118686FE" w14:textId="77777777">
        <w:trPr>
          <w:jc w:val="center"/>
        </w:trPr>
        <w:tc>
          <w:tcPr>
            <w:tcW w:w="660" w:type="dxa"/>
          </w:tcPr>
          <w:p w14:paraId="7EED2885" w14:textId="77777777" w:rsidR="006575CC" w:rsidRDefault="009F2BF5">
            <w:pPr>
              <w:jc w:val="center"/>
              <w:rPr>
                <w:sz w:val="20"/>
                <w:szCs w:val="20"/>
              </w:rPr>
            </w:pPr>
            <w:r>
              <w:rPr>
                <w:sz w:val="20"/>
                <w:szCs w:val="20"/>
              </w:rPr>
              <w:t>18</w:t>
            </w:r>
          </w:p>
        </w:tc>
        <w:tc>
          <w:tcPr>
            <w:tcW w:w="2040" w:type="dxa"/>
          </w:tcPr>
          <w:p w14:paraId="6B386A14" w14:textId="77777777" w:rsidR="006575CC" w:rsidRDefault="009F2BF5">
            <w:pPr>
              <w:rPr>
                <w:sz w:val="20"/>
                <w:szCs w:val="20"/>
              </w:rPr>
            </w:pPr>
            <w:r>
              <w:rPr>
                <w:sz w:val="20"/>
                <w:szCs w:val="20"/>
              </w:rPr>
              <w:t>Vương Quốc Anh</w:t>
            </w:r>
          </w:p>
        </w:tc>
        <w:tc>
          <w:tcPr>
            <w:tcW w:w="1785" w:type="dxa"/>
          </w:tcPr>
          <w:p w14:paraId="6E4A7387" w14:textId="77777777" w:rsidR="006575CC" w:rsidRDefault="009F2BF5">
            <w:pPr>
              <w:jc w:val="right"/>
              <w:rPr>
                <w:sz w:val="20"/>
                <w:szCs w:val="20"/>
              </w:rPr>
            </w:pPr>
            <w:r>
              <w:rPr>
                <w:sz w:val="20"/>
                <w:szCs w:val="20"/>
              </w:rPr>
              <w:t>23</w:t>
            </w:r>
          </w:p>
        </w:tc>
        <w:tc>
          <w:tcPr>
            <w:tcW w:w="1785" w:type="dxa"/>
          </w:tcPr>
          <w:p w14:paraId="393F0265" w14:textId="77777777" w:rsidR="006575CC" w:rsidRDefault="009F2BF5">
            <w:pPr>
              <w:jc w:val="right"/>
              <w:rPr>
                <w:sz w:val="20"/>
                <w:szCs w:val="20"/>
              </w:rPr>
            </w:pPr>
            <w:r>
              <w:rPr>
                <w:sz w:val="20"/>
                <w:szCs w:val="20"/>
              </w:rPr>
              <w:t>7</w:t>
            </w:r>
          </w:p>
        </w:tc>
        <w:tc>
          <w:tcPr>
            <w:tcW w:w="1785" w:type="dxa"/>
          </w:tcPr>
          <w:p w14:paraId="414BBC60" w14:textId="77777777" w:rsidR="006575CC" w:rsidRDefault="009F2BF5">
            <w:pPr>
              <w:jc w:val="right"/>
              <w:rPr>
                <w:sz w:val="20"/>
                <w:szCs w:val="20"/>
              </w:rPr>
            </w:pPr>
            <w:r>
              <w:rPr>
                <w:sz w:val="20"/>
                <w:szCs w:val="20"/>
              </w:rPr>
              <w:t>16</w:t>
            </w:r>
          </w:p>
        </w:tc>
      </w:tr>
      <w:tr w:rsidR="006575CC" w14:paraId="03D96EF9" w14:textId="77777777">
        <w:trPr>
          <w:jc w:val="center"/>
        </w:trPr>
        <w:tc>
          <w:tcPr>
            <w:tcW w:w="660" w:type="dxa"/>
          </w:tcPr>
          <w:p w14:paraId="70F58920" w14:textId="77777777" w:rsidR="006575CC" w:rsidRDefault="009F2BF5">
            <w:pPr>
              <w:jc w:val="center"/>
              <w:rPr>
                <w:sz w:val="20"/>
                <w:szCs w:val="20"/>
              </w:rPr>
            </w:pPr>
            <w:r>
              <w:rPr>
                <w:sz w:val="20"/>
                <w:szCs w:val="20"/>
              </w:rPr>
              <w:t>19</w:t>
            </w:r>
          </w:p>
        </w:tc>
        <w:tc>
          <w:tcPr>
            <w:tcW w:w="2040" w:type="dxa"/>
          </w:tcPr>
          <w:p w14:paraId="169A7C13" w14:textId="77777777" w:rsidR="006575CC" w:rsidRDefault="009F2BF5">
            <w:pPr>
              <w:rPr>
                <w:sz w:val="20"/>
                <w:szCs w:val="20"/>
              </w:rPr>
            </w:pPr>
            <w:r>
              <w:rPr>
                <w:sz w:val="20"/>
                <w:szCs w:val="20"/>
              </w:rPr>
              <w:t>Ai Cập</w:t>
            </w:r>
          </w:p>
        </w:tc>
        <w:tc>
          <w:tcPr>
            <w:tcW w:w="1785" w:type="dxa"/>
          </w:tcPr>
          <w:p w14:paraId="3F96AAA9" w14:textId="77777777" w:rsidR="006575CC" w:rsidRDefault="009F2BF5">
            <w:pPr>
              <w:jc w:val="right"/>
              <w:rPr>
                <w:sz w:val="20"/>
                <w:szCs w:val="20"/>
              </w:rPr>
            </w:pPr>
            <w:r>
              <w:rPr>
                <w:sz w:val="20"/>
                <w:szCs w:val="20"/>
              </w:rPr>
              <w:t>22</w:t>
            </w:r>
          </w:p>
        </w:tc>
        <w:tc>
          <w:tcPr>
            <w:tcW w:w="1785" w:type="dxa"/>
          </w:tcPr>
          <w:p w14:paraId="121DF35C" w14:textId="77777777" w:rsidR="006575CC" w:rsidRDefault="009F2BF5">
            <w:pPr>
              <w:jc w:val="right"/>
              <w:rPr>
                <w:sz w:val="20"/>
                <w:szCs w:val="20"/>
              </w:rPr>
            </w:pPr>
            <w:r>
              <w:rPr>
                <w:sz w:val="20"/>
                <w:szCs w:val="20"/>
              </w:rPr>
              <w:t>14</w:t>
            </w:r>
          </w:p>
        </w:tc>
        <w:tc>
          <w:tcPr>
            <w:tcW w:w="1785" w:type="dxa"/>
          </w:tcPr>
          <w:p w14:paraId="220DBB5C" w14:textId="77777777" w:rsidR="006575CC" w:rsidRDefault="009F2BF5">
            <w:pPr>
              <w:jc w:val="right"/>
              <w:rPr>
                <w:sz w:val="20"/>
                <w:szCs w:val="20"/>
              </w:rPr>
            </w:pPr>
            <w:r>
              <w:rPr>
                <w:sz w:val="20"/>
                <w:szCs w:val="20"/>
              </w:rPr>
              <w:t>9</w:t>
            </w:r>
          </w:p>
        </w:tc>
      </w:tr>
      <w:tr w:rsidR="006575CC" w14:paraId="408A380A" w14:textId="77777777">
        <w:trPr>
          <w:jc w:val="center"/>
        </w:trPr>
        <w:tc>
          <w:tcPr>
            <w:tcW w:w="660" w:type="dxa"/>
          </w:tcPr>
          <w:p w14:paraId="478302ED" w14:textId="77777777" w:rsidR="006575CC" w:rsidRDefault="009F2BF5">
            <w:pPr>
              <w:jc w:val="center"/>
              <w:rPr>
                <w:sz w:val="20"/>
                <w:szCs w:val="20"/>
              </w:rPr>
            </w:pPr>
            <w:r>
              <w:rPr>
                <w:sz w:val="20"/>
                <w:szCs w:val="20"/>
              </w:rPr>
              <w:t>20</w:t>
            </w:r>
          </w:p>
        </w:tc>
        <w:tc>
          <w:tcPr>
            <w:tcW w:w="2040" w:type="dxa"/>
          </w:tcPr>
          <w:p w14:paraId="081407FB" w14:textId="77777777" w:rsidR="006575CC" w:rsidRDefault="009F2BF5">
            <w:pPr>
              <w:rPr>
                <w:sz w:val="20"/>
                <w:szCs w:val="20"/>
              </w:rPr>
            </w:pPr>
            <w:r>
              <w:rPr>
                <w:sz w:val="20"/>
                <w:szCs w:val="20"/>
              </w:rPr>
              <w:t>Hồng Công, Trung Quốc</w:t>
            </w:r>
          </w:p>
        </w:tc>
        <w:tc>
          <w:tcPr>
            <w:tcW w:w="1785" w:type="dxa"/>
          </w:tcPr>
          <w:p w14:paraId="0382DF69" w14:textId="77777777" w:rsidR="006575CC" w:rsidRDefault="009F2BF5">
            <w:pPr>
              <w:jc w:val="right"/>
              <w:rPr>
                <w:sz w:val="20"/>
                <w:szCs w:val="20"/>
              </w:rPr>
            </w:pPr>
            <w:r>
              <w:rPr>
                <w:sz w:val="20"/>
                <w:szCs w:val="20"/>
              </w:rPr>
              <w:t>21</w:t>
            </w:r>
          </w:p>
        </w:tc>
        <w:tc>
          <w:tcPr>
            <w:tcW w:w="1785" w:type="dxa"/>
          </w:tcPr>
          <w:p w14:paraId="4EC16D99" w14:textId="77777777" w:rsidR="006575CC" w:rsidRDefault="009F2BF5">
            <w:pPr>
              <w:jc w:val="right"/>
              <w:rPr>
                <w:sz w:val="20"/>
                <w:szCs w:val="20"/>
              </w:rPr>
            </w:pPr>
            <w:r>
              <w:rPr>
                <w:sz w:val="20"/>
                <w:szCs w:val="20"/>
              </w:rPr>
              <w:t>15</w:t>
            </w:r>
          </w:p>
        </w:tc>
        <w:tc>
          <w:tcPr>
            <w:tcW w:w="1785" w:type="dxa"/>
          </w:tcPr>
          <w:p w14:paraId="6D967819" w14:textId="77777777" w:rsidR="006575CC" w:rsidRDefault="009F2BF5">
            <w:pPr>
              <w:jc w:val="right"/>
              <w:rPr>
                <w:sz w:val="20"/>
                <w:szCs w:val="20"/>
              </w:rPr>
            </w:pPr>
            <w:r>
              <w:rPr>
                <w:sz w:val="20"/>
                <w:szCs w:val="20"/>
              </w:rPr>
              <w:t>6</w:t>
            </w:r>
          </w:p>
        </w:tc>
      </w:tr>
      <w:tr w:rsidR="006575CC" w14:paraId="792D63C7" w14:textId="77777777">
        <w:trPr>
          <w:jc w:val="center"/>
        </w:trPr>
        <w:tc>
          <w:tcPr>
            <w:tcW w:w="660" w:type="dxa"/>
          </w:tcPr>
          <w:p w14:paraId="1194B346" w14:textId="77777777" w:rsidR="006575CC" w:rsidRDefault="009F2BF5">
            <w:pPr>
              <w:jc w:val="center"/>
              <w:rPr>
                <w:sz w:val="20"/>
                <w:szCs w:val="20"/>
              </w:rPr>
            </w:pPr>
            <w:r>
              <w:rPr>
                <w:sz w:val="20"/>
                <w:szCs w:val="20"/>
              </w:rPr>
              <w:t>24</w:t>
            </w:r>
          </w:p>
        </w:tc>
        <w:tc>
          <w:tcPr>
            <w:tcW w:w="2040" w:type="dxa"/>
          </w:tcPr>
          <w:p w14:paraId="10AE3D87" w14:textId="77777777" w:rsidR="006575CC" w:rsidRDefault="009F2BF5">
            <w:pPr>
              <w:rPr>
                <w:sz w:val="20"/>
                <w:szCs w:val="20"/>
              </w:rPr>
            </w:pPr>
            <w:r>
              <w:rPr>
                <w:sz w:val="20"/>
                <w:szCs w:val="20"/>
              </w:rPr>
              <w:t>Còn lại</w:t>
            </w:r>
          </w:p>
        </w:tc>
        <w:tc>
          <w:tcPr>
            <w:tcW w:w="1785" w:type="dxa"/>
          </w:tcPr>
          <w:p w14:paraId="077B2742" w14:textId="77777777" w:rsidR="006575CC" w:rsidRDefault="009F2BF5">
            <w:pPr>
              <w:jc w:val="right"/>
              <w:rPr>
                <w:sz w:val="20"/>
                <w:szCs w:val="20"/>
              </w:rPr>
            </w:pPr>
            <w:r>
              <w:rPr>
                <w:sz w:val="20"/>
                <w:szCs w:val="20"/>
              </w:rPr>
              <w:t>481</w:t>
            </w:r>
          </w:p>
        </w:tc>
        <w:tc>
          <w:tcPr>
            <w:tcW w:w="1785" w:type="dxa"/>
          </w:tcPr>
          <w:p w14:paraId="1A9DBFD5" w14:textId="77777777" w:rsidR="006575CC" w:rsidRDefault="009F2BF5">
            <w:pPr>
              <w:jc w:val="right"/>
              <w:rPr>
                <w:sz w:val="20"/>
                <w:szCs w:val="20"/>
              </w:rPr>
            </w:pPr>
            <w:r>
              <w:rPr>
                <w:sz w:val="20"/>
                <w:szCs w:val="20"/>
              </w:rPr>
              <w:t>401</w:t>
            </w:r>
          </w:p>
        </w:tc>
        <w:tc>
          <w:tcPr>
            <w:tcW w:w="1785" w:type="dxa"/>
          </w:tcPr>
          <w:p w14:paraId="30D51257" w14:textId="77777777" w:rsidR="006575CC" w:rsidRDefault="009F2BF5">
            <w:pPr>
              <w:jc w:val="right"/>
              <w:rPr>
                <w:sz w:val="20"/>
                <w:szCs w:val="20"/>
              </w:rPr>
            </w:pPr>
            <w:r>
              <w:rPr>
                <w:sz w:val="20"/>
                <w:szCs w:val="20"/>
              </w:rPr>
              <w:t>80</w:t>
            </w:r>
          </w:p>
        </w:tc>
      </w:tr>
    </w:tbl>
    <w:p w14:paraId="5D59B0C4" w14:textId="77777777" w:rsidR="006575CC" w:rsidRDefault="009F2BF5">
      <w:pPr>
        <w:ind w:firstLine="720"/>
        <w:rPr>
          <w:i/>
          <w:iCs/>
          <w:color w:val="C00000"/>
        </w:rPr>
      </w:pPr>
      <w:r>
        <w:rPr>
          <w:sz w:val="20"/>
          <w:szCs w:val="20"/>
        </w:rPr>
        <w:t>Nguồn: Tác giả tổng hợp dựa trên số liệu của ITC.</w:t>
      </w:r>
    </w:p>
    <w:p w14:paraId="54DF498F" w14:textId="77777777" w:rsidR="006575CC" w:rsidRDefault="009F2BF5">
      <w:pPr>
        <w:numPr>
          <w:ilvl w:val="3"/>
          <w:numId w:val="10"/>
        </w:numPr>
      </w:pPr>
      <w:r>
        <w:t xml:space="preserve">Điều đáng chú ý là, mặc dù các quốc gia GCC đều có chung tầm nhìn hướng tới giảm dần sự phụ thuộc vào nhiên liệu hóa thạch, dầu mỏ và khí đốt, dường như lại thiếu một nỗ lực tập thể từ phía GCC để đạt được mục tiêu này. Thực tế, mỗi trong sáu quốc gia thành viên GCC đều có “tầm nhìn” riêng nhằm chuyển đổi nền kinh tế của mình thành những nền kinh tế </w:t>
      </w:r>
      <w:r>
        <w:lastRenderedPageBreak/>
        <w:t>năng động và đa dạng, không hoàn toàn phụ thuộc vào dầu mỏ và khí đốt. Bản chất của những “tầm nhìn” này được tóm tắt trong Phụ lục 1.</w:t>
      </w:r>
    </w:p>
    <w:p w14:paraId="1515E48B" w14:textId="77777777" w:rsidR="006575CC" w:rsidRDefault="009F2BF5">
      <w:pPr>
        <w:numPr>
          <w:ilvl w:val="3"/>
          <w:numId w:val="10"/>
        </w:numPr>
        <w:rPr>
          <w:color w:val="000000"/>
        </w:rPr>
      </w:pPr>
      <w:r>
        <w:rPr>
          <w:color w:val="000000"/>
        </w:rPr>
        <w:t>Sáu văn kiện “tầm nhìn” của các quốc gia GCC gần như có cùng định hướng, ưu tiên các nền kinh tế đa dạng hóa để giảm phụ thuộc vào dầu mỏ và khí đốt; đầu tư vào giáo dục và y tế nhằm nâng cao chất lượng cuộc sống; phát triển bền vững thông qua năng lượng tái tạo và bảo vệ môi trường; cũng như cải thiện quản trị bằng cách nâng cao hiệu quả và tính minh bạch. Mặc dù có những điểm chung này, vẫn tồn tại một mức độ cạnh tranh, chẳng hạn Bahrain và Kuwait đều muốn trở thành trung tâm thương mại và tài chính của khu vực, trong khi Oman, Saudi Arabia và UAE ưu tiên phát triển ngành du lịch như một phần trong nỗ lực đa dạng hóa nền kinh tế. Tuy nhiên, các văn kiện “tầm nhìn” cũng chỉ ra nhiều lĩnh vực tiềm năng cho hợp tác khu vực, bao gồm năng lượng tái tạo, bảo vệ môi trường, nghiên cứu và phát triển công nghệ, cùng các lĩnh vực khác.</w:t>
      </w:r>
    </w:p>
    <w:p w14:paraId="03ED6A10" w14:textId="77777777" w:rsidR="006575CC" w:rsidRDefault="009F2BF5">
      <w:pPr>
        <w:numPr>
          <w:ilvl w:val="3"/>
          <w:numId w:val="10"/>
        </w:numPr>
      </w:pPr>
      <w:r>
        <w:rPr>
          <w:b/>
          <w:bCs/>
          <w:u w:val="single"/>
        </w:rPr>
        <w:t>Hiệp hội các quốc gia Đông Nam Á (ASEAN)</w:t>
      </w:r>
      <w:r>
        <w:t xml:space="preserve"> ban đầu là một tổ chức lỏng lẻo, nhưng Hiến chương ASEAN, được ký vào tháng 11/2007 và có hiệu lực từ tháng 12/2008, đã biến ASEAN thành Cộng đồng ASEAN gồm ba trụ cột: Cộng đồng Chính trị – </w:t>
      </w:r>
      <w:proofErr w:type="gramStart"/>
      <w:r>
        <w:t>An</w:t>
      </w:r>
      <w:proofErr w:type="gramEnd"/>
      <w:r>
        <w:t xml:space="preserve"> ninh ASEAN (APSC), Cộng đồng Văn hóa – Xã hội ASEAN (ASCC) và Cộng đồng Kinh tế ASEAN (AEC). Ba trụ cột này “đan xen chặt chẽ và hỗ trợ lẫn nhau nhằm đảm bảo hòa bình, ổn định lâu dài và thịnh vượng chung trong khu vực” (Bali Concord II, 2003).</w:t>
      </w:r>
    </w:p>
    <w:p w14:paraId="460A98D1" w14:textId="77777777" w:rsidR="006575CC" w:rsidRDefault="009F2BF5">
      <w:pPr>
        <w:numPr>
          <w:ilvl w:val="3"/>
          <w:numId w:val="10"/>
        </w:numPr>
      </w:pPr>
      <w:r>
        <w:t xml:space="preserve">Như được thể hiện trong Bảng 3, ASEAN hiện là một thị trường với hơn 678 triệu người. Tổng GDP của khu vực đạt 3,98 nghìn tỷ USD trong năm 2023, phản ánh vị thế của ASEAN là một trong những khu vực kinh tế năng động nhất thế giới. Các quốc gia thành viên như Indonesia, Thái Lan, Philippines và Việt Nam đóng góp đáng kể nhờ dân số lớn và hoạt động kinh tế đang mở rộng. Chẳng hạn, Indonesia với GDP đạt 1,37 nghìn tỷ USD và dân số gần 279 triệu người cho thấy sự kết hợp cân bằng giữa tiềm năng thị trường và quy mô kinh tế. Tuy nhiên, GDP bình quân đầu người vẫn ở mức vừa phải, 4,92 nghìn USD, cho thấy tiềm năng tăng trưởng còn lớn. Ngược lại, Singapore nổi bật với GDP bình quân đầu người cao nhất ASEAN, 84,73 nghìn USD, phản ánh cơ cấu kinh tế tiên tiến và ngành thương mại, dịch vụ phát triển mạnh. Việt Nam, nổi tiếng với tăng trưởng dựa vào xuất khẩu, đạt một trong những mức tăng trưởng bình quân hàng </w:t>
      </w:r>
      <w:r>
        <w:lastRenderedPageBreak/>
        <w:t>năm cao nhất giai đoạn 2015–2020, 6,54%, nhờ sản xuất công nghiệp và đầu tư nước ngoài.</w:t>
      </w:r>
    </w:p>
    <w:p w14:paraId="1F955BD3" w14:textId="77777777" w:rsidR="006575CC" w:rsidRDefault="009F2BF5">
      <w:pPr>
        <w:ind w:left="720"/>
        <w:jc w:val="center"/>
        <w:rPr>
          <w:i/>
          <w:iCs/>
          <w:color w:val="C00000"/>
          <w:sz w:val="28"/>
          <w:szCs w:val="28"/>
        </w:rPr>
      </w:pPr>
      <w:bookmarkStart w:id="11" w:name="_heading=h.deaefpycofgv" w:colFirst="0" w:colLast="0"/>
      <w:bookmarkEnd w:id="11"/>
      <w:r>
        <w:rPr>
          <w:b/>
          <w:bCs/>
        </w:rPr>
        <w:t>Bảng 3. Các Chỉ số Kinh tế – Xã hội của ASEAN</w:t>
      </w:r>
    </w:p>
    <w:tbl>
      <w:tblPr>
        <w:tblStyle w:val="10"/>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5"/>
        <w:gridCol w:w="795"/>
        <w:gridCol w:w="930"/>
        <w:gridCol w:w="1200"/>
        <w:gridCol w:w="1080"/>
        <w:gridCol w:w="915"/>
        <w:gridCol w:w="1005"/>
        <w:gridCol w:w="900"/>
        <w:gridCol w:w="975"/>
      </w:tblGrid>
      <w:tr w:rsidR="006575CC" w14:paraId="34F58E82" w14:textId="77777777">
        <w:tc>
          <w:tcPr>
            <w:tcW w:w="1215" w:type="dxa"/>
            <w:vAlign w:val="center"/>
          </w:tcPr>
          <w:p w14:paraId="3FF07595" w14:textId="77777777" w:rsidR="006575CC" w:rsidRDefault="009F2BF5">
            <w:pPr>
              <w:jc w:val="center"/>
              <w:rPr>
                <w:sz w:val="18"/>
                <w:szCs w:val="18"/>
              </w:rPr>
            </w:pPr>
            <w:r>
              <w:rPr>
                <w:b/>
                <w:bCs/>
                <w:sz w:val="18"/>
                <w:szCs w:val="18"/>
              </w:rPr>
              <w:t xml:space="preserve">ASEAN và các quốc gia thành viên GCC </w:t>
            </w:r>
          </w:p>
        </w:tc>
        <w:tc>
          <w:tcPr>
            <w:tcW w:w="795" w:type="dxa"/>
            <w:vAlign w:val="center"/>
          </w:tcPr>
          <w:p w14:paraId="06DBBD5C" w14:textId="77777777" w:rsidR="006575CC" w:rsidRDefault="009F2BF5">
            <w:pPr>
              <w:jc w:val="center"/>
              <w:rPr>
                <w:sz w:val="18"/>
                <w:szCs w:val="18"/>
              </w:rPr>
            </w:pPr>
            <w:r>
              <w:rPr>
                <w:b/>
                <w:bCs/>
                <w:sz w:val="18"/>
                <w:szCs w:val="18"/>
              </w:rPr>
              <w:t>GDP, 2023 (tỷ USD)</w:t>
            </w:r>
          </w:p>
        </w:tc>
        <w:tc>
          <w:tcPr>
            <w:tcW w:w="930" w:type="dxa"/>
            <w:vAlign w:val="center"/>
          </w:tcPr>
          <w:p w14:paraId="36FC18F0" w14:textId="77777777" w:rsidR="006575CC" w:rsidRDefault="009F2BF5">
            <w:pPr>
              <w:jc w:val="center"/>
              <w:rPr>
                <w:sz w:val="18"/>
                <w:szCs w:val="18"/>
              </w:rPr>
            </w:pPr>
            <w:r>
              <w:rPr>
                <w:b/>
                <w:bCs/>
                <w:sz w:val="18"/>
                <w:szCs w:val="18"/>
              </w:rPr>
              <w:t>Tăng trưởng hàng năm (số liệu thực), 2023</w:t>
            </w:r>
          </w:p>
        </w:tc>
        <w:tc>
          <w:tcPr>
            <w:tcW w:w="1200" w:type="dxa"/>
            <w:vAlign w:val="center"/>
          </w:tcPr>
          <w:p w14:paraId="0055709B" w14:textId="77777777" w:rsidR="006575CC" w:rsidRDefault="009F2BF5">
            <w:pPr>
              <w:jc w:val="center"/>
              <w:rPr>
                <w:sz w:val="18"/>
                <w:szCs w:val="18"/>
              </w:rPr>
            </w:pPr>
            <w:r>
              <w:rPr>
                <w:b/>
                <w:bCs/>
                <w:sz w:val="18"/>
                <w:szCs w:val="18"/>
              </w:rPr>
              <w:t>Dân số, 2019 (triệu người)</w:t>
            </w:r>
          </w:p>
        </w:tc>
        <w:tc>
          <w:tcPr>
            <w:tcW w:w="1080" w:type="dxa"/>
            <w:vAlign w:val="center"/>
          </w:tcPr>
          <w:p w14:paraId="68CD8D5F" w14:textId="77777777" w:rsidR="006575CC" w:rsidRDefault="009F2BF5">
            <w:pPr>
              <w:jc w:val="center"/>
              <w:rPr>
                <w:sz w:val="18"/>
                <w:szCs w:val="18"/>
              </w:rPr>
            </w:pPr>
            <w:r>
              <w:rPr>
                <w:b/>
                <w:bCs/>
                <w:sz w:val="18"/>
                <w:szCs w:val="18"/>
              </w:rPr>
              <w:t xml:space="preserve">GDP bình quân đầu </w:t>
            </w:r>
            <w:proofErr w:type="gramStart"/>
            <w:r>
              <w:rPr>
                <w:b/>
                <w:bCs/>
                <w:sz w:val="18"/>
                <w:szCs w:val="18"/>
              </w:rPr>
              <w:t>người,,</w:t>
            </w:r>
            <w:proofErr w:type="gramEnd"/>
            <w:r>
              <w:rPr>
                <w:b/>
                <w:bCs/>
                <w:sz w:val="18"/>
                <w:szCs w:val="18"/>
              </w:rPr>
              <w:t xml:space="preserve"> 2019 (nghìn USD)</w:t>
            </w:r>
          </w:p>
        </w:tc>
        <w:tc>
          <w:tcPr>
            <w:tcW w:w="915" w:type="dxa"/>
            <w:vAlign w:val="center"/>
          </w:tcPr>
          <w:p w14:paraId="30B57604" w14:textId="77777777" w:rsidR="006575CC" w:rsidRDefault="009F2BF5">
            <w:pPr>
              <w:jc w:val="center"/>
              <w:rPr>
                <w:sz w:val="18"/>
                <w:szCs w:val="18"/>
              </w:rPr>
            </w:pPr>
            <w:r>
              <w:rPr>
                <w:b/>
                <w:bCs/>
                <w:sz w:val="18"/>
                <w:szCs w:val="18"/>
              </w:rPr>
              <w:t>Tổng thương mại hàng hóa, 2023 (in USD billion)</w:t>
            </w:r>
          </w:p>
        </w:tc>
        <w:tc>
          <w:tcPr>
            <w:tcW w:w="1005" w:type="dxa"/>
            <w:vAlign w:val="center"/>
          </w:tcPr>
          <w:p w14:paraId="3C7D4D06" w14:textId="77777777" w:rsidR="006575CC" w:rsidRDefault="009F2BF5">
            <w:pPr>
              <w:jc w:val="center"/>
              <w:rPr>
                <w:sz w:val="18"/>
                <w:szCs w:val="18"/>
              </w:rPr>
            </w:pPr>
            <w:r>
              <w:rPr>
                <w:b/>
                <w:bCs/>
                <w:sz w:val="18"/>
                <w:szCs w:val="18"/>
              </w:rPr>
              <w:t>Tổng thương mại dịch vụ, 2023 (tỷ USD)</w:t>
            </w:r>
          </w:p>
        </w:tc>
        <w:tc>
          <w:tcPr>
            <w:tcW w:w="900" w:type="dxa"/>
            <w:vAlign w:val="center"/>
          </w:tcPr>
          <w:p w14:paraId="2E00A34A" w14:textId="77777777" w:rsidR="006575CC" w:rsidRDefault="009F2BF5">
            <w:pPr>
              <w:jc w:val="center"/>
              <w:rPr>
                <w:sz w:val="18"/>
                <w:szCs w:val="18"/>
              </w:rPr>
            </w:pPr>
            <w:r>
              <w:rPr>
                <w:b/>
                <w:bCs/>
                <w:sz w:val="18"/>
                <w:szCs w:val="18"/>
              </w:rPr>
              <w:t>FDI vào, 2023 (tỷ USD)</w:t>
            </w:r>
          </w:p>
        </w:tc>
        <w:tc>
          <w:tcPr>
            <w:tcW w:w="975" w:type="dxa"/>
            <w:vAlign w:val="center"/>
          </w:tcPr>
          <w:p w14:paraId="69852BFE" w14:textId="77777777" w:rsidR="006575CC" w:rsidRDefault="009F2BF5">
            <w:pPr>
              <w:jc w:val="center"/>
              <w:rPr>
                <w:sz w:val="18"/>
                <w:szCs w:val="18"/>
              </w:rPr>
            </w:pPr>
            <w:r>
              <w:rPr>
                <w:b/>
                <w:bCs/>
                <w:sz w:val="18"/>
                <w:szCs w:val="18"/>
              </w:rPr>
              <w:t>FDI ra, 2023 (tỷ USD)</w:t>
            </w:r>
          </w:p>
        </w:tc>
      </w:tr>
      <w:tr w:rsidR="006575CC" w14:paraId="202F3173" w14:textId="77777777">
        <w:trPr>
          <w:trHeight w:val="276"/>
        </w:trPr>
        <w:tc>
          <w:tcPr>
            <w:tcW w:w="1215" w:type="dxa"/>
          </w:tcPr>
          <w:p w14:paraId="4B68E5E5" w14:textId="77777777" w:rsidR="006575CC" w:rsidRDefault="009F2BF5">
            <w:pPr>
              <w:rPr>
                <w:sz w:val="18"/>
                <w:szCs w:val="18"/>
              </w:rPr>
            </w:pPr>
            <w:r>
              <w:rPr>
                <w:sz w:val="18"/>
                <w:szCs w:val="18"/>
              </w:rPr>
              <w:t>Brunei</w:t>
            </w:r>
          </w:p>
        </w:tc>
        <w:tc>
          <w:tcPr>
            <w:tcW w:w="795" w:type="dxa"/>
          </w:tcPr>
          <w:p w14:paraId="124865C6" w14:textId="77777777" w:rsidR="006575CC" w:rsidRDefault="009F2BF5">
            <w:pPr>
              <w:jc w:val="right"/>
              <w:rPr>
                <w:sz w:val="18"/>
                <w:szCs w:val="18"/>
              </w:rPr>
            </w:pPr>
            <w:r>
              <w:rPr>
                <w:sz w:val="18"/>
                <w:szCs w:val="18"/>
              </w:rPr>
              <w:t>15.1</w:t>
            </w:r>
          </w:p>
        </w:tc>
        <w:tc>
          <w:tcPr>
            <w:tcW w:w="930" w:type="dxa"/>
          </w:tcPr>
          <w:p w14:paraId="7E751FC3" w14:textId="77777777" w:rsidR="006575CC" w:rsidRDefault="009F2BF5">
            <w:pPr>
              <w:jc w:val="right"/>
              <w:rPr>
                <w:sz w:val="18"/>
                <w:szCs w:val="18"/>
              </w:rPr>
            </w:pPr>
            <w:r>
              <w:rPr>
                <w:sz w:val="18"/>
                <w:szCs w:val="18"/>
              </w:rPr>
              <w:t>1.4</w:t>
            </w:r>
          </w:p>
        </w:tc>
        <w:tc>
          <w:tcPr>
            <w:tcW w:w="1200" w:type="dxa"/>
          </w:tcPr>
          <w:p w14:paraId="6E507CF0" w14:textId="77777777" w:rsidR="006575CC" w:rsidRDefault="009F2BF5">
            <w:pPr>
              <w:jc w:val="right"/>
              <w:rPr>
                <w:sz w:val="18"/>
                <w:szCs w:val="18"/>
              </w:rPr>
            </w:pPr>
            <w:r>
              <w:rPr>
                <w:sz w:val="18"/>
                <w:szCs w:val="18"/>
              </w:rPr>
              <w:t>0.5</w:t>
            </w:r>
          </w:p>
        </w:tc>
        <w:tc>
          <w:tcPr>
            <w:tcW w:w="1080" w:type="dxa"/>
          </w:tcPr>
          <w:p w14:paraId="20D60231" w14:textId="77777777" w:rsidR="006575CC" w:rsidRDefault="009F2BF5">
            <w:pPr>
              <w:jc w:val="right"/>
              <w:rPr>
                <w:sz w:val="18"/>
                <w:szCs w:val="18"/>
              </w:rPr>
            </w:pPr>
            <w:r>
              <w:rPr>
                <w:sz w:val="18"/>
                <w:szCs w:val="18"/>
              </w:rPr>
              <w:t>33.6</w:t>
            </w:r>
          </w:p>
        </w:tc>
        <w:tc>
          <w:tcPr>
            <w:tcW w:w="915" w:type="dxa"/>
          </w:tcPr>
          <w:p w14:paraId="4D1EE725" w14:textId="77777777" w:rsidR="006575CC" w:rsidRDefault="009F2BF5">
            <w:pPr>
              <w:jc w:val="right"/>
              <w:rPr>
                <w:sz w:val="18"/>
                <w:szCs w:val="18"/>
              </w:rPr>
            </w:pPr>
            <w:r>
              <w:rPr>
                <w:sz w:val="18"/>
                <w:szCs w:val="18"/>
              </w:rPr>
              <w:t>18.7</w:t>
            </w:r>
          </w:p>
        </w:tc>
        <w:tc>
          <w:tcPr>
            <w:tcW w:w="1005" w:type="dxa"/>
          </w:tcPr>
          <w:p w14:paraId="35964C03" w14:textId="77777777" w:rsidR="006575CC" w:rsidRDefault="009F2BF5">
            <w:pPr>
              <w:jc w:val="right"/>
              <w:rPr>
                <w:sz w:val="18"/>
                <w:szCs w:val="18"/>
              </w:rPr>
            </w:pPr>
            <w:r>
              <w:rPr>
                <w:sz w:val="18"/>
                <w:szCs w:val="18"/>
              </w:rPr>
              <w:t>1.9</w:t>
            </w:r>
          </w:p>
        </w:tc>
        <w:tc>
          <w:tcPr>
            <w:tcW w:w="900" w:type="dxa"/>
          </w:tcPr>
          <w:p w14:paraId="61EED333" w14:textId="77777777" w:rsidR="006575CC" w:rsidRDefault="009F2BF5">
            <w:pPr>
              <w:jc w:val="right"/>
              <w:rPr>
                <w:sz w:val="18"/>
                <w:szCs w:val="18"/>
              </w:rPr>
            </w:pPr>
            <w:r>
              <w:rPr>
                <w:sz w:val="18"/>
                <w:szCs w:val="18"/>
              </w:rPr>
              <w:t>-0.1</w:t>
            </w:r>
          </w:p>
        </w:tc>
        <w:tc>
          <w:tcPr>
            <w:tcW w:w="975" w:type="dxa"/>
          </w:tcPr>
          <w:p w14:paraId="222929A4" w14:textId="77777777" w:rsidR="006575CC" w:rsidRDefault="009F2BF5">
            <w:pPr>
              <w:jc w:val="right"/>
              <w:rPr>
                <w:sz w:val="18"/>
                <w:szCs w:val="18"/>
              </w:rPr>
            </w:pPr>
            <w:r>
              <w:rPr>
                <w:sz w:val="18"/>
                <w:szCs w:val="18"/>
              </w:rPr>
              <w:t>N/A</w:t>
            </w:r>
          </w:p>
        </w:tc>
      </w:tr>
      <w:tr w:rsidR="006575CC" w14:paraId="07918EE5" w14:textId="77777777">
        <w:trPr>
          <w:trHeight w:val="276"/>
        </w:trPr>
        <w:tc>
          <w:tcPr>
            <w:tcW w:w="1215" w:type="dxa"/>
          </w:tcPr>
          <w:p w14:paraId="4D88DD72" w14:textId="77777777" w:rsidR="006575CC" w:rsidRDefault="009F2BF5">
            <w:pPr>
              <w:rPr>
                <w:sz w:val="18"/>
                <w:szCs w:val="18"/>
              </w:rPr>
            </w:pPr>
            <w:r>
              <w:rPr>
                <w:sz w:val="18"/>
                <w:szCs w:val="18"/>
              </w:rPr>
              <w:t>Campuchia</w:t>
            </w:r>
          </w:p>
        </w:tc>
        <w:tc>
          <w:tcPr>
            <w:tcW w:w="795" w:type="dxa"/>
          </w:tcPr>
          <w:p w14:paraId="16A441FF" w14:textId="77777777" w:rsidR="006575CC" w:rsidRDefault="009F2BF5">
            <w:pPr>
              <w:jc w:val="right"/>
              <w:rPr>
                <w:sz w:val="18"/>
                <w:szCs w:val="18"/>
              </w:rPr>
            </w:pPr>
            <w:r>
              <w:rPr>
                <w:sz w:val="18"/>
                <w:szCs w:val="18"/>
              </w:rPr>
              <w:t>39.8</w:t>
            </w:r>
          </w:p>
        </w:tc>
        <w:tc>
          <w:tcPr>
            <w:tcW w:w="930" w:type="dxa"/>
          </w:tcPr>
          <w:p w14:paraId="36849679" w14:textId="77777777" w:rsidR="006575CC" w:rsidRDefault="009F2BF5">
            <w:pPr>
              <w:jc w:val="right"/>
              <w:rPr>
                <w:sz w:val="18"/>
                <w:szCs w:val="18"/>
              </w:rPr>
            </w:pPr>
            <w:r>
              <w:rPr>
                <w:sz w:val="18"/>
                <w:szCs w:val="18"/>
              </w:rPr>
              <w:t>5.1</w:t>
            </w:r>
          </w:p>
        </w:tc>
        <w:tc>
          <w:tcPr>
            <w:tcW w:w="1200" w:type="dxa"/>
          </w:tcPr>
          <w:p w14:paraId="178D7AB3" w14:textId="77777777" w:rsidR="006575CC" w:rsidRDefault="009F2BF5">
            <w:pPr>
              <w:jc w:val="right"/>
              <w:rPr>
                <w:sz w:val="18"/>
                <w:szCs w:val="18"/>
              </w:rPr>
            </w:pPr>
            <w:r>
              <w:rPr>
                <w:sz w:val="18"/>
                <w:szCs w:val="18"/>
              </w:rPr>
              <w:t>16.8</w:t>
            </w:r>
          </w:p>
        </w:tc>
        <w:tc>
          <w:tcPr>
            <w:tcW w:w="1080" w:type="dxa"/>
          </w:tcPr>
          <w:p w14:paraId="29A8D73B" w14:textId="77777777" w:rsidR="006575CC" w:rsidRDefault="009F2BF5">
            <w:pPr>
              <w:jc w:val="right"/>
              <w:rPr>
                <w:sz w:val="18"/>
                <w:szCs w:val="18"/>
              </w:rPr>
            </w:pPr>
            <w:r>
              <w:rPr>
                <w:sz w:val="18"/>
                <w:szCs w:val="18"/>
              </w:rPr>
              <w:t>2.4</w:t>
            </w:r>
          </w:p>
        </w:tc>
        <w:tc>
          <w:tcPr>
            <w:tcW w:w="915" w:type="dxa"/>
          </w:tcPr>
          <w:p w14:paraId="4D55C0BC" w14:textId="77777777" w:rsidR="006575CC" w:rsidRDefault="009F2BF5">
            <w:pPr>
              <w:jc w:val="right"/>
              <w:rPr>
                <w:sz w:val="18"/>
                <w:szCs w:val="18"/>
              </w:rPr>
            </w:pPr>
            <w:r>
              <w:rPr>
                <w:sz w:val="18"/>
                <w:szCs w:val="18"/>
              </w:rPr>
              <w:t>52.3</w:t>
            </w:r>
          </w:p>
        </w:tc>
        <w:tc>
          <w:tcPr>
            <w:tcW w:w="1005" w:type="dxa"/>
          </w:tcPr>
          <w:p w14:paraId="6DCFBF04" w14:textId="77777777" w:rsidR="006575CC" w:rsidRDefault="009F2BF5">
            <w:pPr>
              <w:jc w:val="right"/>
              <w:rPr>
                <w:sz w:val="18"/>
                <w:szCs w:val="18"/>
              </w:rPr>
            </w:pPr>
            <w:r>
              <w:rPr>
                <w:sz w:val="18"/>
                <w:szCs w:val="18"/>
              </w:rPr>
              <w:t>6.9</w:t>
            </w:r>
          </w:p>
        </w:tc>
        <w:tc>
          <w:tcPr>
            <w:tcW w:w="900" w:type="dxa"/>
          </w:tcPr>
          <w:p w14:paraId="55DFEAAC" w14:textId="77777777" w:rsidR="006575CC" w:rsidRDefault="009F2BF5">
            <w:pPr>
              <w:jc w:val="right"/>
              <w:rPr>
                <w:sz w:val="18"/>
                <w:szCs w:val="18"/>
              </w:rPr>
            </w:pPr>
            <w:r>
              <w:rPr>
                <w:sz w:val="18"/>
                <w:szCs w:val="18"/>
              </w:rPr>
              <w:t>3.9</w:t>
            </w:r>
          </w:p>
        </w:tc>
        <w:tc>
          <w:tcPr>
            <w:tcW w:w="975" w:type="dxa"/>
          </w:tcPr>
          <w:p w14:paraId="0A3AA9D2" w14:textId="77777777" w:rsidR="006575CC" w:rsidRDefault="009F2BF5">
            <w:pPr>
              <w:jc w:val="right"/>
              <w:rPr>
                <w:sz w:val="18"/>
                <w:szCs w:val="18"/>
              </w:rPr>
            </w:pPr>
            <w:r>
              <w:rPr>
                <w:sz w:val="18"/>
                <w:szCs w:val="18"/>
              </w:rPr>
              <w:t>0.2</w:t>
            </w:r>
          </w:p>
        </w:tc>
      </w:tr>
      <w:tr w:rsidR="006575CC" w14:paraId="601E0612" w14:textId="77777777">
        <w:trPr>
          <w:trHeight w:val="276"/>
        </w:trPr>
        <w:tc>
          <w:tcPr>
            <w:tcW w:w="1215" w:type="dxa"/>
          </w:tcPr>
          <w:p w14:paraId="7623A41B" w14:textId="77777777" w:rsidR="006575CC" w:rsidRDefault="009F2BF5">
            <w:pPr>
              <w:rPr>
                <w:sz w:val="18"/>
                <w:szCs w:val="18"/>
              </w:rPr>
            </w:pPr>
            <w:r>
              <w:rPr>
                <w:sz w:val="18"/>
                <w:szCs w:val="18"/>
              </w:rPr>
              <w:t>Indonesia</w:t>
            </w:r>
          </w:p>
        </w:tc>
        <w:tc>
          <w:tcPr>
            <w:tcW w:w="795" w:type="dxa"/>
          </w:tcPr>
          <w:p w14:paraId="505B937F" w14:textId="77777777" w:rsidR="006575CC" w:rsidRDefault="009F2BF5">
            <w:pPr>
              <w:jc w:val="right"/>
              <w:rPr>
                <w:sz w:val="18"/>
                <w:szCs w:val="18"/>
              </w:rPr>
            </w:pPr>
            <w:r>
              <w:rPr>
                <w:sz w:val="18"/>
                <w:szCs w:val="18"/>
              </w:rPr>
              <w:t>1,371.1</w:t>
            </w:r>
          </w:p>
        </w:tc>
        <w:tc>
          <w:tcPr>
            <w:tcW w:w="930" w:type="dxa"/>
          </w:tcPr>
          <w:p w14:paraId="64365A5B" w14:textId="77777777" w:rsidR="006575CC" w:rsidRDefault="009F2BF5">
            <w:pPr>
              <w:jc w:val="right"/>
              <w:rPr>
                <w:sz w:val="18"/>
                <w:szCs w:val="18"/>
              </w:rPr>
            </w:pPr>
            <w:r>
              <w:rPr>
                <w:sz w:val="18"/>
                <w:szCs w:val="18"/>
              </w:rPr>
              <w:t>5.0</w:t>
            </w:r>
          </w:p>
        </w:tc>
        <w:tc>
          <w:tcPr>
            <w:tcW w:w="1200" w:type="dxa"/>
          </w:tcPr>
          <w:p w14:paraId="1435527E" w14:textId="77777777" w:rsidR="006575CC" w:rsidRDefault="009F2BF5">
            <w:pPr>
              <w:jc w:val="right"/>
              <w:rPr>
                <w:sz w:val="18"/>
                <w:szCs w:val="18"/>
              </w:rPr>
            </w:pPr>
            <w:r>
              <w:rPr>
                <w:sz w:val="18"/>
                <w:szCs w:val="18"/>
              </w:rPr>
              <w:t>278.7</w:t>
            </w:r>
          </w:p>
        </w:tc>
        <w:tc>
          <w:tcPr>
            <w:tcW w:w="1080" w:type="dxa"/>
          </w:tcPr>
          <w:p w14:paraId="5CAA61CC" w14:textId="77777777" w:rsidR="006575CC" w:rsidRDefault="009F2BF5">
            <w:pPr>
              <w:jc w:val="right"/>
              <w:rPr>
                <w:sz w:val="18"/>
                <w:szCs w:val="18"/>
              </w:rPr>
            </w:pPr>
            <w:r>
              <w:rPr>
                <w:sz w:val="18"/>
                <w:szCs w:val="18"/>
              </w:rPr>
              <w:t>4.9</w:t>
            </w:r>
          </w:p>
        </w:tc>
        <w:tc>
          <w:tcPr>
            <w:tcW w:w="915" w:type="dxa"/>
          </w:tcPr>
          <w:p w14:paraId="0F76A787" w14:textId="77777777" w:rsidR="006575CC" w:rsidRDefault="009F2BF5">
            <w:pPr>
              <w:jc w:val="right"/>
              <w:rPr>
                <w:sz w:val="18"/>
                <w:szCs w:val="18"/>
              </w:rPr>
            </w:pPr>
            <w:r>
              <w:rPr>
                <w:sz w:val="18"/>
                <w:szCs w:val="18"/>
              </w:rPr>
              <w:t>480.7</w:t>
            </w:r>
          </w:p>
        </w:tc>
        <w:tc>
          <w:tcPr>
            <w:tcW w:w="1005" w:type="dxa"/>
          </w:tcPr>
          <w:p w14:paraId="5605A668" w14:textId="77777777" w:rsidR="006575CC" w:rsidRDefault="009F2BF5">
            <w:pPr>
              <w:jc w:val="right"/>
              <w:rPr>
                <w:sz w:val="18"/>
                <w:szCs w:val="18"/>
              </w:rPr>
            </w:pPr>
            <w:r>
              <w:rPr>
                <w:sz w:val="18"/>
                <w:szCs w:val="18"/>
              </w:rPr>
              <w:t>84.2</w:t>
            </w:r>
          </w:p>
        </w:tc>
        <w:tc>
          <w:tcPr>
            <w:tcW w:w="900" w:type="dxa"/>
          </w:tcPr>
          <w:p w14:paraId="31CDBEBF" w14:textId="77777777" w:rsidR="006575CC" w:rsidRDefault="009F2BF5">
            <w:pPr>
              <w:jc w:val="right"/>
              <w:rPr>
                <w:sz w:val="18"/>
                <w:szCs w:val="18"/>
              </w:rPr>
            </w:pPr>
            <w:r>
              <w:rPr>
                <w:sz w:val="18"/>
                <w:szCs w:val="18"/>
              </w:rPr>
              <w:t>21.6</w:t>
            </w:r>
          </w:p>
        </w:tc>
        <w:tc>
          <w:tcPr>
            <w:tcW w:w="975" w:type="dxa"/>
          </w:tcPr>
          <w:p w14:paraId="3D1B6C7F" w14:textId="77777777" w:rsidR="006575CC" w:rsidRDefault="009F2BF5">
            <w:pPr>
              <w:jc w:val="right"/>
              <w:rPr>
                <w:sz w:val="18"/>
                <w:szCs w:val="18"/>
              </w:rPr>
            </w:pPr>
            <w:r>
              <w:rPr>
                <w:sz w:val="18"/>
                <w:szCs w:val="18"/>
              </w:rPr>
              <w:t>7.1</w:t>
            </w:r>
          </w:p>
        </w:tc>
      </w:tr>
      <w:tr w:rsidR="006575CC" w14:paraId="0D4BBF28" w14:textId="77777777">
        <w:trPr>
          <w:trHeight w:val="276"/>
        </w:trPr>
        <w:tc>
          <w:tcPr>
            <w:tcW w:w="1215" w:type="dxa"/>
          </w:tcPr>
          <w:p w14:paraId="7ADBDABE" w14:textId="77777777" w:rsidR="006575CC" w:rsidRDefault="009F2BF5">
            <w:pPr>
              <w:rPr>
                <w:sz w:val="18"/>
                <w:szCs w:val="18"/>
              </w:rPr>
            </w:pPr>
            <w:r>
              <w:rPr>
                <w:sz w:val="18"/>
                <w:szCs w:val="18"/>
              </w:rPr>
              <w:t>Lào</w:t>
            </w:r>
          </w:p>
        </w:tc>
        <w:tc>
          <w:tcPr>
            <w:tcW w:w="795" w:type="dxa"/>
          </w:tcPr>
          <w:p w14:paraId="5F63B50A" w14:textId="77777777" w:rsidR="006575CC" w:rsidRDefault="009F2BF5">
            <w:pPr>
              <w:jc w:val="right"/>
              <w:rPr>
                <w:sz w:val="18"/>
                <w:szCs w:val="18"/>
              </w:rPr>
            </w:pPr>
            <w:r>
              <w:rPr>
                <w:sz w:val="18"/>
                <w:szCs w:val="18"/>
              </w:rPr>
              <w:t>15.1</w:t>
            </w:r>
          </w:p>
        </w:tc>
        <w:tc>
          <w:tcPr>
            <w:tcW w:w="930" w:type="dxa"/>
          </w:tcPr>
          <w:p w14:paraId="0F2530F4" w14:textId="77777777" w:rsidR="006575CC" w:rsidRDefault="009F2BF5">
            <w:pPr>
              <w:jc w:val="right"/>
              <w:rPr>
                <w:sz w:val="18"/>
                <w:szCs w:val="18"/>
              </w:rPr>
            </w:pPr>
            <w:r>
              <w:rPr>
                <w:sz w:val="18"/>
                <w:szCs w:val="18"/>
              </w:rPr>
              <w:t>2.3</w:t>
            </w:r>
          </w:p>
        </w:tc>
        <w:tc>
          <w:tcPr>
            <w:tcW w:w="1200" w:type="dxa"/>
          </w:tcPr>
          <w:p w14:paraId="20D3BED5" w14:textId="77777777" w:rsidR="006575CC" w:rsidRDefault="009F2BF5">
            <w:pPr>
              <w:jc w:val="right"/>
              <w:rPr>
                <w:sz w:val="18"/>
                <w:szCs w:val="18"/>
              </w:rPr>
            </w:pPr>
            <w:r>
              <w:rPr>
                <w:sz w:val="18"/>
                <w:szCs w:val="18"/>
              </w:rPr>
              <w:t>7.5</w:t>
            </w:r>
          </w:p>
        </w:tc>
        <w:tc>
          <w:tcPr>
            <w:tcW w:w="1080" w:type="dxa"/>
          </w:tcPr>
          <w:p w14:paraId="764CC213" w14:textId="77777777" w:rsidR="006575CC" w:rsidRDefault="009F2BF5">
            <w:pPr>
              <w:jc w:val="right"/>
              <w:rPr>
                <w:sz w:val="18"/>
                <w:szCs w:val="18"/>
              </w:rPr>
            </w:pPr>
            <w:r>
              <w:rPr>
                <w:sz w:val="18"/>
                <w:szCs w:val="18"/>
              </w:rPr>
              <w:t>2.0</w:t>
            </w:r>
          </w:p>
        </w:tc>
        <w:tc>
          <w:tcPr>
            <w:tcW w:w="915" w:type="dxa"/>
          </w:tcPr>
          <w:p w14:paraId="79BE44CA" w14:textId="77777777" w:rsidR="006575CC" w:rsidRDefault="009F2BF5">
            <w:pPr>
              <w:jc w:val="right"/>
              <w:rPr>
                <w:sz w:val="18"/>
                <w:szCs w:val="18"/>
              </w:rPr>
            </w:pPr>
            <w:r>
              <w:rPr>
                <w:sz w:val="18"/>
                <w:szCs w:val="18"/>
              </w:rPr>
              <w:t>16.0</w:t>
            </w:r>
          </w:p>
        </w:tc>
        <w:tc>
          <w:tcPr>
            <w:tcW w:w="1005" w:type="dxa"/>
          </w:tcPr>
          <w:p w14:paraId="1361FD2F" w14:textId="77777777" w:rsidR="006575CC" w:rsidRDefault="009F2BF5">
            <w:pPr>
              <w:jc w:val="right"/>
              <w:rPr>
                <w:sz w:val="18"/>
                <w:szCs w:val="18"/>
              </w:rPr>
            </w:pPr>
            <w:r>
              <w:rPr>
                <w:sz w:val="18"/>
                <w:szCs w:val="18"/>
              </w:rPr>
              <w:t>2.0</w:t>
            </w:r>
          </w:p>
        </w:tc>
        <w:tc>
          <w:tcPr>
            <w:tcW w:w="900" w:type="dxa"/>
          </w:tcPr>
          <w:p w14:paraId="313ABB08" w14:textId="77777777" w:rsidR="006575CC" w:rsidRDefault="009F2BF5">
            <w:pPr>
              <w:jc w:val="right"/>
              <w:rPr>
                <w:sz w:val="18"/>
                <w:szCs w:val="18"/>
              </w:rPr>
            </w:pPr>
            <w:r>
              <w:rPr>
                <w:sz w:val="18"/>
                <w:szCs w:val="18"/>
              </w:rPr>
              <w:t>1.7</w:t>
            </w:r>
          </w:p>
        </w:tc>
        <w:tc>
          <w:tcPr>
            <w:tcW w:w="975" w:type="dxa"/>
          </w:tcPr>
          <w:p w14:paraId="3525FC45" w14:textId="77777777" w:rsidR="006575CC" w:rsidRDefault="009F2BF5">
            <w:pPr>
              <w:jc w:val="right"/>
              <w:rPr>
                <w:sz w:val="18"/>
                <w:szCs w:val="18"/>
              </w:rPr>
            </w:pPr>
            <w:r>
              <w:rPr>
                <w:sz w:val="18"/>
                <w:szCs w:val="18"/>
              </w:rPr>
              <w:t>N/A</w:t>
            </w:r>
          </w:p>
        </w:tc>
      </w:tr>
      <w:tr w:rsidR="006575CC" w14:paraId="2B553FF6" w14:textId="77777777">
        <w:trPr>
          <w:trHeight w:val="276"/>
        </w:trPr>
        <w:tc>
          <w:tcPr>
            <w:tcW w:w="1215" w:type="dxa"/>
          </w:tcPr>
          <w:p w14:paraId="2DF11E13" w14:textId="77777777" w:rsidR="006575CC" w:rsidRDefault="009F2BF5">
            <w:pPr>
              <w:rPr>
                <w:sz w:val="18"/>
                <w:szCs w:val="18"/>
              </w:rPr>
            </w:pPr>
            <w:r>
              <w:rPr>
                <w:sz w:val="18"/>
                <w:szCs w:val="18"/>
              </w:rPr>
              <w:t>Malaysia</w:t>
            </w:r>
          </w:p>
        </w:tc>
        <w:tc>
          <w:tcPr>
            <w:tcW w:w="795" w:type="dxa"/>
          </w:tcPr>
          <w:p w14:paraId="161B8FC1" w14:textId="77777777" w:rsidR="006575CC" w:rsidRDefault="009F2BF5">
            <w:pPr>
              <w:jc w:val="right"/>
              <w:rPr>
                <w:sz w:val="18"/>
                <w:szCs w:val="18"/>
              </w:rPr>
            </w:pPr>
            <w:r>
              <w:rPr>
                <w:sz w:val="18"/>
                <w:szCs w:val="18"/>
              </w:rPr>
              <w:t>399.7</w:t>
            </w:r>
          </w:p>
        </w:tc>
        <w:tc>
          <w:tcPr>
            <w:tcW w:w="930" w:type="dxa"/>
          </w:tcPr>
          <w:p w14:paraId="3A669237" w14:textId="77777777" w:rsidR="006575CC" w:rsidRDefault="009F2BF5">
            <w:pPr>
              <w:jc w:val="right"/>
              <w:rPr>
                <w:sz w:val="18"/>
                <w:szCs w:val="18"/>
              </w:rPr>
            </w:pPr>
            <w:r>
              <w:rPr>
                <w:sz w:val="18"/>
                <w:szCs w:val="18"/>
              </w:rPr>
              <w:t>3.6</w:t>
            </w:r>
          </w:p>
        </w:tc>
        <w:tc>
          <w:tcPr>
            <w:tcW w:w="1200" w:type="dxa"/>
          </w:tcPr>
          <w:p w14:paraId="0C041D2D" w14:textId="77777777" w:rsidR="006575CC" w:rsidRDefault="009F2BF5">
            <w:pPr>
              <w:jc w:val="right"/>
              <w:rPr>
                <w:sz w:val="18"/>
                <w:szCs w:val="18"/>
              </w:rPr>
            </w:pPr>
            <w:r>
              <w:rPr>
                <w:sz w:val="18"/>
                <w:szCs w:val="18"/>
              </w:rPr>
              <w:t>33.1</w:t>
            </w:r>
          </w:p>
        </w:tc>
        <w:tc>
          <w:tcPr>
            <w:tcW w:w="1080" w:type="dxa"/>
          </w:tcPr>
          <w:p w14:paraId="14E00EFB" w14:textId="77777777" w:rsidR="006575CC" w:rsidRDefault="009F2BF5">
            <w:pPr>
              <w:jc w:val="right"/>
              <w:rPr>
                <w:sz w:val="18"/>
                <w:szCs w:val="18"/>
              </w:rPr>
            </w:pPr>
            <w:r>
              <w:rPr>
                <w:sz w:val="18"/>
                <w:szCs w:val="18"/>
              </w:rPr>
              <w:t>12.1</w:t>
            </w:r>
          </w:p>
        </w:tc>
        <w:tc>
          <w:tcPr>
            <w:tcW w:w="915" w:type="dxa"/>
          </w:tcPr>
          <w:p w14:paraId="72AB7F88" w14:textId="77777777" w:rsidR="006575CC" w:rsidRDefault="009F2BF5">
            <w:pPr>
              <w:jc w:val="right"/>
              <w:rPr>
                <w:sz w:val="18"/>
                <w:szCs w:val="18"/>
              </w:rPr>
            </w:pPr>
            <w:r>
              <w:rPr>
                <w:sz w:val="18"/>
                <w:szCs w:val="18"/>
              </w:rPr>
              <w:t>578.6</w:t>
            </w:r>
          </w:p>
        </w:tc>
        <w:tc>
          <w:tcPr>
            <w:tcW w:w="1005" w:type="dxa"/>
          </w:tcPr>
          <w:p w14:paraId="38488822" w14:textId="77777777" w:rsidR="006575CC" w:rsidRDefault="009F2BF5">
            <w:pPr>
              <w:jc w:val="right"/>
              <w:rPr>
                <w:sz w:val="18"/>
                <w:szCs w:val="18"/>
              </w:rPr>
            </w:pPr>
            <w:r>
              <w:rPr>
                <w:sz w:val="18"/>
                <w:szCs w:val="18"/>
              </w:rPr>
              <w:t>94.6</w:t>
            </w:r>
          </w:p>
        </w:tc>
        <w:tc>
          <w:tcPr>
            <w:tcW w:w="900" w:type="dxa"/>
          </w:tcPr>
          <w:p w14:paraId="519B406A" w14:textId="77777777" w:rsidR="006575CC" w:rsidRDefault="009F2BF5">
            <w:pPr>
              <w:jc w:val="right"/>
              <w:rPr>
                <w:sz w:val="18"/>
                <w:szCs w:val="18"/>
              </w:rPr>
            </w:pPr>
            <w:r>
              <w:rPr>
                <w:sz w:val="18"/>
                <w:szCs w:val="18"/>
              </w:rPr>
              <w:t>8.7</w:t>
            </w:r>
          </w:p>
        </w:tc>
        <w:tc>
          <w:tcPr>
            <w:tcW w:w="975" w:type="dxa"/>
          </w:tcPr>
          <w:p w14:paraId="4C0307F6" w14:textId="77777777" w:rsidR="006575CC" w:rsidRDefault="009F2BF5">
            <w:pPr>
              <w:jc w:val="right"/>
              <w:rPr>
                <w:sz w:val="18"/>
                <w:szCs w:val="18"/>
              </w:rPr>
            </w:pPr>
            <w:r>
              <w:rPr>
                <w:sz w:val="18"/>
                <w:szCs w:val="18"/>
              </w:rPr>
              <w:t>7.6</w:t>
            </w:r>
          </w:p>
        </w:tc>
      </w:tr>
      <w:tr w:rsidR="006575CC" w14:paraId="4B1AB0D6" w14:textId="77777777">
        <w:trPr>
          <w:trHeight w:val="276"/>
        </w:trPr>
        <w:tc>
          <w:tcPr>
            <w:tcW w:w="1215" w:type="dxa"/>
          </w:tcPr>
          <w:p w14:paraId="008380CF" w14:textId="77777777" w:rsidR="006575CC" w:rsidRDefault="009F2BF5">
            <w:pPr>
              <w:rPr>
                <w:sz w:val="18"/>
                <w:szCs w:val="18"/>
              </w:rPr>
            </w:pPr>
            <w:r>
              <w:rPr>
                <w:sz w:val="18"/>
                <w:szCs w:val="18"/>
              </w:rPr>
              <w:t>Myanmar</w:t>
            </w:r>
          </w:p>
        </w:tc>
        <w:tc>
          <w:tcPr>
            <w:tcW w:w="795" w:type="dxa"/>
          </w:tcPr>
          <w:p w14:paraId="4FF140C4" w14:textId="77777777" w:rsidR="006575CC" w:rsidRDefault="009F2BF5">
            <w:pPr>
              <w:jc w:val="right"/>
              <w:rPr>
                <w:sz w:val="18"/>
                <w:szCs w:val="18"/>
              </w:rPr>
            </w:pPr>
            <w:r>
              <w:rPr>
                <w:sz w:val="18"/>
                <w:szCs w:val="18"/>
              </w:rPr>
              <w:t>68.1</w:t>
            </w:r>
          </w:p>
        </w:tc>
        <w:tc>
          <w:tcPr>
            <w:tcW w:w="930" w:type="dxa"/>
          </w:tcPr>
          <w:p w14:paraId="754E888D" w14:textId="77777777" w:rsidR="006575CC" w:rsidRDefault="009F2BF5">
            <w:pPr>
              <w:jc w:val="right"/>
              <w:rPr>
                <w:sz w:val="18"/>
                <w:szCs w:val="18"/>
              </w:rPr>
            </w:pPr>
            <w:r>
              <w:rPr>
                <w:sz w:val="18"/>
                <w:szCs w:val="18"/>
              </w:rPr>
              <w:t>-10.5</w:t>
            </w:r>
          </w:p>
        </w:tc>
        <w:tc>
          <w:tcPr>
            <w:tcW w:w="1200" w:type="dxa"/>
          </w:tcPr>
          <w:p w14:paraId="60D97D5C" w14:textId="77777777" w:rsidR="006575CC" w:rsidRDefault="009F2BF5">
            <w:pPr>
              <w:jc w:val="right"/>
              <w:rPr>
                <w:sz w:val="18"/>
                <w:szCs w:val="18"/>
              </w:rPr>
            </w:pPr>
            <w:r>
              <w:rPr>
                <w:sz w:val="18"/>
                <w:szCs w:val="18"/>
              </w:rPr>
              <w:t>53.6</w:t>
            </w:r>
          </w:p>
        </w:tc>
        <w:tc>
          <w:tcPr>
            <w:tcW w:w="1080" w:type="dxa"/>
          </w:tcPr>
          <w:p w14:paraId="12AB213E" w14:textId="77777777" w:rsidR="006575CC" w:rsidRDefault="009F2BF5">
            <w:pPr>
              <w:jc w:val="right"/>
              <w:rPr>
                <w:sz w:val="18"/>
                <w:szCs w:val="18"/>
              </w:rPr>
            </w:pPr>
            <w:r>
              <w:rPr>
                <w:sz w:val="18"/>
                <w:szCs w:val="18"/>
              </w:rPr>
              <w:t>1.3</w:t>
            </w:r>
          </w:p>
        </w:tc>
        <w:tc>
          <w:tcPr>
            <w:tcW w:w="915" w:type="dxa"/>
          </w:tcPr>
          <w:p w14:paraId="4A2713CD" w14:textId="77777777" w:rsidR="006575CC" w:rsidRDefault="009F2BF5">
            <w:pPr>
              <w:jc w:val="right"/>
              <w:rPr>
                <w:sz w:val="18"/>
                <w:szCs w:val="18"/>
              </w:rPr>
            </w:pPr>
            <w:r>
              <w:rPr>
                <w:sz w:val="18"/>
                <w:szCs w:val="18"/>
              </w:rPr>
              <w:t>31.2</w:t>
            </w:r>
          </w:p>
        </w:tc>
        <w:tc>
          <w:tcPr>
            <w:tcW w:w="1005" w:type="dxa"/>
          </w:tcPr>
          <w:p w14:paraId="582F75DD" w14:textId="77777777" w:rsidR="006575CC" w:rsidRDefault="009F2BF5">
            <w:pPr>
              <w:jc w:val="right"/>
              <w:rPr>
                <w:sz w:val="18"/>
                <w:szCs w:val="18"/>
              </w:rPr>
            </w:pPr>
            <w:r>
              <w:rPr>
                <w:sz w:val="18"/>
                <w:szCs w:val="18"/>
              </w:rPr>
              <w:t>3.6</w:t>
            </w:r>
          </w:p>
        </w:tc>
        <w:tc>
          <w:tcPr>
            <w:tcW w:w="900" w:type="dxa"/>
          </w:tcPr>
          <w:p w14:paraId="2FC989AF" w14:textId="77777777" w:rsidR="006575CC" w:rsidRDefault="009F2BF5">
            <w:pPr>
              <w:jc w:val="right"/>
              <w:rPr>
                <w:sz w:val="18"/>
                <w:szCs w:val="18"/>
              </w:rPr>
            </w:pPr>
            <w:r>
              <w:rPr>
                <w:sz w:val="18"/>
                <w:szCs w:val="18"/>
              </w:rPr>
              <w:t>1.5</w:t>
            </w:r>
          </w:p>
        </w:tc>
        <w:tc>
          <w:tcPr>
            <w:tcW w:w="975" w:type="dxa"/>
          </w:tcPr>
          <w:p w14:paraId="61B3D5B7" w14:textId="77777777" w:rsidR="006575CC" w:rsidRDefault="009F2BF5">
            <w:pPr>
              <w:jc w:val="right"/>
              <w:rPr>
                <w:sz w:val="18"/>
                <w:szCs w:val="18"/>
              </w:rPr>
            </w:pPr>
            <w:r>
              <w:rPr>
                <w:sz w:val="18"/>
                <w:szCs w:val="18"/>
              </w:rPr>
              <w:t>N/A</w:t>
            </w:r>
          </w:p>
        </w:tc>
      </w:tr>
      <w:tr w:rsidR="006575CC" w14:paraId="4ED45324" w14:textId="77777777">
        <w:trPr>
          <w:trHeight w:val="276"/>
        </w:trPr>
        <w:tc>
          <w:tcPr>
            <w:tcW w:w="1215" w:type="dxa"/>
          </w:tcPr>
          <w:p w14:paraId="59FED609" w14:textId="77777777" w:rsidR="006575CC" w:rsidRDefault="009F2BF5">
            <w:pPr>
              <w:rPr>
                <w:sz w:val="18"/>
                <w:szCs w:val="18"/>
              </w:rPr>
            </w:pPr>
            <w:r>
              <w:rPr>
                <w:sz w:val="18"/>
                <w:szCs w:val="18"/>
              </w:rPr>
              <w:t>Philippines</w:t>
            </w:r>
          </w:p>
        </w:tc>
        <w:tc>
          <w:tcPr>
            <w:tcW w:w="795" w:type="dxa"/>
          </w:tcPr>
          <w:p w14:paraId="2065FE60" w14:textId="77777777" w:rsidR="006575CC" w:rsidRDefault="009F2BF5">
            <w:pPr>
              <w:jc w:val="right"/>
              <w:rPr>
                <w:sz w:val="18"/>
                <w:szCs w:val="18"/>
              </w:rPr>
            </w:pPr>
            <w:r>
              <w:rPr>
                <w:sz w:val="18"/>
                <w:szCs w:val="18"/>
              </w:rPr>
              <w:t>437.1</w:t>
            </w:r>
          </w:p>
        </w:tc>
        <w:tc>
          <w:tcPr>
            <w:tcW w:w="930" w:type="dxa"/>
          </w:tcPr>
          <w:p w14:paraId="03DC59F5" w14:textId="77777777" w:rsidR="006575CC" w:rsidRDefault="009F2BF5">
            <w:pPr>
              <w:jc w:val="right"/>
              <w:rPr>
                <w:sz w:val="18"/>
                <w:szCs w:val="18"/>
              </w:rPr>
            </w:pPr>
            <w:r>
              <w:rPr>
                <w:sz w:val="18"/>
                <w:szCs w:val="18"/>
              </w:rPr>
              <w:t>5.5</w:t>
            </w:r>
          </w:p>
        </w:tc>
        <w:tc>
          <w:tcPr>
            <w:tcW w:w="1200" w:type="dxa"/>
          </w:tcPr>
          <w:p w14:paraId="3773BE82" w14:textId="77777777" w:rsidR="006575CC" w:rsidRDefault="009F2BF5">
            <w:pPr>
              <w:jc w:val="right"/>
              <w:rPr>
                <w:sz w:val="18"/>
                <w:szCs w:val="18"/>
              </w:rPr>
            </w:pPr>
            <w:r>
              <w:rPr>
                <w:sz w:val="18"/>
                <w:szCs w:val="18"/>
              </w:rPr>
              <w:t>111.9</w:t>
            </w:r>
          </w:p>
        </w:tc>
        <w:tc>
          <w:tcPr>
            <w:tcW w:w="1080" w:type="dxa"/>
          </w:tcPr>
          <w:p w14:paraId="6E604509" w14:textId="77777777" w:rsidR="006575CC" w:rsidRDefault="009F2BF5">
            <w:pPr>
              <w:jc w:val="right"/>
              <w:rPr>
                <w:sz w:val="18"/>
                <w:szCs w:val="18"/>
              </w:rPr>
            </w:pPr>
            <w:r>
              <w:rPr>
                <w:sz w:val="18"/>
                <w:szCs w:val="18"/>
              </w:rPr>
              <w:t>3.9</w:t>
            </w:r>
          </w:p>
        </w:tc>
        <w:tc>
          <w:tcPr>
            <w:tcW w:w="915" w:type="dxa"/>
          </w:tcPr>
          <w:p w14:paraId="7E4552DE" w14:textId="77777777" w:rsidR="006575CC" w:rsidRDefault="009F2BF5">
            <w:pPr>
              <w:jc w:val="right"/>
              <w:rPr>
                <w:sz w:val="18"/>
                <w:szCs w:val="18"/>
              </w:rPr>
            </w:pPr>
            <w:r>
              <w:rPr>
                <w:sz w:val="18"/>
                <w:szCs w:val="18"/>
              </w:rPr>
              <w:t>207.3</w:t>
            </w:r>
          </w:p>
        </w:tc>
        <w:tc>
          <w:tcPr>
            <w:tcW w:w="1005" w:type="dxa"/>
          </w:tcPr>
          <w:p w14:paraId="4488FE5E" w14:textId="77777777" w:rsidR="006575CC" w:rsidRDefault="009F2BF5">
            <w:pPr>
              <w:jc w:val="right"/>
              <w:rPr>
                <w:sz w:val="18"/>
                <w:szCs w:val="18"/>
              </w:rPr>
            </w:pPr>
            <w:r>
              <w:rPr>
                <w:sz w:val="18"/>
                <w:szCs w:val="18"/>
              </w:rPr>
              <w:t>77.1</w:t>
            </w:r>
          </w:p>
        </w:tc>
        <w:tc>
          <w:tcPr>
            <w:tcW w:w="900" w:type="dxa"/>
          </w:tcPr>
          <w:p w14:paraId="56932F65" w14:textId="77777777" w:rsidR="006575CC" w:rsidRDefault="009F2BF5">
            <w:pPr>
              <w:jc w:val="right"/>
              <w:rPr>
                <w:sz w:val="18"/>
                <w:szCs w:val="18"/>
              </w:rPr>
            </w:pPr>
            <w:r>
              <w:rPr>
                <w:sz w:val="18"/>
                <w:szCs w:val="18"/>
              </w:rPr>
              <w:t>6.2</w:t>
            </w:r>
          </w:p>
        </w:tc>
        <w:tc>
          <w:tcPr>
            <w:tcW w:w="975" w:type="dxa"/>
          </w:tcPr>
          <w:p w14:paraId="678E07F6" w14:textId="77777777" w:rsidR="006575CC" w:rsidRDefault="009F2BF5">
            <w:pPr>
              <w:jc w:val="right"/>
              <w:rPr>
                <w:sz w:val="18"/>
                <w:szCs w:val="18"/>
              </w:rPr>
            </w:pPr>
            <w:r>
              <w:rPr>
                <w:sz w:val="18"/>
                <w:szCs w:val="18"/>
              </w:rPr>
              <w:t>1.3</w:t>
            </w:r>
          </w:p>
        </w:tc>
      </w:tr>
      <w:tr w:rsidR="006575CC" w14:paraId="7A5754F6" w14:textId="77777777">
        <w:trPr>
          <w:trHeight w:val="276"/>
        </w:trPr>
        <w:tc>
          <w:tcPr>
            <w:tcW w:w="1215" w:type="dxa"/>
          </w:tcPr>
          <w:p w14:paraId="42865FB3" w14:textId="77777777" w:rsidR="006575CC" w:rsidRDefault="009F2BF5">
            <w:pPr>
              <w:rPr>
                <w:sz w:val="18"/>
                <w:szCs w:val="18"/>
              </w:rPr>
            </w:pPr>
            <w:r>
              <w:rPr>
                <w:sz w:val="18"/>
                <w:szCs w:val="18"/>
              </w:rPr>
              <w:t>Singapore</w:t>
            </w:r>
          </w:p>
        </w:tc>
        <w:tc>
          <w:tcPr>
            <w:tcW w:w="795" w:type="dxa"/>
          </w:tcPr>
          <w:p w14:paraId="381224C7" w14:textId="77777777" w:rsidR="006575CC" w:rsidRDefault="009F2BF5">
            <w:pPr>
              <w:jc w:val="right"/>
              <w:rPr>
                <w:sz w:val="18"/>
                <w:szCs w:val="18"/>
              </w:rPr>
            </w:pPr>
            <w:r>
              <w:rPr>
                <w:sz w:val="18"/>
                <w:szCs w:val="18"/>
              </w:rPr>
              <w:t>687.2</w:t>
            </w:r>
          </w:p>
        </w:tc>
        <w:tc>
          <w:tcPr>
            <w:tcW w:w="930" w:type="dxa"/>
          </w:tcPr>
          <w:p w14:paraId="2B19BC76" w14:textId="77777777" w:rsidR="006575CC" w:rsidRDefault="009F2BF5">
            <w:pPr>
              <w:jc w:val="right"/>
              <w:rPr>
                <w:sz w:val="18"/>
                <w:szCs w:val="18"/>
              </w:rPr>
            </w:pPr>
            <w:r>
              <w:rPr>
                <w:sz w:val="18"/>
                <w:szCs w:val="18"/>
              </w:rPr>
              <w:t>1.1</w:t>
            </w:r>
          </w:p>
        </w:tc>
        <w:tc>
          <w:tcPr>
            <w:tcW w:w="1200" w:type="dxa"/>
          </w:tcPr>
          <w:p w14:paraId="155FD05D" w14:textId="77777777" w:rsidR="006575CC" w:rsidRDefault="009F2BF5">
            <w:pPr>
              <w:jc w:val="right"/>
              <w:rPr>
                <w:sz w:val="18"/>
                <w:szCs w:val="18"/>
              </w:rPr>
            </w:pPr>
            <w:r>
              <w:rPr>
                <w:sz w:val="18"/>
                <w:szCs w:val="18"/>
              </w:rPr>
              <w:t>5.9</w:t>
            </w:r>
          </w:p>
        </w:tc>
        <w:tc>
          <w:tcPr>
            <w:tcW w:w="1080" w:type="dxa"/>
          </w:tcPr>
          <w:p w14:paraId="17C93CEE" w14:textId="77777777" w:rsidR="006575CC" w:rsidRDefault="009F2BF5">
            <w:pPr>
              <w:jc w:val="right"/>
              <w:rPr>
                <w:sz w:val="18"/>
                <w:szCs w:val="18"/>
              </w:rPr>
            </w:pPr>
            <w:r>
              <w:rPr>
                <w:sz w:val="18"/>
                <w:szCs w:val="18"/>
              </w:rPr>
              <w:t>84.7</w:t>
            </w:r>
          </w:p>
        </w:tc>
        <w:tc>
          <w:tcPr>
            <w:tcW w:w="915" w:type="dxa"/>
          </w:tcPr>
          <w:p w14:paraId="1E333255" w14:textId="77777777" w:rsidR="006575CC" w:rsidRDefault="009F2BF5">
            <w:pPr>
              <w:jc w:val="right"/>
              <w:rPr>
                <w:sz w:val="18"/>
                <w:szCs w:val="18"/>
              </w:rPr>
            </w:pPr>
            <w:r>
              <w:rPr>
                <w:sz w:val="18"/>
                <w:szCs w:val="18"/>
              </w:rPr>
              <w:t>899.7</w:t>
            </w:r>
          </w:p>
        </w:tc>
        <w:tc>
          <w:tcPr>
            <w:tcW w:w="1005" w:type="dxa"/>
          </w:tcPr>
          <w:p w14:paraId="2D1E9F60" w14:textId="77777777" w:rsidR="006575CC" w:rsidRDefault="009F2BF5">
            <w:pPr>
              <w:jc w:val="right"/>
              <w:rPr>
                <w:sz w:val="18"/>
                <w:szCs w:val="18"/>
              </w:rPr>
            </w:pPr>
            <w:r>
              <w:rPr>
                <w:sz w:val="18"/>
                <w:szCs w:val="18"/>
              </w:rPr>
              <w:t>623.0</w:t>
            </w:r>
          </w:p>
        </w:tc>
        <w:tc>
          <w:tcPr>
            <w:tcW w:w="900" w:type="dxa"/>
          </w:tcPr>
          <w:p w14:paraId="0AD4FE12" w14:textId="77777777" w:rsidR="006575CC" w:rsidRDefault="009F2BF5">
            <w:pPr>
              <w:jc w:val="right"/>
              <w:rPr>
                <w:sz w:val="18"/>
                <w:szCs w:val="18"/>
              </w:rPr>
            </w:pPr>
            <w:r>
              <w:rPr>
                <w:sz w:val="18"/>
                <w:szCs w:val="18"/>
              </w:rPr>
              <w:t>159.7</w:t>
            </w:r>
          </w:p>
        </w:tc>
        <w:tc>
          <w:tcPr>
            <w:tcW w:w="975" w:type="dxa"/>
          </w:tcPr>
          <w:p w14:paraId="2823A400" w14:textId="77777777" w:rsidR="006575CC" w:rsidRDefault="009F2BF5">
            <w:pPr>
              <w:jc w:val="right"/>
              <w:rPr>
                <w:sz w:val="18"/>
                <w:szCs w:val="18"/>
              </w:rPr>
            </w:pPr>
            <w:r>
              <w:rPr>
                <w:sz w:val="18"/>
                <w:szCs w:val="18"/>
              </w:rPr>
              <w:t>63.0</w:t>
            </w:r>
          </w:p>
        </w:tc>
      </w:tr>
      <w:tr w:rsidR="006575CC" w14:paraId="271C7E3B" w14:textId="77777777">
        <w:trPr>
          <w:trHeight w:val="276"/>
        </w:trPr>
        <w:tc>
          <w:tcPr>
            <w:tcW w:w="1215" w:type="dxa"/>
          </w:tcPr>
          <w:p w14:paraId="03634DB8" w14:textId="77777777" w:rsidR="006575CC" w:rsidRDefault="009F2BF5">
            <w:pPr>
              <w:rPr>
                <w:sz w:val="18"/>
                <w:szCs w:val="18"/>
              </w:rPr>
            </w:pPr>
            <w:r>
              <w:rPr>
                <w:sz w:val="18"/>
                <w:szCs w:val="18"/>
              </w:rPr>
              <w:t>Thái Lan</w:t>
            </w:r>
          </w:p>
        </w:tc>
        <w:tc>
          <w:tcPr>
            <w:tcW w:w="795" w:type="dxa"/>
          </w:tcPr>
          <w:p w14:paraId="13A93223" w14:textId="77777777" w:rsidR="006575CC" w:rsidRDefault="009F2BF5">
            <w:pPr>
              <w:jc w:val="right"/>
              <w:rPr>
                <w:sz w:val="18"/>
                <w:szCs w:val="18"/>
              </w:rPr>
            </w:pPr>
            <w:r>
              <w:rPr>
                <w:sz w:val="18"/>
                <w:szCs w:val="18"/>
              </w:rPr>
              <w:t>514.8</w:t>
            </w:r>
          </w:p>
        </w:tc>
        <w:tc>
          <w:tcPr>
            <w:tcW w:w="930" w:type="dxa"/>
          </w:tcPr>
          <w:p w14:paraId="5CF51539" w14:textId="77777777" w:rsidR="006575CC" w:rsidRDefault="009F2BF5">
            <w:pPr>
              <w:jc w:val="right"/>
              <w:rPr>
                <w:sz w:val="18"/>
                <w:szCs w:val="18"/>
              </w:rPr>
            </w:pPr>
            <w:r>
              <w:rPr>
                <w:sz w:val="18"/>
                <w:szCs w:val="18"/>
              </w:rPr>
              <w:t>1.9</w:t>
            </w:r>
          </w:p>
        </w:tc>
        <w:tc>
          <w:tcPr>
            <w:tcW w:w="1200" w:type="dxa"/>
          </w:tcPr>
          <w:p w14:paraId="413C0180" w14:textId="77777777" w:rsidR="006575CC" w:rsidRDefault="009F2BF5">
            <w:pPr>
              <w:jc w:val="right"/>
              <w:rPr>
                <w:sz w:val="18"/>
                <w:szCs w:val="18"/>
              </w:rPr>
            </w:pPr>
            <w:r>
              <w:rPr>
                <w:sz w:val="18"/>
                <w:szCs w:val="18"/>
              </w:rPr>
              <w:t>70.2</w:t>
            </w:r>
          </w:p>
        </w:tc>
        <w:tc>
          <w:tcPr>
            <w:tcW w:w="1080" w:type="dxa"/>
          </w:tcPr>
          <w:p w14:paraId="36126484" w14:textId="77777777" w:rsidR="006575CC" w:rsidRDefault="009F2BF5">
            <w:pPr>
              <w:jc w:val="right"/>
              <w:rPr>
                <w:sz w:val="18"/>
                <w:szCs w:val="18"/>
              </w:rPr>
            </w:pPr>
            <w:r>
              <w:rPr>
                <w:sz w:val="18"/>
                <w:szCs w:val="18"/>
              </w:rPr>
              <w:t>7.3</w:t>
            </w:r>
          </w:p>
        </w:tc>
        <w:tc>
          <w:tcPr>
            <w:tcW w:w="915" w:type="dxa"/>
          </w:tcPr>
          <w:p w14:paraId="7AA6EDB2" w14:textId="77777777" w:rsidR="006575CC" w:rsidRDefault="009F2BF5">
            <w:pPr>
              <w:jc w:val="right"/>
              <w:rPr>
                <w:sz w:val="18"/>
                <w:szCs w:val="18"/>
              </w:rPr>
            </w:pPr>
            <w:r>
              <w:rPr>
                <w:sz w:val="18"/>
                <w:szCs w:val="18"/>
              </w:rPr>
              <w:t>574.3</w:t>
            </w:r>
          </w:p>
        </w:tc>
        <w:tc>
          <w:tcPr>
            <w:tcW w:w="1005" w:type="dxa"/>
          </w:tcPr>
          <w:p w14:paraId="70F9CC62" w14:textId="77777777" w:rsidR="006575CC" w:rsidRDefault="009F2BF5">
            <w:pPr>
              <w:jc w:val="right"/>
              <w:rPr>
                <w:sz w:val="18"/>
                <w:szCs w:val="18"/>
              </w:rPr>
            </w:pPr>
            <w:r>
              <w:rPr>
                <w:sz w:val="18"/>
                <w:szCs w:val="18"/>
              </w:rPr>
              <w:t>120.5</w:t>
            </w:r>
          </w:p>
        </w:tc>
        <w:tc>
          <w:tcPr>
            <w:tcW w:w="900" w:type="dxa"/>
          </w:tcPr>
          <w:p w14:paraId="3A22BC38" w14:textId="77777777" w:rsidR="006575CC" w:rsidRDefault="009F2BF5">
            <w:pPr>
              <w:jc w:val="right"/>
              <w:rPr>
                <w:sz w:val="18"/>
                <w:szCs w:val="18"/>
              </w:rPr>
            </w:pPr>
            <w:r>
              <w:rPr>
                <w:sz w:val="18"/>
                <w:szCs w:val="18"/>
              </w:rPr>
              <w:t>4.5</w:t>
            </w:r>
          </w:p>
        </w:tc>
        <w:tc>
          <w:tcPr>
            <w:tcW w:w="975" w:type="dxa"/>
          </w:tcPr>
          <w:p w14:paraId="619B8A7B" w14:textId="77777777" w:rsidR="006575CC" w:rsidRDefault="009F2BF5">
            <w:pPr>
              <w:jc w:val="right"/>
              <w:rPr>
                <w:sz w:val="18"/>
                <w:szCs w:val="18"/>
              </w:rPr>
            </w:pPr>
            <w:r>
              <w:rPr>
                <w:sz w:val="18"/>
                <w:szCs w:val="18"/>
              </w:rPr>
              <w:t>10.4</w:t>
            </w:r>
          </w:p>
        </w:tc>
      </w:tr>
      <w:tr w:rsidR="006575CC" w14:paraId="365975C8" w14:textId="77777777">
        <w:trPr>
          <w:trHeight w:val="276"/>
        </w:trPr>
        <w:tc>
          <w:tcPr>
            <w:tcW w:w="1215" w:type="dxa"/>
          </w:tcPr>
          <w:p w14:paraId="0B236658" w14:textId="77777777" w:rsidR="006575CC" w:rsidRDefault="009F2BF5">
            <w:pPr>
              <w:rPr>
                <w:sz w:val="18"/>
                <w:szCs w:val="18"/>
              </w:rPr>
            </w:pPr>
            <w:r>
              <w:rPr>
                <w:sz w:val="18"/>
                <w:szCs w:val="18"/>
              </w:rPr>
              <w:t>Việt Nam</w:t>
            </w:r>
          </w:p>
        </w:tc>
        <w:tc>
          <w:tcPr>
            <w:tcW w:w="795" w:type="dxa"/>
          </w:tcPr>
          <w:p w14:paraId="6819E754" w14:textId="77777777" w:rsidR="006575CC" w:rsidRDefault="009F2BF5">
            <w:pPr>
              <w:jc w:val="right"/>
              <w:rPr>
                <w:sz w:val="18"/>
                <w:szCs w:val="18"/>
              </w:rPr>
            </w:pPr>
            <w:r>
              <w:rPr>
                <w:sz w:val="18"/>
                <w:szCs w:val="18"/>
              </w:rPr>
              <w:t>433.7</w:t>
            </w:r>
          </w:p>
        </w:tc>
        <w:tc>
          <w:tcPr>
            <w:tcW w:w="930" w:type="dxa"/>
          </w:tcPr>
          <w:p w14:paraId="44CC658C" w14:textId="77777777" w:rsidR="006575CC" w:rsidRDefault="009F2BF5">
            <w:pPr>
              <w:jc w:val="right"/>
              <w:rPr>
                <w:sz w:val="18"/>
                <w:szCs w:val="18"/>
              </w:rPr>
            </w:pPr>
            <w:r>
              <w:rPr>
                <w:sz w:val="18"/>
                <w:szCs w:val="18"/>
              </w:rPr>
              <w:t>5.0</w:t>
            </w:r>
          </w:p>
        </w:tc>
        <w:tc>
          <w:tcPr>
            <w:tcW w:w="1200" w:type="dxa"/>
          </w:tcPr>
          <w:p w14:paraId="70607224" w14:textId="77777777" w:rsidR="006575CC" w:rsidRDefault="009F2BF5">
            <w:pPr>
              <w:jc w:val="right"/>
              <w:rPr>
                <w:sz w:val="18"/>
                <w:szCs w:val="18"/>
              </w:rPr>
            </w:pPr>
            <w:r>
              <w:rPr>
                <w:sz w:val="18"/>
                <w:szCs w:val="18"/>
              </w:rPr>
              <w:t>100.3</w:t>
            </w:r>
          </w:p>
        </w:tc>
        <w:tc>
          <w:tcPr>
            <w:tcW w:w="1080" w:type="dxa"/>
          </w:tcPr>
          <w:p w14:paraId="3F07B774" w14:textId="77777777" w:rsidR="006575CC" w:rsidRDefault="009F2BF5">
            <w:pPr>
              <w:jc w:val="right"/>
              <w:rPr>
                <w:sz w:val="18"/>
                <w:szCs w:val="18"/>
              </w:rPr>
            </w:pPr>
            <w:r>
              <w:rPr>
                <w:sz w:val="18"/>
                <w:szCs w:val="18"/>
              </w:rPr>
              <w:t>4.3</w:t>
            </w:r>
          </w:p>
        </w:tc>
        <w:tc>
          <w:tcPr>
            <w:tcW w:w="915" w:type="dxa"/>
          </w:tcPr>
          <w:p w14:paraId="2615B808" w14:textId="77777777" w:rsidR="006575CC" w:rsidRDefault="009F2BF5">
            <w:pPr>
              <w:jc w:val="right"/>
              <w:rPr>
                <w:sz w:val="18"/>
                <w:szCs w:val="18"/>
              </w:rPr>
            </w:pPr>
            <w:r>
              <w:rPr>
                <w:sz w:val="18"/>
                <w:szCs w:val="18"/>
              </w:rPr>
              <w:t>679.6</w:t>
            </w:r>
          </w:p>
        </w:tc>
        <w:tc>
          <w:tcPr>
            <w:tcW w:w="1005" w:type="dxa"/>
          </w:tcPr>
          <w:p w14:paraId="2A41CB0C" w14:textId="77777777" w:rsidR="006575CC" w:rsidRDefault="009F2BF5">
            <w:pPr>
              <w:jc w:val="right"/>
              <w:rPr>
                <w:sz w:val="18"/>
                <w:szCs w:val="18"/>
              </w:rPr>
            </w:pPr>
            <w:r>
              <w:rPr>
                <w:sz w:val="18"/>
                <w:szCs w:val="18"/>
              </w:rPr>
              <w:t>48.2</w:t>
            </w:r>
          </w:p>
        </w:tc>
        <w:tc>
          <w:tcPr>
            <w:tcW w:w="900" w:type="dxa"/>
          </w:tcPr>
          <w:p w14:paraId="3917516B" w14:textId="77777777" w:rsidR="006575CC" w:rsidRDefault="009F2BF5">
            <w:pPr>
              <w:jc w:val="right"/>
              <w:rPr>
                <w:sz w:val="18"/>
                <w:szCs w:val="18"/>
              </w:rPr>
            </w:pPr>
            <w:r>
              <w:rPr>
                <w:sz w:val="18"/>
                <w:szCs w:val="18"/>
              </w:rPr>
              <w:t>18.5</w:t>
            </w:r>
          </w:p>
        </w:tc>
        <w:tc>
          <w:tcPr>
            <w:tcW w:w="975" w:type="dxa"/>
          </w:tcPr>
          <w:p w14:paraId="4E9B4957" w14:textId="77777777" w:rsidR="006575CC" w:rsidRDefault="009F2BF5">
            <w:pPr>
              <w:jc w:val="right"/>
              <w:rPr>
                <w:sz w:val="18"/>
                <w:szCs w:val="18"/>
              </w:rPr>
            </w:pPr>
            <w:r>
              <w:rPr>
                <w:sz w:val="18"/>
                <w:szCs w:val="18"/>
              </w:rPr>
              <w:t>-1.0</w:t>
            </w:r>
          </w:p>
        </w:tc>
      </w:tr>
      <w:tr w:rsidR="006575CC" w14:paraId="113D8919" w14:textId="77777777">
        <w:trPr>
          <w:trHeight w:val="276"/>
        </w:trPr>
        <w:tc>
          <w:tcPr>
            <w:tcW w:w="1215" w:type="dxa"/>
          </w:tcPr>
          <w:p w14:paraId="21085811" w14:textId="77777777" w:rsidR="006575CC" w:rsidRDefault="009F2BF5">
            <w:pPr>
              <w:rPr>
                <w:sz w:val="18"/>
                <w:szCs w:val="18"/>
              </w:rPr>
            </w:pPr>
            <w:r>
              <w:rPr>
                <w:b/>
                <w:bCs/>
                <w:sz w:val="18"/>
                <w:szCs w:val="18"/>
              </w:rPr>
              <w:t>Tổng</w:t>
            </w:r>
          </w:p>
        </w:tc>
        <w:tc>
          <w:tcPr>
            <w:tcW w:w="795" w:type="dxa"/>
          </w:tcPr>
          <w:p w14:paraId="582758EB" w14:textId="77777777" w:rsidR="006575CC" w:rsidRDefault="009F2BF5">
            <w:pPr>
              <w:jc w:val="right"/>
              <w:rPr>
                <w:sz w:val="18"/>
                <w:szCs w:val="18"/>
              </w:rPr>
            </w:pPr>
            <w:r>
              <w:rPr>
                <w:b/>
                <w:bCs/>
                <w:sz w:val="18"/>
                <w:szCs w:val="18"/>
              </w:rPr>
              <w:t>3,981.9</w:t>
            </w:r>
          </w:p>
        </w:tc>
        <w:tc>
          <w:tcPr>
            <w:tcW w:w="930" w:type="dxa"/>
          </w:tcPr>
          <w:p w14:paraId="788B19EA" w14:textId="77777777" w:rsidR="006575CC" w:rsidRDefault="009F2BF5">
            <w:pPr>
              <w:jc w:val="right"/>
              <w:rPr>
                <w:sz w:val="18"/>
                <w:szCs w:val="18"/>
              </w:rPr>
            </w:pPr>
            <w:r>
              <w:rPr>
                <w:sz w:val="18"/>
                <w:szCs w:val="18"/>
              </w:rPr>
              <w:t>-</w:t>
            </w:r>
          </w:p>
        </w:tc>
        <w:tc>
          <w:tcPr>
            <w:tcW w:w="1200" w:type="dxa"/>
          </w:tcPr>
          <w:p w14:paraId="0B6E3174" w14:textId="77777777" w:rsidR="006575CC" w:rsidRDefault="009F2BF5">
            <w:pPr>
              <w:jc w:val="right"/>
              <w:rPr>
                <w:sz w:val="18"/>
                <w:szCs w:val="18"/>
              </w:rPr>
            </w:pPr>
            <w:r>
              <w:rPr>
                <w:b/>
                <w:bCs/>
                <w:sz w:val="18"/>
                <w:szCs w:val="18"/>
              </w:rPr>
              <w:t>678.4</w:t>
            </w:r>
          </w:p>
        </w:tc>
        <w:tc>
          <w:tcPr>
            <w:tcW w:w="1080" w:type="dxa"/>
          </w:tcPr>
          <w:p w14:paraId="1D6BE3F8" w14:textId="77777777" w:rsidR="006575CC" w:rsidRDefault="009F2BF5">
            <w:pPr>
              <w:jc w:val="right"/>
              <w:rPr>
                <w:sz w:val="18"/>
                <w:szCs w:val="18"/>
              </w:rPr>
            </w:pPr>
            <w:r>
              <w:rPr>
                <w:b/>
                <w:bCs/>
                <w:sz w:val="18"/>
                <w:szCs w:val="18"/>
              </w:rPr>
              <w:t>5.9</w:t>
            </w:r>
          </w:p>
        </w:tc>
        <w:tc>
          <w:tcPr>
            <w:tcW w:w="915" w:type="dxa"/>
          </w:tcPr>
          <w:p w14:paraId="4F1556BE" w14:textId="77777777" w:rsidR="006575CC" w:rsidRDefault="009F2BF5">
            <w:pPr>
              <w:jc w:val="right"/>
              <w:rPr>
                <w:sz w:val="18"/>
                <w:szCs w:val="18"/>
              </w:rPr>
            </w:pPr>
            <w:r>
              <w:rPr>
                <w:b/>
                <w:bCs/>
                <w:sz w:val="18"/>
                <w:szCs w:val="18"/>
              </w:rPr>
              <w:t>3,538.5</w:t>
            </w:r>
          </w:p>
        </w:tc>
        <w:tc>
          <w:tcPr>
            <w:tcW w:w="1005" w:type="dxa"/>
          </w:tcPr>
          <w:p w14:paraId="00AD92F7" w14:textId="77777777" w:rsidR="006575CC" w:rsidRDefault="009F2BF5">
            <w:pPr>
              <w:jc w:val="right"/>
              <w:rPr>
                <w:sz w:val="18"/>
                <w:szCs w:val="18"/>
              </w:rPr>
            </w:pPr>
            <w:r>
              <w:rPr>
                <w:b/>
                <w:bCs/>
                <w:sz w:val="18"/>
                <w:szCs w:val="18"/>
              </w:rPr>
              <w:t>1,062.1</w:t>
            </w:r>
          </w:p>
        </w:tc>
        <w:tc>
          <w:tcPr>
            <w:tcW w:w="900" w:type="dxa"/>
          </w:tcPr>
          <w:p w14:paraId="1DEBBC57" w14:textId="77777777" w:rsidR="006575CC" w:rsidRDefault="009F2BF5">
            <w:pPr>
              <w:jc w:val="right"/>
              <w:rPr>
                <w:sz w:val="18"/>
                <w:szCs w:val="18"/>
              </w:rPr>
            </w:pPr>
            <w:r>
              <w:rPr>
                <w:b/>
                <w:bCs/>
                <w:sz w:val="18"/>
                <w:szCs w:val="18"/>
              </w:rPr>
              <w:t>226.3</w:t>
            </w:r>
          </w:p>
        </w:tc>
        <w:tc>
          <w:tcPr>
            <w:tcW w:w="975" w:type="dxa"/>
          </w:tcPr>
          <w:p w14:paraId="77A50854" w14:textId="77777777" w:rsidR="006575CC" w:rsidRDefault="009F2BF5">
            <w:pPr>
              <w:jc w:val="right"/>
              <w:rPr>
                <w:sz w:val="18"/>
                <w:szCs w:val="18"/>
              </w:rPr>
            </w:pPr>
            <w:r>
              <w:rPr>
                <w:b/>
                <w:bCs/>
                <w:sz w:val="18"/>
                <w:szCs w:val="18"/>
              </w:rPr>
              <w:t>88.5</w:t>
            </w:r>
          </w:p>
        </w:tc>
      </w:tr>
    </w:tbl>
    <w:p w14:paraId="00C148A5" w14:textId="77777777" w:rsidR="006575CC" w:rsidRDefault="009F2BF5">
      <w:pPr>
        <w:rPr>
          <w:i/>
          <w:iCs/>
          <w:color w:val="C00000"/>
        </w:rPr>
      </w:pPr>
      <w:r>
        <w:rPr>
          <w:sz w:val="20"/>
          <w:szCs w:val="20"/>
        </w:rPr>
        <w:t>Nguồn: Quỹ Tiền tệ Quốc tế (IMF), Cơ sở Dữ liệu Triển vọng Kinh tế Thế giới (World Economic Outlook Database, tháng 10/2024) cho dữ liệu GDP, Tăng trưởng hàng năm và Dân số; UNCTADStat cho Tăng trưởng bình quân hàng năm và Đầu tư trực tiếp nước ngoài (dòng vào và dòng ra); WTO Stats cho thương mại hàng hóa và dịch vụ.</w:t>
      </w:r>
    </w:p>
    <w:p w14:paraId="120C9D23" w14:textId="77777777" w:rsidR="006575CC" w:rsidRDefault="009F2BF5">
      <w:pPr>
        <w:numPr>
          <w:ilvl w:val="3"/>
          <w:numId w:val="10"/>
        </w:numPr>
      </w:pPr>
      <w:r>
        <w:lastRenderedPageBreak/>
        <w:t>Hệ sinh thái thương mại của ASEAN, như được thể hiện trong Bảng 4, nổi bật với sự phụ thuộc vào cả thương mại nội khối và thương mại với các đối tác toàn cầu. Thương mại nội khối ASEAN dẫn đầu với tổng giá trị đạt 759 tỷ USD, thể hiện sức mạnh của nỗ lực hội nhập kinh tế trong khu vực. Trung Quốc là đối tác thương mại bên ngoài lớn nhất của ASEAN, với tổng giá trị thương mại 697 tỷ USD, phản ánh vai trò của Trung Quốc như một trung tâm sản xuất và thị trường quan trọng đối với ASEAN. Hoa Kỳ và Liên minh châu Âu lần lượt đứng thứ hai về tầm quan trọng. Đáng chú ý, GCC và các quốc gia thành viên dường như cũng là những đối tác thương mại chủ chốt của ASEAN, với tổng giá trị thương mại đạt 131 tỷ USD. Con số này nhấn mạnh tầm quan trọng ngày càng tăng của quan hệ kinh tế ASEAN–GCC và mở ra cơ hội thúc đẩy quan hệ thương mại thông qua hợp tác sâu hơn giữa hai khu vực.</w:t>
      </w:r>
    </w:p>
    <w:p w14:paraId="08F50E3A" w14:textId="77777777" w:rsidR="006575CC" w:rsidRDefault="009F2BF5">
      <w:pPr>
        <w:jc w:val="center"/>
        <w:rPr>
          <w:i/>
          <w:iCs/>
          <w:color w:val="C00000"/>
        </w:rPr>
      </w:pPr>
      <w:bookmarkStart w:id="12" w:name="_heading=h.cai1cu1mvih3" w:colFirst="0" w:colLast="0"/>
      <w:bookmarkEnd w:id="12"/>
      <w:r>
        <w:rPr>
          <w:b/>
          <w:bCs/>
        </w:rPr>
        <w:t>Bảng 4. Các Đối tác Thương mại Hàng hóa Lớn nhất của ASEAN, 2023</w:t>
      </w:r>
    </w:p>
    <w:tbl>
      <w:tblPr>
        <w:tblStyle w:val="9"/>
        <w:tblW w:w="8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
        <w:gridCol w:w="2085"/>
        <w:gridCol w:w="1785"/>
        <w:gridCol w:w="1785"/>
        <w:gridCol w:w="1785"/>
      </w:tblGrid>
      <w:tr w:rsidR="006575CC" w14:paraId="6DDA4D80" w14:textId="77777777">
        <w:trPr>
          <w:jc w:val="center"/>
        </w:trPr>
        <w:tc>
          <w:tcPr>
            <w:tcW w:w="615" w:type="dxa"/>
            <w:vAlign w:val="center"/>
          </w:tcPr>
          <w:p w14:paraId="3C2F8320" w14:textId="77777777" w:rsidR="006575CC" w:rsidRDefault="009F2BF5">
            <w:pPr>
              <w:jc w:val="center"/>
              <w:rPr>
                <w:sz w:val="20"/>
                <w:szCs w:val="20"/>
              </w:rPr>
            </w:pPr>
            <w:r>
              <w:rPr>
                <w:sz w:val="20"/>
                <w:szCs w:val="20"/>
              </w:rPr>
              <w:t>STT</w:t>
            </w:r>
          </w:p>
        </w:tc>
        <w:tc>
          <w:tcPr>
            <w:tcW w:w="2085" w:type="dxa"/>
            <w:vAlign w:val="center"/>
          </w:tcPr>
          <w:p w14:paraId="05C63FBA" w14:textId="77777777" w:rsidR="006575CC" w:rsidRDefault="009F2BF5">
            <w:pPr>
              <w:jc w:val="center"/>
              <w:rPr>
                <w:sz w:val="20"/>
                <w:szCs w:val="20"/>
              </w:rPr>
            </w:pPr>
            <w:r>
              <w:rPr>
                <w:sz w:val="20"/>
                <w:szCs w:val="20"/>
              </w:rPr>
              <w:t>Đối tác thương mại</w:t>
            </w:r>
          </w:p>
        </w:tc>
        <w:tc>
          <w:tcPr>
            <w:tcW w:w="1785" w:type="dxa"/>
            <w:vAlign w:val="center"/>
          </w:tcPr>
          <w:p w14:paraId="21877D51" w14:textId="77777777" w:rsidR="006575CC" w:rsidRDefault="009F2BF5">
            <w:pPr>
              <w:jc w:val="center"/>
              <w:rPr>
                <w:sz w:val="20"/>
                <w:szCs w:val="20"/>
              </w:rPr>
            </w:pPr>
            <w:r>
              <w:rPr>
                <w:sz w:val="20"/>
                <w:szCs w:val="20"/>
              </w:rPr>
              <w:t>Tổng (tỷ USD)</w:t>
            </w:r>
          </w:p>
        </w:tc>
        <w:tc>
          <w:tcPr>
            <w:tcW w:w="1785" w:type="dxa"/>
            <w:vAlign w:val="center"/>
          </w:tcPr>
          <w:p w14:paraId="65DF4F7C" w14:textId="77777777" w:rsidR="006575CC" w:rsidRDefault="009F2BF5">
            <w:pPr>
              <w:jc w:val="center"/>
              <w:rPr>
                <w:sz w:val="20"/>
                <w:szCs w:val="20"/>
              </w:rPr>
            </w:pPr>
            <w:r>
              <w:rPr>
                <w:sz w:val="20"/>
                <w:szCs w:val="20"/>
              </w:rPr>
              <w:t>Xuất khẩu (tỷ USD)</w:t>
            </w:r>
          </w:p>
        </w:tc>
        <w:tc>
          <w:tcPr>
            <w:tcW w:w="1785" w:type="dxa"/>
            <w:vAlign w:val="center"/>
          </w:tcPr>
          <w:p w14:paraId="42F937B1" w14:textId="77777777" w:rsidR="006575CC" w:rsidRDefault="009F2BF5">
            <w:pPr>
              <w:jc w:val="center"/>
              <w:rPr>
                <w:sz w:val="20"/>
                <w:szCs w:val="20"/>
              </w:rPr>
            </w:pPr>
            <w:r>
              <w:rPr>
                <w:sz w:val="20"/>
                <w:szCs w:val="20"/>
              </w:rPr>
              <w:t>Nhập khẩu (tỷ USD)</w:t>
            </w:r>
          </w:p>
        </w:tc>
      </w:tr>
      <w:tr w:rsidR="006575CC" w14:paraId="5C72E2DA" w14:textId="77777777">
        <w:trPr>
          <w:jc w:val="center"/>
        </w:trPr>
        <w:tc>
          <w:tcPr>
            <w:tcW w:w="615" w:type="dxa"/>
          </w:tcPr>
          <w:p w14:paraId="6ADC1D49" w14:textId="77777777" w:rsidR="006575CC" w:rsidRDefault="006575CC">
            <w:pPr>
              <w:jc w:val="center"/>
              <w:rPr>
                <w:sz w:val="20"/>
                <w:szCs w:val="20"/>
              </w:rPr>
            </w:pPr>
          </w:p>
        </w:tc>
        <w:tc>
          <w:tcPr>
            <w:tcW w:w="2085" w:type="dxa"/>
          </w:tcPr>
          <w:p w14:paraId="195C680B" w14:textId="77777777" w:rsidR="006575CC" w:rsidRDefault="009F2BF5">
            <w:pPr>
              <w:rPr>
                <w:sz w:val="20"/>
                <w:szCs w:val="20"/>
              </w:rPr>
            </w:pPr>
            <w:r>
              <w:rPr>
                <w:sz w:val="20"/>
                <w:szCs w:val="20"/>
              </w:rPr>
              <w:t>Thế giới</w:t>
            </w:r>
          </w:p>
        </w:tc>
        <w:tc>
          <w:tcPr>
            <w:tcW w:w="1785" w:type="dxa"/>
          </w:tcPr>
          <w:p w14:paraId="09101E7A" w14:textId="77777777" w:rsidR="006575CC" w:rsidRDefault="009F2BF5">
            <w:pPr>
              <w:jc w:val="right"/>
              <w:rPr>
                <w:sz w:val="20"/>
                <w:szCs w:val="20"/>
              </w:rPr>
            </w:pPr>
            <w:r>
              <w:rPr>
                <w:sz w:val="20"/>
                <w:szCs w:val="20"/>
              </w:rPr>
              <w:t>3,526</w:t>
            </w:r>
          </w:p>
        </w:tc>
        <w:tc>
          <w:tcPr>
            <w:tcW w:w="1785" w:type="dxa"/>
          </w:tcPr>
          <w:p w14:paraId="4A6DF5CD" w14:textId="77777777" w:rsidR="006575CC" w:rsidRDefault="009F2BF5">
            <w:pPr>
              <w:jc w:val="right"/>
              <w:rPr>
                <w:sz w:val="20"/>
                <w:szCs w:val="20"/>
              </w:rPr>
            </w:pPr>
            <w:r>
              <w:rPr>
                <w:sz w:val="20"/>
                <w:szCs w:val="20"/>
              </w:rPr>
              <w:t>1,811</w:t>
            </w:r>
          </w:p>
        </w:tc>
        <w:tc>
          <w:tcPr>
            <w:tcW w:w="1785" w:type="dxa"/>
          </w:tcPr>
          <w:p w14:paraId="777B9E40" w14:textId="77777777" w:rsidR="006575CC" w:rsidRDefault="009F2BF5">
            <w:pPr>
              <w:jc w:val="right"/>
              <w:rPr>
                <w:sz w:val="20"/>
                <w:szCs w:val="20"/>
              </w:rPr>
            </w:pPr>
            <w:r>
              <w:rPr>
                <w:sz w:val="20"/>
                <w:szCs w:val="20"/>
              </w:rPr>
              <w:t>1,715</w:t>
            </w:r>
          </w:p>
        </w:tc>
      </w:tr>
      <w:tr w:rsidR="006575CC" w14:paraId="107991D2" w14:textId="77777777">
        <w:trPr>
          <w:jc w:val="center"/>
        </w:trPr>
        <w:tc>
          <w:tcPr>
            <w:tcW w:w="615" w:type="dxa"/>
          </w:tcPr>
          <w:p w14:paraId="3E75AAB9" w14:textId="77777777" w:rsidR="006575CC" w:rsidRDefault="009F2BF5">
            <w:pPr>
              <w:jc w:val="center"/>
              <w:rPr>
                <w:sz w:val="20"/>
                <w:szCs w:val="20"/>
              </w:rPr>
            </w:pPr>
            <w:r>
              <w:rPr>
                <w:sz w:val="20"/>
                <w:szCs w:val="20"/>
              </w:rPr>
              <w:t>1</w:t>
            </w:r>
          </w:p>
        </w:tc>
        <w:tc>
          <w:tcPr>
            <w:tcW w:w="2085" w:type="dxa"/>
          </w:tcPr>
          <w:p w14:paraId="432359C4" w14:textId="77777777" w:rsidR="006575CC" w:rsidRDefault="009F2BF5">
            <w:pPr>
              <w:rPr>
                <w:sz w:val="20"/>
                <w:szCs w:val="20"/>
              </w:rPr>
            </w:pPr>
            <w:r>
              <w:rPr>
                <w:sz w:val="20"/>
                <w:szCs w:val="20"/>
              </w:rPr>
              <w:t>Nội khối ASEAN</w:t>
            </w:r>
          </w:p>
        </w:tc>
        <w:tc>
          <w:tcPr>
            <w:tcW w:w="1785" w:type="dxa"/>
          </w:tcPr>
          <w:p w14:paraId="3E3796E2" w14:textId="77777777" w:rsidR="006575CC" w:rsidRDefault="009F2BF5">
            <w:pPr>
              <w:jc w:val="right"/>
              <w:rPr>
                <w:sz w:val="20"/>
                <w:szCs w:val="20"/>
              </w:rPr>
            </w:pPr>
            <w:r>
              <w:rPr>
                <w:sz w:val="20"/>
                <w:szCs w:val="20"/>
              </w:rPr>
              <w:t>759</w:t>
            </w:r>
          </w:p>
        </w:tc>
        <w:tc>
          <w:tcPr>
            <w:tcW w:w="1785" w:type="dxa"/>
          </w:tcPr>
          <w:p w14:paraId="75A43E68" w14:textId="77777777" w:rsidR="006575CC" w:rsidRDefault="009F2BF5">
            <w:pPr>
              <w:jc w:val="right"/>
              <w:rPr>
                <w:sz w:val="20"/>
                <w:szCs w:val="20"/>
              </w:rPr>
            </w:pPr>
            <w:r>
              <w:rPr>
                <w:sz w:val="20"/>
                <w:szCs w:val="20"/>
              </w:rPr>
              <w:t>400</w:t>
            </w:r>
          </w:p>
        </w:tc>
        <w:tc>
          <w:tcPr>
            <w:tcW w:w="1785" w:type="dxa"/>
          </w:tcPr>
          <w:p w14:paraId="38FB019C" w14:textId="77777777" w:rsidR="006575CC" w:rsidRDefault="009F2BF5">
            <w:pPr>
              <w:jc w:val="right"/>
              <w:rPr>
                <w:sz w:val="20"/>
                <w:szCs w:val="20"/>
              </w:rPr>
            </w:pPr>
            <w:r>
              <w:rPr>
                <w:sz w:val="20"/>
                <w:szCs w:val="20"/>
              </w:rPr>
              <w:t>359</w:t>
            </w:r>
          </w:p>
        </w:tc>
      </w:tr>
      <w:tr w:rsidR="006575CC" w14:paraId="23B3384E" w14:textId="77777777">
        <w:trPr>
          <w:jc w:val="center"/>
        </w:trPr>
        <w:tc>
          <w:tcPr>
            <w:tcW w:w="615" w:type="dxa"/>
          </w:tcPr>
          <w:p w14:paraId="22DBD818" w14:textId="77777777" w:rsidR="006575CC" w:rsidRDefault="009F2BF5">
            <w:pPr>
              <w:jc w:val="center"/>
              <w:rPr>
                <w:sz w:val="20"/>
                <w:szCs w:val="20"/>
              </w:rPr>
            </w:pPr>
            <w:r>
              <w:rPr>
                <w:sz w:val="20"/>
                <w:szCs w:val="20"/>
              </w:rPr>
              <w:t>2</w:t>
            </w:r>
          </w:p>
        </w:tc>
        <w:tc>
          <w:tcPr>
            <w:tcW w:w="2085" w:type="dxa"/>
          </w:tcPr>
          <w:p w14:paraId="66FDCA09" w14:textId="77777777" w:rsidR="006575CC" w:rsidRDefault="009F2BF5">
            <w:pPr>
              <w:rPr>
                <w:sz w:val="20"/>
                <w:szCs w:val="20"/>
              </w:rPr>
            </w:pPr>
            <w:r>
              <w:rPr>
                <w:sz w:val="20"/>
                <w:szCs w:val="20"/>
              </w:rPr>
              <w:t>Trung Quốc</w:t>
            </w:r>
          </w:p>
        </w:tc>
        <w:tc>
          <w:tcPr>
            <w:tcW w:w="1785" w:type="dxa"/>
          </w:tcPr>
          <w:p w14:paraId="313CB9C0" w14:textId="77777777" w:rsidR="006575CC" w:rsidRDefault="009F2BF5">
            <w:pPr>
              <w:jc w:val="right"/>
              <w:rPr>
                <w:sz w:val="20"/>
                <w:szCs w:val="20"/>
              </w:rPr>
            </w:pPr>
            <w:r>
              <w:rPr>
                <w:sz w:val="20"/>
                <w:szCs w:val="20"/>
              </w:rPr>
              <w:t>697</w:t>
            </w:r>
          </w:p>
        </w:tc>
        <w:tc>
          <w:tcPr>
            <w:tcW w:w="1785" w:type="dxa"/>
          </w:tcPr>
          <w:p w14:paraId="01AEC59C" w14:textId="77777777" w:rsidR="006575CC" w:rsidRDefault="009F2BF5">
            <w:pPr>
              <w:jc w:val="right"/>
              <w:rPr>
                <w:sz w:val="20"/>
                <w:szCs w:val="20"/>
              </w:rPr>
            </w:pPr>
            <w:r>
              <w:rPr>
                <w:sz w:val="20"/>
                <w:szCs w:val="20"/>
              </w:rPr>
              <w:t>287</w:t>
            </w:r>
          </w:p>
        </w:tc>
        <w:tc>
          <w:tcPr>
            <w:tcW w:w="1785" w:type="dxa"/>
          </w:tcPr>
          <w:p w14:paraId="28DF9065" w14:textId="77777777" w:rsidR="006575CC" w:rsidRDefault="009F2BF5">
            <w:pPr>
              <w:jc w:val="right"/>
              <w:rPr>
                <w:sz w:val="20"/>
                <w:szCs w:val="20"/>
              </w:rPr>
            </w:pPr>
            <w:r>
              <w:rPr>
                <w:sz w:val="20"/>
                <w:szCs w:val="20"/>
              </w:rPr>
              <w:t>410</w:t>
            </w:r>
          </w:p>
        </w:tc>
      </w:tr>
      <w:tr w:rsidR="006575CC" w14:paraId="7BEB942C" w14:textId="77777777">
        <w:trPr>
          <w:jc w:val="center"/>
        </w:trPr>
        <w:tc>
          <w:tcPr>
            <w:tcW w:w="615" w:type="dxa"/>
          </w:tcPr>
          <w:p w14:paraId="2D83C900" w14:textId="77777777" w:rsidR="006575CC" w:rsidRDefault="009F2BF5">
            <w:pPr>
              <w:jc w:val="center"/>
              <w:rPr>
                <w:sz w:val="20"/>
                <w:szCs w:val="20"/>
              </w:rPr>
            </w:pPr>
            <w:r>
              <w:rPr>
                <w:sz w:val="20"/>
                <w:szCs w:val="20"/>
              </w:rPr>
              <w:t>3</w:t>
            </w:r>
          </w:p>
        </w:tc>
        <w:tc>
          <w:tcPr>
            <w:tcW w:w="2085" w:type="dxa"/>
          </w:tcPr>
          <w:p w14:paraId="33C2D579" w14:textId="77777777" w:rsidR="006575CC" w:rsidRDefault="009F2BF5">
            <w:pPr>
              <w:rPr>
                <w:sz w:val="20"/>
                <w:szCs w:val="20"/>
              </w:rPr>
            </w:pPr>
            <w:r>
              <w:rPr>
                <w:sz w:val="20"/>
                <w:szCs w:val="20"/>
              </w:rPr>
              <w:t>Hoa Kỳ</w:t>
            </w:r>
          </w:p>
        </w:tc>
        <w:tc>
          <w:tcPr>
            <w:tcW w:w="1785" w:type="dxa"/>
          </w:tcPr>
          <w:p w14:paraId="54845FF1" w14:textId="77777777" w:rsidR="006575CC" w:rsidRDefault="009F2BF5">
            <w:pPr>
              <w:jc w:val="right"/>
              <w:rPr>
                <w:sz w:val="20"/>
                <w:szCs w:val="20"/>
              </w:rPr>
            </w:pPr>
            <w:r>
              <w:rPr>
                <w:sz w:val="20"/>
                <w:szCs w:val="20"/>
              </w:rPr>
              <w:t>396</w:t>
            </w:r>
          </w:p>
        </w:tc>
        <w:tc>
          <w:tcPr>
            <w:tcW w:w="1785" w:type="dxa"/>
          </w:tcPr>
          <w:p w14:paraId="75618A59" w14:textId="77777777" w:rsidR="006575CC" w:rsidRDefault="009F2BF5">
            <w:pPr>
              <w:jc w:val="right"/>
              <w:rPr>
                <w:sz w:val="20"/>
                <w:szCs w:val="20"/>
              </w:rPr>
            </w:pPr>
            <w:r>
              <w:rPr>
                <w:sz w:val="20"/>
                <w:szCs w:val="20"/>
              </w:rPr>
              <w:t>270</w:t>
            </w:r>
          </w:p>
        </w:tc>
        <w:tc>
          <w:tcPr>
            <w:tcW w:w="1785" w:type="dxa"/>
          </w:tcPr>
          <w:p w14:paraId="3A056474" w14:textId="77777777" w:rsidR="006575CC" w:rsidRDefault="009F2BF5">
            <w:pPr>
              <w:jc w:val="right"/>
              <w:rPr>
                <w:sz w:val="20"/>
                <w:szCs w:val="20"/>
              </w:rPr>
            </w:pPr>
            <w:r>
              <w:rPr>
                <w:sz w:val="20"/>
                <w:szCs w:val="20"/>
              </w:rPr>
              <w:t>126</w:t>
            </w:r>
          </w:p>
        </w:tc>
      </w:tr>
      <w:tr w:rsidR="006575CC" w14:paraId="529272CC" w14:textId="77777777">
        <w:trPr>
          <w:jc w:val="center"/>
        </w:trPr>
        <w:tc>
          <w:tcPr>
            <w:tcW w:w="615" w:type="dxa"/>
          </w:tcPr>
          <w:p w14:paraId="17A05A9E" w14:textId="77777777" w:rsidR="006575CC" w:rsidRDefault="009F2BF5">
            <w:pPr>
              <w:jc w:val="center"/>
              <w:rPr>
                <w:sz w:val="20"/>
                <w:szCs w:val="20"/>
              </w:rPr>
            </w:pPr>
            <w:r>
              <w:rPr>
                <w:sz w:val="20"/>
                <w:szCs w:val="20"/>
              </w:rPr>
              <w:t>4</w:t>
            </w:r>
          </w:p>
        </w:tc>
        <w:tc>
          <w:tcPr>
            <w:tcW w:w="2085" w:type="dxa"/>
          </w:tcPr>
          <w:p w14:paraId="7DC111F9" w14:textId="77777777" w:rsidR="006575CC" w:rsidRDefault="009F2BF5">
            <w:pPr>
              <w:rPr>
                <w:sz w:val="20"/>
                <w:szCs w:val="20"/>
              </w:rPr>
            </w:pPr>
            <w:r>
              <w:rPr>
                <w:sz w:val="20"/>
                <w:szCs w:val="20"/>
              </w:rPr>
              <w:t>Liên minh Châu Âu</w:t>
            </w:r>
          </w:p>
        </w:tc>
        <w:tc>
          <w:tcPr>
            <w:tcW w:w="1785" w:type="dxa"/>
          </w:tcPr>
          <w:p w14:paraId="72DB6E99" w14:textId="77777777" w:rsidR="006575CC" w:rsidRDefault="009F2BF5">
            <w:pPr>
              <w:jc w:val="right"/>
              <w:rPr>
                <w:sz w:val="20"/>
                <w:szCs w:val="20"/>
              </w:rPr>
            </w:pPr>
            <w:r>
              <w:rPr>
                <w:sz w:val="20"/>
                <w:szCs w:val="20"/>
              </w:rPr>
              <w:t>280</w:t>
            </w:r>
          </w:p>
        </w:tc>
        <w:tc>
          <w:tcPr>
            <w:tcW w:w="1785" w:type="dxa"/>
          </w:tcPr>
          <w:p w14:paraId="672EC835" w14:textId="77777777" w:rsidR="006575CC" w:rsidRDefault="009F2BF5">
            <w:pPr>
              <w:jc w:val="right"/>
              <w:rPr>
                <w:sz w:val="20"/>
                <w:szCs w:val="20"/>
              </w:rPr>
            </w:pPr>
            <w:r>
              <w:rPr>
                <w:sz w:val="20"/>
                <w:szCs w:val="20"/>
              </w:rPr>
              <w:t>157</w:t>
            </w:r>
          </w:p>
        </w:tc>
        <w:tc>
          <w:tcPr>
            <w:tcW w:w="1785" w:type="dxa"/>
          </w:tcPr>
          <w:p w14:paraId="08C3975D" w14:textId="77777777" w:rsidR="006575CC" w:rsidRDefault="009F2BF5">
            <w:pPr>
              <w:jc w:val="right"/>
              <w:rPr>
                <w:sz w:val="20"/>
                <w:szCs w:val="20"/>
              </w:rPr>
            </w:pPr>
            <w:r>
              <w:rPr>
                <w:sz w:val="20"/>
                <w:szCs w:val="20"/>
              </w:rPr>
              <w:t>123</w:t>
            </w:r>
          </w:p>
        </w:tc>
      </w:tr>
      <w:tr w:rsidR="006575CC" w14:paraId="1E665F0D" w14:textId="77777777">
        <w:trPr>
          <w:jc w:val="center"/>
        </w:trPr>
        <w:tc>
          <w:tcPr>
            <w:tcW w:w="615" w:type="dxa"/>
          </w:tcPr>
          <w:p w14:paraId="574AD5CC" w14:textId="77777777" w:rsidR="006575CC" w:rsidRDefault="009F2BF5">
            <w:pPr>
              <w:jc w:val="center"/>
              <w:rPr>
                <w:sz w:val="20"/>
                <w:szCs w:val="20"/>
              </w:rPr>
            </w:pPr>
            <w:r>
              <w:rPr>
                <w:sz w:val="20"/>
                <w:szCs w:val="20"/>
              </w:rPr>
              <w:t>5</w:t>
            </w:r>
          </w:p>
        </w:tc>
        <w:tc>
          <w:tcPr>
            <w:tcW w:w="2085" w:type="dxa"/>
          </w:tcPr>
          <w:p w14:paraId="6CF8DD35" w14:textId="77777777" w:rsidR="006575CC" w:rsidRDefault="009F2BF5">
            <w:pPr>
              <w:rPr>
                <w:sz w:val="20"/>
                <w:szCs w:val="20"/>
              </w:rPr>
            </w:pPr>
            <w:r>
              <w:rPr>
                <w:sz w:val="20"/>
                <w:szCs w:val="20"/>
              </w:rPr>
              <w:t>Nhật Bản</w:t>
            </w:r>
          </w:p>
        </w:tc>
        <w:tc>
          <w:tcPr>
            <w:tcW w:w="1785" w:type="dxa"/>
          </w:tcPr>
          <w:p w14:paraId="224B1BE3" w14:textId="77777777" w:rsidR="006575CC" w:rsidRDefault="009F2BF5">
            <w:pPr>
              <w:jc w:val="right"/>
              <w:rPr>
                <w:sz w:val="20"/>
                <w:szCs w:val="20"/>
              </w:rPr>
            </w:pPr>
            <w:r>
              <w:rPr>
                <w:sz w:val="20"/>
                <w:szCs w:val="20"/>
              </w:rPr>
              <w:t>239</w:t>
            </w:r>
          </w:p>
        </w:tc>
        <w:tc>
          <w:tcPr>
            <w:tcW w:w="1785" w:type="dxa"/>
          </w:tcPr>
          <w:p w14:paraId="3679A104" w14:textId="77777777" w:rsidR="006575CC" w:rsidRDefault="009F2BF5">
            <w:pPr>
              <w:jc w:val="right"/>
              <w:rPr>
                <w:sz w:val="20"/>
                <w:szCs w:val="20"/>
              </w:rPr>
            </w:pPr>
            <w:r>
              <w:rPr>
                <w:sz w:val="20"/>
                <w:szCs w:val="20"/>
              </w:rPr>
              <w:t>121</w:t>
            </w:r>
          </w:p>
        </w:tc>
        <w:tc>
          <w:tcPr>
            <w:tcW w:w="1785" w:type="dxa"/>
          </w:tcPr>
          <w:p w14:paraId="7322F037" w14:textId="77777777" w:rsidR="006575CC" w:rsidRDefault="009F2BF5">
            <w:pPr>
              <w:jc w:val="right"/>
              <w:rPr>
                <w:sz w:val="20"/>
                <w:szCs w:val="20"/>
              </w:rPr>
            </w:pPr>
            <w:r>
              <w:rPr>
                <w:sz w:val="20"/>
                <w:szCs w:val="20"/>
              </w:rPr>
              <w:t>118</w:t>
            </w:r>
          </w:p>
        </w:tc>
      </w:tr>
      <w:tr w:rsidR="006575CC" w14:paraId="2812086F" w14:textId="77777777">
        <w:trPr>
          <w:jc w:val="center"/>
        </w:trPr>
        <w:tc>
          <w:tcPr>
            <w:tcW w:w="615" w:type="dxa"/>
          </w:tcPr>
          <w:p w14:paraId="58592CF2" w14:textId="77777777" w:rsidR="006575CC" w:rsidRDefault="009F2BF5">
            <w:pPr>
              <w:jc w:val="center"/>
              <w:rPr>
                <w:sz w:val="20"/>
                <w:szCs w:val="20"/>
              </w:rPr>
            </w:pPr>
            <w:r>
              <w:rPr>
                <w:sz w:val="20"/>
                <w:szCs w:val="20"/>
              </w:rPr>
              <w:t>6</w:t>
            </w:r>
          </w:p>
        </w:tc>
        <w:tc>
          <w:tcPr>
            <w:tcW w:w="2085" w:type="dxa"/>
          </w:tcPr>
          <w:p w14:paraId="701E14BB" w14:textId="77777777" w:rsidR="006575CC" w:rsidRDefault="009F2BF5">
            <w:pPr>
              <w:rPr>
                <w:sz w:val="20"/>
                <w:szCs w:val="20"/>
              </w:rPr>
            </w:pPr>
            <w:r>
              <w:rPr>
                <w:sz w:val="20"/>
                <w:szCs w:val="20"/>
              </w:rPr>
              <w:t>Hàn Quốc</w:t>
            </w:r>
          </w:p>
        </w:tc>
        <w:tc>
          <w:tcPr>
            <w:tcW w:w="1785" w:type="dxa"/>
          </w:tcPr>
          <w:p w14:paraId="4D0E3B73" w14:textId="77777777" w:rsidR="006575CC" w:rsidRDefault="009F2BF5">
            <w:pPr>
              <w:jc w:val="right"/>
              <w:rPr>
                <w:sz w:val="20"/>
                <w:szCs w:val="20"/>
              </w:rPr>
            </w:pPr>
            <w:r>
              <w:rPr>
                <w:sz w:val="20"/>
                <w:szCs w:val="20"/>
              </w:rPr>
              <w:t>197</w:t>
            </w:r>
          </w:p>
        </w:tc>
        <w:tc>
          <w:tcPr>
            <w:tcW w:w="1785" w:type="dxa"/>
          </w:tcPr>
          <w:p w14:paraId="360B8BCF" w14:textId="77777777" w:rsidR="006575CC" w:rsidRDefault="009F2BF5">
            <w:pPr>
              <w:jc w:val="right"/>
              <w:rPr>
                <w:sz w:val="20"/>
                <w:szCs w:val="20"/>
              </w:rPr>
            </w:pPr>
            <w:r>
              <w:rPr>
                <w:sz w:val="20"/>
                <w:szCs w:val="20"/>
              </w:rPr>
              <w:t>77</w:t>
            </w:r>
          </w:p>
        </w:tc>
        <w:tc>
          <w:tcPr>
            <w:tcW w:w="1785" w:type="dxa"/>
          </w:tcPr>
          <w:p w14:paraId="73FF66A7" w14:textId="77777777" w:rsidR="006575CC" w:rsidRDefault="009F2BF5">
            <w:pPr>
              <w:jc w:val="right"/>
              <w:rPr>
                <w:sz w:val="20"/>
                <w:szCs w:val="20"/>
              </w:rPr>
            </w:pPr>
            <w:r>
              <w:rPr>
                <w:sz w:val="20"/>
                <w:szCs w:val="20"/>
              </w:rPr>
              <w:t>119</w:t>
            </w:r>
          </w:p>
        </w:tc>
      </w:tr>
      <w:tr w:rsidR="006575CC" w14:paraId="4B58EB4A" w14:textId="77777777">
        <w:trPr>
          <w:jc w:val="center"/>
        </w:trPr>
        <w:tc>
          <w:tcPr>
            <w:tcW w:w="615" w:type="dxa"/>
          </w:tcPr>
          <w:p w14:paraId="56DA563A" w14:textId="77777777" w:rsidR="006575CC" w:rsidRDefault="009F2BF5">
            <w:pPr>
              <w:jc w:val="center"/>
              <w:rPr>
                <w:sz w:val="20"/>
                <w:szCs w:val="20"/>
              </w:rPr>
            </w:pPr>
            <w:r>
              <w:rPr>
                <w:sz w:val="20"/>
                <w:szCs w:val="20"/>
              </w:rPr>
              <w:t>8</w:t>
            </w:r>
          </w:p>
        </w:tc>
        <w:tc>
          <w:tcPr>
            <w:tcW w:w="2085" w:type="dxa"/>
          </w:tcPr>
          <w:p w14:paraId="112AC8FD" w14:textId="77777777" w:rsidR="006575CC" w:rsidRDefault="009F2BF5">
            <w:pPr>
              <w:rPr>
                <w:sz w:val="20"/>
                <w:szCs w:val="20"/>
              </w:rPr>
            </w:pPr>
            <w:r>
              <w:rPr>
                <w:sz w:val="20"/>
                <w:szCs w:val="20"/>
              </w:rPr>
              <w:t>Đài Loan</w:t>
            </w:r>
          </w:p>
        </w:tc>
        <w:tc>
          <w:tcPr>
            <w:tcW w:w="1785" w:type="dxa"/>
          </w:tcPr>
          <w:p w14:paraId="316D4430" w14:textId="77777777" w:rsidR="006575CC" w:rsidRDefault="009F2BF5">
            <w:pPr>
              <w:jc w:val="right"/>
              <w:rPr>
                <w:sz w:val="20"/>
                <w:szCs w:val="20"/>
              </w:rPr>
            </w:pPr>
            <w:r>
              <w:rPr>
                <w:sz w:val="20"/>
                <w:szCs w:val="20"/>
              </w:rPr>
              <w:t>161</w:t>
            </w:r>
          </w:p>
        </w:tc>
        <w:tc>
          <w:tcPr>
            <w:tcW w:w="1785" w:type="dxa"/>
          </w:tcPr>
          <w:p w14:paraId="47DDBAB5" w14:textId="77777777" w:rsidR="006575CC" w:rsidRDefault="009F2BF5">
            <w:pPr>
              <w:jc w:val="right"/>
              <w:rPr>
                <w:sz w:val="20"/>
                <w:szCs w:val="20"/>
              </w:rPr>
            </w:pPr>
            <w:r>
              <w:rPr>
                <w:sz w:val="20"/>
                <w:szCs w:val="20"/>
              </w:rPr>
              <w:t>49</w:t>
            </w:r>
          </w:p>
        </w:tc>
        <w:tc>
          <w:tcPr>
            <w:tcW w:w="1785" w:type="dxa"/>
          </w:tcPr>
          <w:p w14:paraId="2050805B" w14:textId="77777777" w:rsidR="006575CC" w:rsidRDefault="009F2BF5">
            <w:pPr>
              <w:jc w:val="right"/>
              <w:rPr>
                <w:sz w:val="20"/>
                <w:szCs w:val="20"/>
              </w:rPr>
            </w:pPr>
            <w:r>
              <w:rPr>
                <w:sz w:val="20"/>
                <w:szCs w:val="20"/>
              </w:rPr>
              <w:t>112</w:t>
            </w:r>
          </w:p>
        </w:tc>
      </w:tr>
      <w:tr w:rsidR="006575CC" w14:paraId="0470367D" w14:textId="77777777">
        <w:trPr>
          <w:jc w:val="center"/>
        </w:trPr>
        <w:tc>
          <w:tcPr>
            <w:tcW w:w="615" w:type="dxa"/>
          </w:tcPr>
          <w:p w14:paraId="2D47539F" w14:textId="77777777" w:rsidR="006575CC" w:rsidRDefault="009F2BF5">
            <w:pPr>
              <w:jc w:val="center"/>
              <w:rPr>
                <w:sz w:val="20"/>
                <w:szCs w:val="20"/>
              </w:rPr>
            </w:pPr>
            <w:r>
              <w:rPr>
                <w:sz w:val="20"/>
                <w:szCs w:val="20"/>
              </w:rPr>
              <w:t>10</w:t>
            </w:r>
          </w:p>
        </w:tc>
        <w:tc>
          <w:tcPr>
            <w:tcW w:w="2085" w:type="dxa"/>
          </w:tcPr>
          <w:p w14:paraId="245FB728" w14:textId="77777777" w:rsidR="006575CC" w:rsidRDefault="009F2BF5">
            <w:pPr>
              <w:rPr>
                <w:sz w:val="20"/>
                <w:szCs w:val="20"/>
              </w:rPr>
            </w:pPr>
            <w:r>
              <w:rPr>
                <w:sz w:val="20"/>
                <w:szCs w:val="20"/>
              </w:rPr>
              <w:t>GCC</w:t>
            </w:r>
          </w:p>
        </w:tc>
        <w:tc>
          <w:tcPr>
            <w:tcW w:w="1785" w:type="dxa"/>
          </w:tcPr>
          <w:p w14:paraId="07023C72" w14:textId="77777777" w:rsidR="006575CC" w:rsidRDefault="009F2BF5">
            <w:pPr>
              <w:jc w:val="right"/>
              <w:rPr>
                <w:sz w:val="20"/>
                <w:szCs w:val="20"/>
              </w:rPr>
            </w:pPr>
            <w:r>
              <w:rPr>
                <w:sz w:val="20"/>
                <w:szCs w:val="20"/>
              </w:rPr>
              <w:t>131</w:t>
            </w:r>
          </w:p>
        </w:tc>
        <w:tc>
          <w:tcPr>
            <w:tcW w:w="1785" w:type="dxa"/>
          </w:tcPr>
          <w:p w14:paraId="7BD59CC1" w14:textId="77777777" w:rsidR="006575CC" w:rsidRDefault="009F2BF5">
            <w:pPr>
              <w:jc w:val="right"/>
              <w:rPr>
                <w:sz w:val="20"/>
                <w:szCs w:val="20"/>
              </w:rPr>
            </w:pPr>
            <w:r>
              <w:rPr>
                <w:sz w:val="20"/>
                <w:szCs w:val="20"/>
              </w:rPr>
              <w:t>33</w:t>
            </w:r>
          </w:p>
        </w:tc>
        <w:tc>
          <w:tcPr>
            <w:tcW w:w="1785" w:type="dxa"/>
          </w:tcPr>
          <w:p w14:paraId="4CEB92EC" w14:textId="77777777" w:rsidR="006575CC" w:rsidRDefault="009F2BF5">
            <w:pPr>
              <w:jc w:val="right"/>
              <w:rPr>
                <w:sz w:val="20"/>
                <w:szCs w:val="20"/>
              </w:rPr>
            </w:pPr>
            <w:r>
              <w:rPr>
                <w:sz w:val="20"/>
                <w:szCs w:val="20"/>
              </w:rPr>
              <w:t>98</w:t>
            </w:r>
          </w:p>
        </w:tc>
      </w:tr>
      <w:tr w:rsidR="006575CC" w14:paraId="5D70C8BD" w14:textId="77777777">
        <w:trPr>
          <w:jc w:val="center"/>
        </w:trPr>
        <w:tc>
          <w:tcPr>
            <w:tcW w:w="615" w:type="dxa"/>
          </w:tcPr>
          <w:p w14:paraId="5FE70936" w14:textId="77777777" w:rsidR="006575CC" w:rsidRDefault="009F2BF5">
            <w:pPr>
              <w:jc w:val="center"/>
              <w:rPr>
                <w:sz w:val="20"/>
                <w:szCs w:val="20"/>
              </w:rPr>
            </w:pPr>
            <w:r>
              <w:rPr>
                <w:sz w:val="20"/>
                <w:szCs w:val="20"/>
              </w:rPr>
              <w:lastRenderedPageBreak/>
              <w:t>13</w:t>
            </w:r>
          </w:p>
        </w:tc>
        <w:tc>
          <w:tcPr>
            <w:tcW w:w="2085" w:type="dxa"/>
          </w:tcPr>
          <w:p w14:paraId="3D595879" w14:textId="77777777" w:rsidR="006575CC" w:rsidRDefault="009F2BF5">
            <w:pPr>
              <w:rPr>
                <w:sz w:val="20"/>
                <w:szCs w:val="20"/>
              </w:rPr>
            </w:pPr>
            <w:r>
              <w:rPr>
                <w:sz w:val="20"/>
                <w:szCs w:val="20"/>
              </w:rPr>
              <w:t>Hồng Công</w:t>
            </w:r>
          </w:p>
        </w:tc>
        <w:tc>
          <w:tcPr>
            <w:tcW w:w="1785" w:type="dxa"/>
          </w:tcPr>
          <w:p w14:paraId="27A3FD77" w14:textId="77777777" w:rsidR="006575CC" w:rsidRDefault="009F2BF5">
            <w:pPr>
              <w:jc w:val="right"/>
              <w:rPr>
                <w:sz w:val="20"/>
                <w:szCs w:val="20"/>
              </w:rPr>
            </w:pPr>
            <w:r>
              <w:rPr>
                <w:sz w:val="20"/>
                <w:szCs w:val="20"/>
              </w:rPr>
              <w:t>117</w:t>
            </w:r>
          </w:p>
        </w:tc>
        <w:tc>
          <w:tcPr>
            <w:tcW w:w="1785" w:type="dxa"/>
          </w:tcPr>
          <w:p w14:paraId="593F7A19" w14:textId="77777777" w:rsidR="006575CC" w:rsidRDefault="009F2BF5">
            <w:pPr>
              <w:jc w:val="right"/>
              <w:rPr>
                <w:sz w:val="20"/>
                <w:szCs w:val="20"/>
              </w:rPr>
            </w:pPr>
            <w:r>
              <w:rPr>
                <w:sz w:val="20"/>
                <w:szCs w:val="20"/>
              </w:rPr>
              <w:t>103</w:t>
            </w:r>
          </w:p>
        </w:tc>
        <w:tc>
          <w:tcPr>
            <w:tcW w:w="1785" w:type="dxa"/>
          </w:tcPr>
          <w:p w14:paraId="733BEFF0" w14:textId="77777777" w:rsidR="006575CC" w:rsidRDefault="009F2BF5">
            <w:pPr>
              <w:jc w:val="right"/>
              <w:rPr>
                <w:sz w:val="20"/>
                <w:szCs w:val="20"/>
              </w:rPr>
            </w:pPr>
            <w:r>
              <w:rPr>
                <w:sz w:val="20"/>
                <w:szCs w:val="20"/>
              </w:rPr>
              <w:t>15</w:t>
            </w:r>
          </w:p>
        </w:tc>
      </w:tr>
      <w:tr w:rsidR="006575CC" w14:paraId="69231547" w14:textId="77777777">
        <w:trPr>
          <w:jc w:val="center"/>
        </w:trPr>
        <w:tc>
          <w:tcPr>
            <w:tcW w:w="615" w:type="dxa"/>
          </w:tcPr>
          <w:p w14:paraId="4AD1F2EB" w14:textId="77777777" w:rsidR="006575CC" w:rsidRDefault="009F2BF5">
            <w:pPr>
              <w:jc w:val="center"/>
              <w:rPr>
                <w:sz w:val="20"/>
                <w:szCs w:val="20"/>
              </w:rPr>
            </w:pPr>
            <w:r>
              <w:rPr>
                <w:sz w:val="20"/>
                <w:szCs w:val="20"/>
              </w:rPr>
              <w:t>14</w:t>
            </w:r>
          </w:p>
        </w:tc>
        <w:tc>
          <w:tcPr>
            <w:tcW w:w="2085" w:type="dxa"/>
          </w:tcPr>
          <w:p w14:paraId="73610FAA" w14:textId="77777777" w:rsidR="006575CC" w:rsidRDefault="009F2BF5">
            <w:pPr>
              <w:rPr>
                <w:sz w:val="20"/>
                <w:szCs w:val="20"/>
              </w:rPr>
            </w:pPr>
            <w:r>
              <w:rPr>
                <w:sz w:val="20"/>
                <w:szCs w:val="20"/>
              </w:rPr>
              <w:t>Ấn Độ</w:t>
            </w:r>
          </w:p>
        </w:tc>
        <w:tc>
          <w:tcPr>
            <w:tcW w:w="1785" w:type="dxa"/>
          </w:tcPr>
          <w:p w14:paraId="6DA2D4FB" w14:textId="77777777" w:rsidR="006575CC" w:rsidRDefault="009F2BF5">
            <w:pPr>
              <w:jc w:val="right"/>
              <w:rPr>
                <w:sz w:val="20"/>
                <w:szCs w:val="20"/>
              </w:rPr>
            </w:pPr>
            <w:r>
              <w:rPr>
                <w:sz w:val="20"/>
                <w:szCs w:val="20"/>
              </w:rPr>
              <w:t>101</w:t>
            </w:r>
          </w:p>
        </w:tc>
        <w:tc>
          <w:tcPr>
            <w:tcW w:w="1785" w:type="dxa"/>
          </w:tcPr>
          <w:p w14:paraId="1AD19480" w14:textId="77777777" w:rsidR="006575CC" w:rsidRDefault="009F2BF5">
            <w:pPr>
              <w:jc w:val="right"/>
              <w:rPr>
                <w:sz w:val="20"/>
                <w:szCs w:val="20"/>
              </w:rPr>
            </w:pPr>
            <w:r>
              <w:rPr>
                <w:sz w:val="20"/>
                <w:szCs w:val="20"/>
              </w:rPr>
              <w:t>66</w:t>
            </w:r>
          </w:p>
        </w:tc>
        <w:tc>
          <w:tcPr>
            <w:tcW w:w="1785" w:type="dxa"/>
          </w:tcPr>
          <w:p w14:paraId="753ABAF4" w14:textId="77777777" w:rsidR="006575CC" w:rsidRDefault="009F2BF5">
            <w:pPr>
              <w:jc w:val="right"/>
              <w:rPr>
                <w:sz w:val="20"/>
                <w:szCs w:val="20"/>
              </w:rPr>
            </w:pPr>
            <w:r>
              <w:rPr>
                <w:sz w:val="20"/>
                <w:szCs w:val="20"/>
              </w:rPr>
              <w:t>35</w:t>
            </w:r>
          </w:p>
        </w:tc>
      </w:tr>
      <w:tr w:rsidR="006575CC" w14:paraId="005A95C8" w14:textId="77777777">
        <w:trPr>
          <w:jc w:val="center"/>
        </w:trPr>
        <w:tc>
          <w:tcPr>
            <w:tcW w:w="615" w:type="dxa"/>
          </w:tcPr>
          <w:p w14:paraId="01F441B4" w14:textId="77777777" w:rsidR="006575CC" w:rsidRDefault="009F2BF5">
            <w:pPr>
              <w:jc w:val="center"/>
              <w:rPr>
                <w:sz w:val="20"/>
                <w:szCs w:val="20"/>
              </w:rPr>
            </w:pPr>
            <w:r>
              <w:rPr>
                <w:sz w:val="20"/>
                <w:szCs w:val="20"/>
              </w:rPr>
              <w:t>15</w:t>
            </w:r>
          </w:p>
        </w:tc>
        <w:tc>
          <w:tcPr>
            <w:tcW w:w="2085" w:type="dxa"/>
          </w:tcPr>
          <w:p w14:paraId="12894201" w14:textId="77777777" w:rsidR="006575CC" w:rsidRDefault="009F2BF5">
            <w:pPr>
              <w:rPr>
                <w:sz w:val="20"/>
                <w:szCs w:val="20"/>
              </w:rPr>
            </w:pPr>
            <w:r>
              <w:rPr>
                <w:sz w:val="20"/>
                <w:szCs w:val="20"/>
              </w:rPr>
              <w:t>Úc</w:t>
            </w:r>
          </w:p>
        </w:tc>
        <w:tc>
          <w:tcPr>
            <w:tcW w:w="1785" w:type="dxa"/>
          </w:tcPr>
          <w:p w14:paraId="36B5C8E7" w14:textId="77777777" w:rsidR="006575CC" w:rsidRDefault="009F2BF5">
            <w:pPr>
              <w:jc w:val="right"/>
              <w:rPr>
                <w:sz w:val="20"/>
                <w:szCs w:val="20"/>
              </w:rPr>
            </w:pPr>
            <w:r>
              <w:rPr>
                <w:sz w:val="20"/>
                <w:szCs w:val="20"/>
              </w:rPr>
              <w:t>94</w:t>
            </w:r>
          </w:p>
        </w:tc>
        <w:tc>
          <w:tcPr>
            <w:tcW w:w="1785" w:type="dxa"/>
          </w:tcPr>
          <w:p w14:paraId="76E91AA9" w14:textId="77777777" w:rsidR="006575CC" w:rsidRDefault="009F2BF5">
            <w:pPr>
              <w:jc w:val="right"/>
              <w:rPr>
                <w:sz w:val="20"/>
                <w:szCs w:val="20"/>
              </w:rPr>
            </w:pPr>
            <w:r>
              <w:rPr>
                <w:sz w:val="20"/>
                <w:szCs w:val="20"/>
              </w:rPr>
              <w:t>50</w:t>
            </w:r>
          </w:p>
        </w:tc>
        <w:tc>
          <w:tcPr>
            <w:tcW w:w="1785" w:type="dxa"/>
          </w:tcPr>
          <w:p w14:paraId="67B0AFF1" w14:textId="77777777" w:rsidR="006575CC" w:rsidRDefault="009F2BF5">
            <w:pPr>
              <w:jc w:val="right"/>
              <w:rPr>
                <w:sz w:val="20"/>
                <w:szCs w:val="20"/>
              </w:rPr>
            </w:pPr>
            <w:r>
              <w:rPr>
                <w:sz w:val="20"/>
                <w:szCs w:val="20"/>
              </w:rPr>
              <w:t>44</w:t>
            </w:r>
          </w:p>
        </w:tc>
      </w:tr>
      <w:tr w:rsidR="006575CC" w14:paraId="689E0A6B" w14:textId="77777777">
        <w:trPr>
          <w:jc w:val="center"/>
        </w:trPr>
        <w:tc>
          <w:tcPr>
            <w:tcW w:w="615" w:type="dxa"/>
          </w:tcPr>
          <w:p w14:paraId="2E30DC58" w14:textId="77777777" w:rsidR="006575CC" w:rsidRDefault="009F2BF5">
            <w:pPr>
              <w:jc w:val="center"/>
              <w:rPr>
                <w:sz w:val="20"/>
                <w:szCs w:val="20"/>
                <w:highlight w:val="yellow"/>
              </w:rPr>
            </w:pPr>
            <w:r>
              <w:rPr>
                <w:sz w:val="20"/>
                <w:szCs w:val="20"/>
              </w:rPr>
              <w:t>16</w:t>
            </w:r>
          </w:p>
        </w:tc>
        <w:tc>
          <w:tcPr>
            <w:tcW w:w="2085" w:type="dxa"/>
          </w:tcPr>
          <w:p w14:paraId="2381E8C6" w14:textId="77777777" w:rsidR="006575CC" w:rsidRDefault="009F2BF5">
            <w:pPr>
              <w:rPr>
                <w:sz w:val="20"/>
                <w:szCs w:val="20"/>
                <w:highlight w:val="yellow"/>
              </w:rPr>
            </w:pPr>
            <w:r>
              <w:rPr>
                <w:sz w:val="20"/>
                <w:szCs w:val="20"/>
              </w:rPr>
              <w:t>Vương Quốc Anh</w:t>
            </w:r>
          </w:p>
        </w:tc>
        <w:tc>
          <w:tcPr>
            <w:tcW w:w="1785" w:type="dxa"/>
          </w:tcPr>
          <w:p w14:paraId="49CBBCC2" w14:textId="77777777" w:rsidR="006575CC" w:rsidRDefault="009F2BF5">
            <w:pPr>
              <w:jc w:val="right"/>
              <w:rPr>
                <w:sz w:val="20"/>
                <w:szCs w:val="20"/>
              </w:rPr>
            </w:pPr>
            <w:r>
              <w:rPr>
                <w:sz w:val="20"/>
                <w:szCs w:val="20"/>
              </w:rPr>
              <w:t>35</w:t>
            </w:r>
          </w:p>
        </w:tc>
        <w:tc>
          <w:tcPr>
            <w:tcW w:w="1785" w:type="dxa"/>
          </w:tcPr>
          <w:p w14:paraId="28154D99" w14:textId="77777777" w:rsidR="006575CC" w:rsidRDefault="009F2BF5">
            <w:pPr>
              <w:jc w:val="right"/>
              <w:rPr>
                <w:sz w:val="20"/>
                <w:szCs w:val="20"/>
              </w:rPr>
            </w:pPr>
            <w:r>
              <w:rPr>
                <w:sz w:val="20"/>
                <w:szCs w:val="20"/>
              </w:rPr>
              <w:t>19</w:t>
            </w:r>
          </w:p>
        </w:tc>
        <w:tc>
          <w:tcPr>
            <w:tcW w:w="1785" w:type="dxa"/>
          </w:tcPr>
          <w:p w14:paraId="544EA85E" w14:textId="77777777" w:rsidR="006575CC" w:rsidRDefault="009F2BF5">
            <w:pPr>
              <w:jc w:val="right"/>
              <w:rPr>
                <w:sz w:val="20"/>
                <w:szCs w:val="20"/>
              </w:rPr>
            </w:pPr>
            <w:r>
              <w:rPr>
                <w:sz w:val="20"/>
                <w:szCs w:val="20"/>
              </w:rPr>
              <w:t>16</w:t>
            </w:r>
          </w:p>
        </w:tc>
      </w:tr>
      <w:tr w:rsidR="006575CC" w14:paraId="751F75F2" w14:textId="77777777">
        <w:trPr>
          <w:jc w:val="center"/>
        </w:trPr>
        <w:tc>
          <w:tcPr>
            <w:tcW w:w="615" w:type="dxa"/>
          </w:tcPr>
          <w:p w14:paraId="120296C5" w14:textId="77777777" w:rsidR="006575CC" w:rsidRDefault="009F2BF5">
            <w:pPr>
              <w:jc w:val="center"/>
              <w:rPr>
                <w:sz w:val="20"/>
                <w:szCs w:val="20"/>
              </w:rPr>
            </w:pPr>
            <w:r>
              <w:rPr>
                <w:sz w:val="20"/>
                <w:szCs w:val="20"/>
              </w:rPr>
              <w:t>17</w:t>
            </w:r>
          </w:p>
        </w:tc>
        <w:tc>
          <w:tcPr>
            <w:tcW w:w="2085" w:type="dxa"/>
          </w:tcPr>
          <w:p w14:paraId="085ECCA0" w14:textId="77777777" w:rsidR="006575CC" w:rsidRDefault="009F2BF5">
            <w:pPr>
              <w:rPr>
                <w:sz w:val="20"/>
                <w:szCs w:val="20"/>
              </w:rPr>
            </w:pPr>
            <w:r>
              <w:rPr>
                <w:sz w:val="20"/>
                <w:szCs w:val="20"/>
              </w:rPr>
              <w:t>Braxin</w:t>
            </w:r>
          </w:p>
        </w:tc>
        <w:tc>
          <w:tcPr>
            <w:tcW w:w="1785" w:type="dxa"/>
          </w:tcPr>
          <w:p w14:paraId="37DCCD6C" w14:textId="77777777" w:rsidR="006575CC" w:rsidRDefault="009F2BF5">
            <w:pPr>
              <w:jc w:val="right"/>
              <w:rPr>
                <w:sz w:val="20"/>
                <w:szCs w:val="20"/>
              </w:rPr>
            </w:pPr>
            <w:r>
              <w:rPr>
                <w:sz w:val="20"/>
                <w:szCs w:val="20"/>
              </w:rPr>
              <w:t>33</w:t>
            </w:r>
          </w:p>
        </w:tc>
        <w:tc>
          <w:tcPr>
            <w:tcW w:w="1785" w:type="dxa"/>
          </w:tcPr>
          <w:p w14:paraId="2CC18406" w14:textId="77777777" w:rsidR="006575CC" w:rsidRDefault="009F2BF5">
            <w:pPr>
              <w:jc w:val="right"/>
              <w:rPr>
                <w:sz w:val="20"/>
                <w:szCs w:val="20"/>
              </w:rPr>
            </w:pPr>
            <w:r>
              <w:rPr>
                <w:sz w:val="20"/>
                <w:szCs w:val="20"/>
              </w:rPr>
              <w:t>9</w:t>
            </w:r>
          </w:p>
        </w:tc>
        <w:tc>
          <w:tcPr>
            <w:tcW w:w="1785" w:type="dxa"/>
          </w:tcPr>
          <w:p w14:paraId="16F2A137" w14:textId="77777777" w:rsidR="006575CC" w:rsidRDefault="009F2BF5">
            <w:pPr>
              <w:jc w:val="right"/>
              <w:rPr>
                <w:sz w:val="20"/>
                <w:szCs w:val="20"/>
              </w:rPr>
            </w:pPr>
            <w:r>
              <w:rPr>
                <w:sz w:val="20"/>
                <w:szCs w:val="20"/>
              </w:rPr>
              <w:t>24</w:t>
            </w:r>
          </w:p>
        </w:tc>
      </w:tr>
      <w:tr w:rsidR="006575CC" w14:paraId="65CC7FB9" w14:textId="77777777">
        <w:trPr>
          <w:jc w:val="center"/>
        </w:trPr>
        <w:tc>
          <w:tcPr>
            <w:tcW w:w="615" w:type="dxa"/>
          </w:tcPr>
          <w:p w14:paraId="52FCC33E" w14:textId="77777777" w:rsidR="006575CC" w:rsidRDefault="009F2BF5">
            <w:pPr>
              <w:jc w:val="center"/>
              <w:rPr>
                <w:sz w:val="20"/>
                <w:szCs w:val="20"/>
              </w:rPr>
            </w:pPr>
            <w:r>
              <w:rPr>
                <w:sz w:val="20"/>
                <w:szCs w:val="20"/>
              </w:rPr>
              <w:t>18</w:t>
            </w:r>
          </w:p>
        </w:tc>
        <w:tc>
          <w:tcPr>
            <w:tcW w:w="2085" w:type="dxa"/>
          </w:tcPr>
          <w:p w14:paraId="45DB04F4" w14:textId="77777777" w:rsidR="006575CC" w:rsidRDefault="009F2BF5">
            <w:pPr>
              <w:rPr>
                <w:sz w:val="20"/>
                <w:szCs w:val="20"/>
              </w:rPr>
            </w:pPr>
            <w:r>
              <w:rPr>
                <w:sz w:val="20"/>
                <w:szCs w:val="20"/>
              </w:rPr>
              <w:t>Thụy Sỹ</w:t>
            </w:r>
          </w:p>
        </w:tc>
        <w:tc>
          <w:tcPr>
            <w:tcW w:w="1785" w:type="dxa"/>
          </w:tcPr>
          <w:p w14:paraId="7E59DFE6" w14:textId="77777777" w:rsidR="006575CC" w:rsidRDefault="009F2BF5">
            <w:pPr>
              <w:jc w:val="right"/>
              <w:rPr>
                <w:sz w:val="20"/>
                <w:szCs w:val="20"/>
              </w:rPr>
            </w:pPr>
            <w:r>
              <w:rPr>
                <w:sz w:val="20"/>
                <w:szCs w:val="20"/>
              </w:rPr>
              <w:t>29</w:t>
            </w:r>
          </w:p>
        </w:tc>
        <w:tc>
          <w:tcPr>
            <w:tcW w:w="1785" w:type="dxa"/>
          </w:tcPr>
          <w:p w14:paraId="58EF83E6" w14:textId="77777777" w:rsidR="006575CC" w:rsidRDefault="009F2BF5">
            <w:pPr>
              <w:jc w:val="right"/>
              <w:rPr>
                <w:sz w:val="20"/>
                <w:szCs w:val="20"/>
              </w:rPr>
            </w:pPr>
            <w:r>
              <w:rPr>
                <w:sz w:val="20"/>
                <w:szCs w:val="20"/>
              </w:rPr>
              <w:t>12</w:t>
            </w:r>
          </w:p>
        </w:tc>
        <w:tc>
          <w:tcPr>
            <w:tcW w:w="1785" w:type="dxa"/>
          </w:tcPr>
          <w:p w14:paraId="77A3E671" w14:textId="77777777" w:rsidR="006575CC" w:rsidRDefault="009F2BF5">
            <w:pPr>
              <w:jc w:val="right"/>
              <w:rPr>
                <w:sz w:val="20"/>
                <w:szCs w:val="20"/>
              </w:rPr>
            </w:pPr>
            <w:r>
              <w:rPr>
                <w:sz w:val="20"/>
                <w:szCs w:val="20"/>
              </w:rPr>
              <w:t>17</w:t>
            </w:r>
          </w:p>
        </w:tc>
      </w:tr>
      <w:tr w:rsidR="006575CC" w14:paraId="059A791A" w14:textId="77777777">
        <w:trPr>
          <w:jc w:val="center"/>
        </w:trPr>
        <w:tc>
          <w:tcPr>
            <w:tcW w:w="615" w:type="dxa"/>
          </w:tcPr>
          <w:p w14:paraId="714CD404" w14:textId="77777777" w:rsidR="006575CC" w:rsidRDefault="009F2BF5">
            <w:pPr>
              <w:jc w:val="center"/>
              <w:rPr>
                <w:sz w:val="20"/>
                <w:szCs w:val="20"/>
              </w:rPr>
            </w:pPr>
            <w:r>
              <w:rPr>
                <w:sz w:val="20"/>
                <w:szCs w:val="20"/>
              </w:rPr>
              <w:t>19</w:t>
            </w:r>
          </w:p>
        </w:tc>
        <w:tc>
          <w:tcPr>
            <w:tcW w:w="2085" w:type="dxa"/>
          </w:tcPr>
          <w:p w14:paraId="2B6E884D" w14:textId="77777777" w:rsidR="006575CC" w:rsidRDefault="009F2BF5">
            <w:pPr>
              <w:rPr>
                <w:sz w:val="20"/>
                <w:szCs w:val="20"/>
              </w:rPr>
            </w:pPr>
            <w:r>
              <w:rPr>
                <w:sz w:val="20"/>
                <w:szCs w:val="20"/>
              </w:rPr>
              <w:t>Mê hi cô</w:t>
            </w:r>
          </w:p>
        </w:tc>
        <w:tc>
          <w:tcPr>
            <w:tcW w:w="1785" w:type="dxa"/>
          </w:tcPr>
          <w:p w14:paraId="4A6FCCB6" w14:textId="77777777" w:rsidR="006575CC" w:rsidRDefault="009F2BF5">
            <w:pPr>
              <w:jc w:val="right"/>
              <w:rPr>
                <w:sz w:val="20"/>
                <w:szCs w:val="20"/>
              </w:rPr>
            </w:pPr>
            <w:r>
              <w:rPr>
                <w:sz w:val="20"/>
                <w:szCs w:val="20"/>
              </w:rPr>
              <w:t>24</w:t>
            </w:r>
          </w:p>
        </w:tc>
        <w:tc>
          <w:tcPr>
            <w:tcW w:w="1785" w:type="dxa"/>
          </w:tcPr>
          <w:p w14:paraId="3E0D3AAF" w14:textId="77777777" w:rsidR="006575CC" w:rsidRDefault="009F2BF5">
            <w:pPr>
              <w:jc w:val="right"/>
              <w:rPr>
                <w:sz w:val="20"/>
                <w:szCs w:val="20"/>
              </w:rPr>
            </w:pPr>
            <w:r>
              <w:rPr>
                <w:sz w:val="20"/>
                <w:szCs w:val="20"/>
              </w:rPr>
              <w:t>18</w:t>
            </w:r>
          </w:p>
        </w:tc>
        <w:tc>
          <w:tcPr>
            <w:tcW w:w="1785" w:type="dxa"/>
          </w:tcPr>
          <w:p w14:paraId="1C9119E0" w14:textId="77777777" w:rsidR="006575CC" w:rsidRDefault="009F2BF5">
            <w:pPr>
              <w:jc w:val="right"/>
              <w:rPr>
                <w:sz w:val="20"/>
                <w:szCs w:val="20"/>
              </w:rPr>
            </w:pPr>
            <w:r>
              <w:rPr>
                <w:sz w:val="20"/>
                <w:szCs w:val="20"/>
              </w:rPr>
              <w:t>6</w:t>
            </w:r>
          </w:p>
        </w:tc>
      </w:tr>
      <w:tr w:rsidR="006575CC" w14:paraId="03F5EEF2" w14:textId="77777777">
        <w:trPr>
          <w:jc w:val="center"/>
        </w:trPr>
        <w:tc>
          <w:tcPr>
            <w:tcW w:w="615" w:type="dxa"/>
          </w:tcPr>
          <w:p w14:paraId="12247BF1" w14:textId="77777777" w:rsidR="006575CC" w:rsidRDefault="009F2BF5">
            <w:pPr>
              <w:jc w:val="center"/>
              <w:rPr>
                <w:sz w:val="20"/>
                <w:szCs w:val="20"/>
              </w:rPr>
            </w:pPr>
            <w:r>
              <w:rPr>
                <w:sz w:val="20"/>
                <w:szCs w:val="20"/>
              </w:rPr>
              <w:t>20</w:t>
            </w:r>
          </w:p>
        </w:tc>
        <w:tc>
          <w:tcPr>
            <w:tcW w:w="2085" w:type="dxa"/>
          </w:tcPr>
          <w:p w14:paraId="1CB38772" w14:textId="77777777" w:rsidR="006575CC" w:rsidRDefault="009F2BF5">
            <w:pPr>
              <w:rPr>
                <w:sz w:val="20"/>
                <w:szCs w:val="20"/>
              </w:rPr>
            </w:pPr>
            <w:r>
              <w:rPr>
                <w:sz w:val="20"/>
                <w:szCs w:val="20"/>
              </w:rPr>
              <w:t>Canada</w:t>
            </w:r>
          </w:p>
        </w:tc>
        <w:tc>
          <w:tcPr>
            <w:tcW w:w="1785" w:type="dxa"/>
          </w:tcPr>
          <w:p w14:paraId="2E5FF16A" w14:textId="77777777" w:rsidR="006575CC" w:rsidRDefault="009F2BF5">
            <w:pPr>
              <w:jc w:val="right"/>
              <w:rPr>
                <w:sz w:val="20"/>
                <w:szCs w:val="20"/>
              </w:rPr>
            </w:pPr>
            <w:r>
              <w:rPr>
                <w:sz w:val="20"/>
                <w:szCs w:val="20"/>
              </w:rPr>
              <w:t>20</w:t>
            </w:r>
          </w:p>
        </w:tc>
        <w:tc>
          <w:tcPr>
            <w:tcW w:w="1785" w:type="dxa"/>
          </w:tcPr>
          <w:p w14:paraId="31BD308C" w14:textId="77777777" w:rsidR="006575CC" w:rsidRDefault="009F2BF5">
            <w:pPr>
              <w:jc w:val="right"/>
              <w:rPr>
                <w:sz w:val="20"/>
                <w:szCs w:val="20"/>
              </w:rPr>
            </w:pPr>
            <w:r>
              <w:rPr>
                <w:sz w:val="20"/>
                <w:szCs w:val="20"/>
              </w:rPr>
              <w:t>12</w:t>
            </w:r>
          </w:p>
        </w:tc>
        <w:tc>
          <w:tcPr>
            <w:tcW w:w="1785" w:type="dxa"/>
          </w:tcPr>
          <w:p w14:paraId="41FC37D0" w14:textId="77777777" w:rsidR="006575CC" w:rsidRDefault="009F2BF5">
            <w:pPr>
              <w:jc w:val="right"/>
              <w:rPr>
                <w:sz w:val="20"/>
                <w:szCs w:val="20"/>
              </w:rPr>
            </w:pPr>
            <w:r>
              <w:rPr>
                <w:sz w:val="20"/>
                <w:szCs w:val="20"/>
              </w:rPr>
              <w:t>8</w:t>
            </w:r>
          </w:p>
        </w:tc>
      </w:tr>
      <w:tr w:rsidR="006575CC" w14:paraId="363F569D" w14:textId="77777777">
        <w:trPr>
          <w:jc w:val="center"/>
        </w:trPr>
        <w:tc>
          <w:tcPr>
            <w:tcW w:w="615" w:type="dxa"/>
          </w:tcPr>
          <w:p w14:paraId="0CDC7F3A" w14:textId="77777777" w:rsidR="006575CC" w:rsidRDefault="009F2BF5">
            <w:pPr>
              <w:jc w:val="center"/>
              <w:rPr>
                <w:sz w:val="20"/>
                <w:szCs w:val="20"/>
              </w:rPr>
            </w:pPr>
            <w:r>
              <w:rPr>
                <w:sz w:val="20"/>
                <w:szCs w:val="20"/>
              </w:rPr>
              <w:t>21</w:t>
            </w:r>
          </w:p>
        </w:tc>
        <w:tc>
          <w:tcPr>
            <w:tcW w:w="2085" w:type="dxa"/>
          </w:tcPr>
          <w:p w14:paraId="02098839" w14:textId="77777777" w:rsidR="006575CC" w:rsidRDefault="009F2BF5">
            <w:pPr>
              <w:rPr>
                <w:sz w:val="20"/>
                <w:szCs w:val="20"/>
              </w:rPr>
            </w:pPr>
            <w:r>
              <w:rPr>
                <w:sz w:val="20"/>
                <w:szCs w:val="20"/>
              </w:rPr>
              <w:t>EAEU</w:t>
            </w:r>
          </w:p>
        </w:tc>
        <w:tc>
          <w:tcPr>
            <w:tcW w:w="1785" w:type="dxa"/>
          </w:tcPr>
          <w:p w14:paraId="42BBB65E" w14:textId="77777777" w:rsidR="006575CC" w:rsidRDefault="009F2BF5">
            <w:pPr>
              <w:jc w:val="right"/>
              <w:rPr>
                <w:sz w:val="20"/>
                <w:szCs w:val="20"/>
              </w:rPr>
            </w:pPr>
            <w:r>
              <w:rPr>
                <w:sz w:val="20"/>
                <w:szCs w:val="20"/>
              </w:rPr>
              <w:t>18</w:t>
            </w:r>
          </w:p>
        </w:tc>
        <w:tc>
          <w:tcPr>
            <w:tcW w:w="1785" w:type="dxa"/>
          </w:tcPr>
          <w:p w14:paraId="36500ED1" w14:textId="77777777" w:rsidR="006575CC" w:rsidRDefault="009F2BF5">
            <w:pPr>
              <w:jc w:val="right"/>
              <w:rPr>
                <w:sz w:val="20"/>
                <w:szCs w:val="20"/>
              </w:rPr>
            </w:pPr>
            <w:r>
              <w:rPr>
                <w:sz w:val="20"/>
                <w:szCs w:val="20"/>
              </w:rPr>
              <w:t>5</w:t>
            </w:r>
          </w:p>
        </w:tc>
        <w:tc>
          <w:tcPr>
            <w:tcW w:w="1785" w:type="dxa"/>
          </w:tcPr>
          <w:p w14:paraId="38552A2A" w14:textId="77777777" w:rsidR="006575CC" w:rsidRDefault="009F2BF5">
            <w:pPr>
              <w:jc w:val="right"/>
              <w:rPr>
                <w:sz w:val="20"/>
                <w:szCs w:val="20"/>
              </w:rPr>
            </w:pPr>
            <w:r>
              <w:rPr>
                <w:sz w:val="20"/>
                <w:szCs w:val="20"/>
              </w:rPr>
              <w:t>13</w:t>
            </w:r>
          </w:p>
        </w:tc>
      </w:tr>
      <w:tr w:rsidR="006575CC" w14:paraId="31F047B6" w14:textId="77777777">
        <w:trPr>
          <w:jc w:val="center"/>
        </w:trPr>
        <w:tc>
          <w:tcPr>
            <w:tcW w:w="615" w:type="dxa"/>
          </w:tcPr>
          <w:p w14:paraId="36EA9835" w14:textId="77777777" w:rsidR="006575CC" w:rsidRDefault="009F2BF5">
            <w:pPr>
              <w:jc w:val="center"/>
              <w:rPr>
                <w:sz w:val="20"/>
                <w:szCs w:val="20"/>
              </w:rPr>
            </w:pPr>
            <w:r>
              <w:rPr>
                <w:sz w:val="20"/>
                <w:szCs w:val="20"/>
              </w:rPr>
              <w:t>22</w:t>
            </w:r>
          </w:p>
        </w:tc>
        <w:tc>
          <w:tcPr>
            <w:tcW w:w="2085" w:type="dxa"/>
          </w:tcPr>
          <w:p w14:paraId="60DDF48E" w14:textId="77777777" w:rsidR="006575CC" w:rsidRDefault="009F2BF5">
            <w:pPr>
              <w:rPr>
                <w:sz w:val="20"/>
                <w:szCs w:val="20"/>
              </w:rPr>
            </w:pPr>
            <w:r>
              <w:rPr>
                <w:sz w:val="20"/>
                <w:szCs w:val="20"/>
              </w:rPr>
              <w:t>Thổ Nhĩ Kỳ</w:t>
            </w:r>
          </w:p>
        </w:tc>
        <w:tc>
          <w:tcPr>
            <w:tcW w:w="1785" w:type="dxa"/>
          </w:tcPr>
          <w:p w14:paraId="3DFBDA7B" w14:textId="77777777" w:rsidR="006575CC" w:rsidRDefault="009F2BF5">
            <w:pPr>
              <w:jc w:val="right"/>
              <w:rPr>
                <w:sz w:val="20"/>
                <w:szCs w:val="20"/>
              </w:rPr>
            </w:pPr>
            <w:r>
              <w:rPr>
                <w:sz w:val="20"/>
                <w:szCs w:val="20"/>
              </w:rPr>
              <w:t>13</w:t>
            </w:r>
          </w:p>
        </w:tc>
        <w:tc>
          <w:tcPr>
            <w:tcW w:w="1785" w:type="dxa"/>
          </w:tcPr>
          <w:p w14:paraId="01F973EF" w14:textId="77777777" w:rsidR="006575CC" w:rsidRDefault="009F2BF5">
            <w:pPr>
              <w:jc w:val="right"/>
              <w:rPr>
                <w:sz w:val="20"/>
                <w:szCs w:val="20"/>
              </w:rPr>
            </w:pPr>
            <w:r>
              <w:rPr>
                <w:sz w:val="20"/>
                <w:szCs w:val="20"/>
              </w:rPr>
              <w:t>10</w:t>
            </w:r>
          </w:p>
        </w:tc>
        <w:tc>
          <w:tcPr>
            <w:tcW w:w="1785" w:type="dxa"/>
          </w:tcPr>
          <w:p w14:paraId="59E143BB" w14:textId="77777777" w:rsidR="006575CC" w:rsidRDefault="009F2BF5">
            <w:pPr>
              <w:jc w:val="right"/>
              <w:rPr>
                <w:sz w:val="20"/>
                <w:szCs w:val="20"/>
              </w:rPr>
            </w:pPr>
            <w:r>
              <w:rPr>
                <w:sz w:val="20"/>
                <w:szCs w:val="20"/>
              </w:rPr>
              <w:t>3</w:t>
            </w:r>
          </w:p>
        </w:tc>
      </w:tr>
      <w:tr w:rsidR="006575CC" w14:paraId="5EE18AA8" w14:textId="77777777">
        <w:trPr>
          <w:jc w:val="center"/>
        </w:trPr>
        <w:tc>
          <w:tcPr>
            <w:tcW w:w="615" w:type="dxa"/>
          </w:tcPr>
          <w:p w14:paraId="69FBD560" w14:textId="77777777" w:rsidR="006575CC" w:rsidRDefault="009F2BF5">
            <w:pPr>
              <w:jc w:val="center"/>
              <w:rPr>
                <w:sz w:val="20"/>
                <w:szCs w:val="20"/>
              </w:rPr>
            </w:pPr>
            <w:r>
              <w:rPr>
                <w:sz w:val="20"/>
                <w:szCs w:val="20"/>
              </w:rPr>
              <w:t>23</w:t>
            </w:r>
          </w:p>
        </w:tc>
        <w:tc>
          <w:tcPr>
            <w:tcW w:w="2085" w:type="dxa"/>
          </w:tcPr>
          <w:p w14:paraId="7D35AFEB" w14:textId="77777777" w:rsidR="006575CC" w:rsidRDefault="009F2BF5">
            <w:pPr>
              <w:rPr>
                <w:sz w:val="20"/>
                <w:szCs w:val="20"/>
              </w:rPr>
            </w:pPr>
            <w:r>
              <w:rPr>
                <w:sz w:val="20"/>
                <w:szCs w:val="20"/>
              </w:rPr>
              <w:t>New Zealand</w:t>
            </w:r>
          </w:p>
        </w:tc>
        <w:tc>
          <w:tcPr>
            <w:tcW w:w="1785" w:type="dxa"/>
          </w:tcPr>
          <w:p w14:paraId="0FAAC7BB" w14:textId="77777777" w:rsidR="006575CC" w:rsidRDefault="009F2BF5">
            <w:pPr>
              <w:jc w:val="right"/>
              <w:rPr>
                <w:sz w:val="20"/>
                <w:szCs w:val="20"/>
              </w:rPr>
            </w:pPr>
            <w:r>
              <w:rPr>
                <w:sz w:val="20"/>
                <w:szCs w:val="20"/>
              </w:rPr>
              <w:t>13</w:t>
            </w:r>
          </w:p>
        </w:tc>
        <w:tc>
          <w:tcPr>
            <w:tcW w:w="1785" w:type="dxa"/>
          </w:tcPr>
          <w:p w14:paraId="25BD0011" w14:textId="77777777" w:rsidR="006575CC" w:rsidRDefault="009F2BF5">
            <w:pPr>
              <w:jc w:val="right"/>
              <w:rPr>
                <w:sz w:val="20"/>
                <w:szCs w:val="20"/>
              </w:rPr>
            </w:pPr>
            <w:r>
              <w:rPr>
                <w:sz w:val="20"/>
                <w:szCs w:val="20"/>
              </w:rPr>
              <w:t>8</w:t>
            </w:r>
          </w:p>
        </w:tc>
        <w:tc>
          <w:tcPr>
            <w:tcW w:w="1785" w:type="dxa"/>
          </w:tcPr>
          <w:p w14:paraId="5EB84951" w14:textId="77777777" w:rsidR="006575CC" w:rsidRDefault="009F2BF5">
            <w:pPr>
              <w:jc w:val="right"/>
              <w:rPr>
                <w:sz w:val="20"/>
                <w:szCs w:val="20"/>
              </w:rPr>
            </w:pPr>
            <w:r>
              <w:rPr>
                <w:sz w:val="20"/>
                <w:szCs w:val="20"/>
              </w:rPr>
              <w:t>5</w:t>
            </w:r>
          </w:p>
        </w:tc>
      </w:tr>
      <w:tr w:rsidR="006575CC" w14:paraId="60181230" w14:textId="77777777">
        <w:trPr>
          <w:jc w:val="center"/>
        </w:trPr>
        <w:tc>
          <w:tcPr>
            <w:tcW w:w="615" w:type="dxa"/>
          </w:tcPr>
          <w:p w14:paraId="0D912DE5" w14:textId="77777777" w:rsidR="006575CC" w:rsidRDefault="009F2BF5">
            <w:pPr>
              <w:jc w:val="center"/>
              <w:rPr>
                <w:sz w:val="20"/>
                <w:szCs w:val="20"/>
              </w:rPr>
            </w:pPr>
            <w:r>
              <w:rPr>
                <w:sz w:val="20"/>
                <w:szCs w:val="20"/>
              </w:rPr>
              <w:t>24</w:t>
            </w:r>
          </w:p>
        </w:tc>
        <w:tc>
          <w:tcPr>
            <w:tcW w:w="2085" w:type="dxa"/>
          </w:tcPr>
          <w:p w14:paraId="159A5C06" w14:textId="77777777" w:rsidR="006575CC" w:rsidRDefault="009F2BF5">
            <w:pPr>
              <w:rPr>
                <w:sz w:val="20"/>
                <w:szCs w:val="20"/>
              </w:rPr>
            </w:pPr>
            <w:r>
              <w:rPr>
                <w:sz w:val="20"/>
                <w:szCs w:val="20"/>
              </w:rPr>
              <w:t>Còn lại</w:t>
            </w:r>
          </w:p>
        </w:tc>
        <w:tc>
          <w:tcPr>
            <w:tcW w:w="1785" w:type="dxa"/>
          </w:tcPr>
          <w:p w14:paraId="5DC8FDA3" w14:textId="77777777" w:rsidR="006575CC" w:rsidRDefault="009F2BF5">
            <w:pPr>
              <w:jc w:val="right"/>
              <w:rPr>
                <w:sz w:val="20"/>
                <w:szCs w:val="20"/>
              </w:rPr>
            </w:pPr>
            <w:r>
              <w:rPr>
                <w:sz w:val="20"/>
                <w:szCs w:val="20"/>
              </w:rPr>
              <w:t>168</w:t>
            </w:r>
          </w:p>
        </w:tc>
        <w:tc>
          <w:tcPr>
            <w:tcW w:w="1785" w:type="dxa"/>
          </w:tcPr>
          <w:p w14:paraId="02B73D8C" w14:textId="77777777" w:rsidR="006575CC" w:rsidRDefault="009F2BF5">
            <w:pPr>
              <w:jc w:val="right"/>
              <w:rPr>
                <w:sz w:val="20"/>
                <w:szCs w:val="20"/>
              </w:rPr>
            </w:pPr>
            <w:r>
              <w:rPr>
                <w:sz w:val="20"/>
                <w:szCs w:val="20"/>
              </w:rPr>
              <w:t>104</w:t>
            </w:r>
          </w:p>
        </w:tc>
        <w:tc>
          <w:tcPr>
            <w:tcW w:w="1785" w:type="dxa"/>
          </w:tcPr>
          <w:p w14:paraId="4AC0C37B" w14:textId="77777777" w:rsidR="006575CC" w:rsidRDefault="009F2BF5">
            <w:pPr>
              <w:jc w:val="right"/>
              <w:rPr>
                <w:sz w:val="20"/>
                <w:szCs w:val="20"/>
              </w:rPr>
            </w:pPr>
            <w:r>
              <w:rPr>
                <w:sz w:val="20"/>
                <w:szCs w:val="20"/>
              </w:rPr>
              <w:t>64</w:t>
            </w:r>
          </w:p>
        </w:tc>
      </w:tr>
    </w:tbl>
    <w:p w14:paraId="167E9761" w14:textId="77777777" w:rsidR="006575CC" w:rsidRDefault="009F2BF5">
      <w:pPr>
        <w:ind w:firstLine="720"/>
        <w:rPr>
          <w:i/>
          <w:iCs/>
          <w:color w:val="C00000"/>
        </w:rPr>
      </w:pPr>
      <w:r>
        <w:rPr>
          <w:sz w:val="20"/>
          <w:szCs w:val="20"/>
        </w:rPr>
        <w:t>Nguồn: Thống kê ASEAN (ASEAN Stats)</w:t>
      </w:r>
    </w:p>
    <w:p w14:paraId="118212D9" w14:textId="6E373BBA" w:rsidR="006575CC" w:rsidRDefault="009F2BF5">
      <w:pPr>
        <w:numPr>
          <w:ilvl w:val="3"/>
          <w:numId w:val="10"/>
        </w:numPr>
      </w:pPr>
      <w:r>
        <w:t xml:space="preserve">Khác với GCC, ASEAN không phải là một liên minh hải quan, mặc dù Kế hoạch Chiến lược Cộng đồng Kinh tế ASEAN (AEC Blueprint 2015/2025) đã định hướng ASEAN trở thành một “thị trường và nền tảng sản xuất chung”, nơi hàng hóa, dịch vụ, đầu tư, vốn và lao động có kỹ năng lưu thông tự do thông qua các thỏa thuận như Hiệp định Thương mại Hàng hóa ASEAN (ATIGA), Hiệp định </w:t>
      </w:r>
      <w:r w:rsidR="00F1697E" w:rsidRPr="00F1697E">
        <w:t xml:space="preserve">Khung </w:t>
      </w:r>
      <w:r>
        <w:t xml:space="preserve">Dịch vụ ASEAN (AFAS) –được thay thế bằng Hiệp định Thương mại Dịch vụ ASEAN (ATISA), Hiệp định Đầu tư Toàn diện ASEAN (ACIA) và Hiệp định ASEAN về Di chuyển </w:t>
      </w:r>
      <w:r w:rsidR="00F1697E">
        <w:t>thể nhân</w:t>
      </w:r>
      <w:r>
        <w:t xml:space="preserve"> (MNP). Đến nay, hơn 99% thuế quan nội khối đã được loại bỏ và các cơ chế nhằm giảm thiểu tác động của các biện pháp phi thuế quan đã được thiết lập. Nhằm hiện thực hóa chiến lược xây dựng </w:t>
      </w:r>
      <w:r>
        <w:lastRenderedPageBreak/>
        <w:t>một ASEAN toàn cầu, ASEAN đã ký các hiệp định thương mại tự do với các đối tác thương mại quan trọng như Trung Quốc, Nhật Bản, Hàn Quốc, Ấn Độ, Australia, New Zealand, Hong Kong, cùng các hiệp định đối tác kinh tế toàn diện như Hiệp định Đối tác Kinh tế Toàn diện Khu vực (RCEP).</w:t>
      </w:r>
    </w:p>
    <w:p w14:paraId="4619C18F" w14:textId="77777777" w:rsidR="006575CC" w:rsidRDefault="009F2BF5">
      <w:pPr>
        <w:numPr>
          <w:ilvl w:val="3"/>
          <w:numId w:val="10"/>
        </w:numPr>
      </w:pPr>
      <w:r>
        <w:t>Tại thời điểm viết bài, ASEAN đang trong quá trình hoàn thiện tầm nhìn sau năm 2025, sau khi Kế hoạch Chiến lược Cộng đồng Kinh tế ASEAN (AEC Blueprint 2025) kết thúc. Văn kiện kết quả dự kiến sẽ được thông qua dưới sự chủ trì của Malaysia tại ASEAN vào năm 2025.</w:t>
      </w:r>
    </w:p>
    <w:p w14:paraId="652363AA" w14:textId="77777777" w:rsidR="006575CC" w:rsidRDefault="009F2BF5">
      <w:pPr>
        <w:numPr>
          <w:ilvl w:val="0"/>
          <w:numId w:val="10"/>
        </w:numPr>
      </w:pPr>
      <w:r>
        <w:rPr>
          <w:b/>
          <w:bCs/>
          <w:u w:val="single"/>
        </w:rPr>
        <w:t>Thương mại và đầu tư giữa ASEAN và GCC.</w:t>
      </w:r>
      <w:r>
        <w:t xml:space="preserve"> Thương mại và đầu tư giữa ASEAN và GCC là yếu tố then chốt, bởi cấu trúc kinh tế của hai khu vực này có thể được coi là bổ sung cho nhau ở nhiều khía cạnh. ASEAN là một nhân tố quan trọng trên thị trường toàn cầu về thương mại và dịch vụ. Hầu hết các quốc gia thành viên ASEAN, đặc biệt là Indonesia, Thái Lan và Việt Nam, là những nhà xuất khẩu chính các sản phẩm nông nghiệp (như gạo, đường, cà phê, trà, v.v.) cũng như hàng hóa chế tạo (như điện tử, phương tiện cơ giới, v.v.). Trong khi đó, GCC tiếp tục là nhà xuất khẩu lớn nhất về dầu mỏ và khí đốt, những nguồn nguyên liệu quan trọng cho ngành sản xuất của ASEAN. Trong khi GCC nỗ lực giảm sự phụ thuộc vào dầu mỏ và khí đốt, chương trình kinh tế của ASEAN tập trung nâng cao giá trị gia tăng trong cả ngành sản xuất và dịch vụ trên chuỗi giá trị toàn cầu.</w:t>
      </w:r>
    </w:p>
    <w:p w14:paraId="19B34CFF" w14:textId="77777777" w:rsidR="006575CC" w:rsidRDefault="009F2BF5">
      <w:pPr>
        <w:numPr>
          <w:ilvl w:val="0"/>
          <w:numId w:val="10"/>
        </w:numPr>
      </w:pPr>
      <w:r>
        <w:t>Với tổng GDP (năm 2023) đạt 6 nghìn tỷ USD, vai trò kinh tế của ASEAN và GCC trên thị trường toàn cầu về thương mại và đầu tư là không thể xem nhẹ. Tổng GDP kết hợp của ASEAN và GCC chiếm 5,9% tổng GDP toàn cầu, 102.897 tỷ USD trong năm 2023. Tổng giá trị thương mại của ASEAN năm 2023 đạt 3,5 nghìn tỷ USD, trong đó dịch vụ đóng góp 1,06 nghìn tỷ USD, cho thấy mức độ tham gia kinh tế rộng lớn của khu vực. Tương tự, các nền kinh tế GCC cũng ghi nhận dòng chảy thương mại mạnh, chủ yếu nhờ xuất khẩu dầu mỏ và khí đốt, trong đó riêng UAE đã đóng góp 954 tỷ USD trong tổng giá trị thương mại hàng hóa. Những con số này không chỉ nhấn mạnh sức sống kinh tế mà còn cho thấy tiềm năng tăng cường liên kết thương mại và đầu tư sâu hơn giữa ASEAN và GCC, đặc biệt khi tỷ trọng thương mại hàng hóa của GCC với ASEAN chỉ chiếm 3,71%, trong khi ASEAN chiếm 5,45% tổng thương mại hàng hóa của GCC.</w:t>
      </w:r>
    </w:p>
    <w:p w14:paraId="0E9D9D1E" w14:textId="77777777" w:rsidR="006575CC" w:rsidRDefault="009F2BF5">
      <w:pPr>
        <w:numPr>
          <w:ilvl w:val="0"/>
          <w:numId w:val="10"/>
        </w:numPr>
      </w:pPr>
      <w:r>
        <w:t xml:space="preserve">Thương mại ASEAN-GCC chủ yếu tập trung vào dầu mỏ và khí đốt, cũng như lao động có kỹ năng và không có kỹ năng từ GCC và ASEAN, tương ứng. Chẳng hạn, trong năm 2023, tổng thương mại giữa ASEAN và GCC đạt 130 tỷ USD, trong đó 97 tỷ USD, tương đương 74,6%, là nhập khẩu của ASEAN từ GCC. Trong tổng giá trị nhập khẩu này, 81 tỷ USD, hay 83%, là dầu mỏ và khí đốt. Xuất khẩu của ASEAN sang GCC đạt 33 tỷ USD, chủ yếu là máy móc và thiết bị điện tử, phương tiện cơ giới, sắt thép và hóa chất hữu cơ. Dù vậy, các mô hình thương mại được dự báo sẽ thay đổi, đặc biệt khi các quốc gia GCC đa dạng hóa nền kinh tế của mình. Hợp tác ASEAN-GCC hiện nay cũng bao gồm các ưu tiên toàn cầu, hướng tới kinh tế số và kinh tế xanh. Với vai trò kinh tế quan trọng và tầm ảnh hưởng của cả hai khu vực </w:t>
      </w:r>
      <w:r>
        <w:lastRenderedPageBreak/>
        <w:t>trong chuỗi giá trị toàn cầu, việc tăng cường hợp tác ASEAN-GCC sẽ mang lại lợi ích không chỉ trong bối cảnh khu vực mà còn trên phạm vi toàn cầu.</w:t>
      </w:r>
    </w:p>
    <w:p w14:paraId="4FA15081" w14:textId="77777777" w:rsidR="006575CC" w:rsidRDefault="009F2BF5">
      <w:pPr>
        <w:numPr>
          <w:ilvl w:val="0"/>
          <w:numId w:val="10"/>
        </w:numPr>
      </w:pPr>
      <w:r>
        <w:t>Như được thể hiện trong Bảng 5 dưới đây, thương mại ASEAN-GCC chủ yếu tập trung vào Singapore và Thái Lan, với giá trị lần lượt là 35,4 tỷ USD và 35,2 tỷ USD, mặc dù mức tăng trưởng bình quân hàng năm của Singapore trong giai đoạn 2013–2023 được ghi nhận là âm. Những con số này cho thấy vai trò chiến lược của Singapore và Thái Lan như các trung tâm thương mại và logistics. Ngược lại, Brunei và Lào ghi nhận tốc độ tăng trưởng đáng chú ý, mặc dù từ quy mô thương mại nhỏ hơn. Thương mại giữa Brunei và GCC tăng bình quân 223,88% mỗi năm từ 2013 đến 2023, chủ yếu nhờ các quan hệ đối tác trong lĩnh vực năng lượng. Sự tăng trưởng nhanh chóng này cho thấy tiềm năng mở rộng các quan hệ thương mại vượt ra ngoài các ngành truyền thống.</w:t>
      </w:r>
    </w:p>
    <w:p w14:paraId="7A9A3F13" w14:textId="77777777" w:rsidR="006575CC" w:rsidRDefault="009F2BF5">
      <w:pPr>
        <w:jc w:val="center"/>
        <w:rPr>
          <w:i/>
          <w:iCs/>
          <w:color w:val="C00000"/>
          <w:sz w:val="32"/>
          <w:szCs w:val="32"/>
        </w:rPr>
      </w:pPr>
      <w:bookmarkStart w:id="13" w:name="_heading=h.4yzkurblnihj" w:colFirst="0" w:colLast="0"/>
      <w:bookmarkEnd w:id="13"/>
      <w:r>
        <w:rPr>
          <w:b/>
          <w:bCs/>
        </w:rPr>
        <w:t>Bảng 5. Thương mại song phương giữa các quốc gia thành viên ASEAN và các quốc gia GCC</w:t>
      </w:r>
    </w:p>
    <w:tbl>
      <w:tblPr>
        <w:tblStyle w:val="8"/>
        <w:tblW w:w="646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60"/>
        <w:gridCol w:w="1701"/>
        <w:gridCol w:w="1701"/>
        <w:gridCol w:w="1701"/>
      </w:tblGrid>
      <w:tr w:rsidR="006575CC" w14:paraId="63DD9032" w14:textId="77777777">
        <w:trPr>
          <w:trHeight w:val="1040"/>
          <w:jc w:val="center"/>
        </w:trPr>
        <w:tc>
          <w:tcPr>
            <w:tcW w:w="1360" w:type="dxa"/>
            <w:vAlign w:val="center"/>
          </w:tcPr>
          <w:p w14:paraId="0A72B06B" w14:textId="77777777" w:rsidR="006575CC" w:rsidRDefault="009F2BF5">
            <w:pPr>
              <w:jc w:val="center"/>
              <w:rPr>
                <w:b/>
                <w:bCs/>
                <w:sz w:val="20"/>
                <w:szCs w:val="20"/>
              </w:rPr>
            </w:pPr>
            <w:r>
              <w:rPr>
                <w:b/>
                <w:bCs/>
                <w:sz w:val="20"/>
                <w:szCs w:val="20"/>
              </w:rPr>
              <w:t>Quốc gia Thành viên ASEAN</w:t>
            </w:r>
          </w:p>
        </w:tc>
        <w:tc>
          <w:tcPr>
            <w:tcW w:w="1701" w:type="dxa"/>
            <w:vAlign w:val="center"/>
          </w:tcPr>
          <w:p w14:paraId="6CE6BDBA" w14:textId="77777777" w:rsidR="006575CC" w:rsidRDefault="009F2BF5">
            <w:pPr>
              <w:jc w:val="center"/>
              <w:rPr>
                <w:b/>
                <w:bCs/>
                <w:sz w:val="20"/>
                <w:szCs w:val="20"/>
              </w:rPr>
            </w:pPr>
            <w:r>
              <w:rPr>
                <w:b/>
                <w:bCs/>
                <w:sz w:val="20"/>
                <w:szCs w:val="20"/>
              </w:rPr>
              <w:t>Giá trị thương mại, 2023 (tỷ USD)</w:t>
            </w:r>
          </w:p>
        </w:tc>
        <w:tc>
          <w:tcPr>
            <w:tcW w:w="1701" w:type="dxa"/>
            <w:vAlign w:val="center"/>
          </w:tcPr>
          <w:p w14:paraId="6B0985FF" w14:textId="77777777" w:rsidR="006575CC" w:rsidRDefault="009F2BF5">
            <w:pPr>
              <w:jc w:val="center"/>
              <w:rPr>
                <w:b/>
                <w:bCs/>
                <w:sz w:val="20"/>
                <w:szCs w:val="20"/>
              </w:rPr>
            </w:pPr>
            <w:r>
              <w:rPr>
                <w:b/>
                <w:bCs/>
                <w:sz w:val="20"/>
                <w:szCs w:val="20"/>
              </w:rPr>
              <w:t>Tỷ lệ tổng kim ngạch thương mại của ASEAN với GCC, 2023 (%)</w:t>
            </w:r>
          </w:p>
        </w:tc>
        <w:tc>
          <w:tcPr>
            <w:tcW w:w="1701" w:type="dxa"/>
            <w:vAlign w:val="center"/>
          </w:tcPr>
          <w:p w14:paraId="67668A89" w14:textId="77777777" w:rsidR="006575CC" w:rsidRDefault="009F2BF5">
            <w:pPr>
              <w:jc w:val="center"/>
              <w:rPr>
                <w:b/>
                <w:bCs/>
                <w:sz w:val="20"/>
                <w:szCs w:val="20"/>
              </w:rPr>
            </w:pPr>
            <w:r>
              <w:rPr>
                <w:b/>
                <w:bCs/>
                <w:sz w:val="20"/>
                <w:szCs w:val="20"/>
              </w:rPr>
              <w:t>Tăng trưởng trung bình hàng năm 2013-2023 (%)</w:t>
            </w:r>
          </w:p>
        </w:tc>
      </w:tr>
      <w:tr w:rsidR="006575CC" w14:paraId="113944B6" w14:textId="77777777">
        <w:trPr>
          <w:trHeight w:val="285"/>
          <w:jc w:val="center"/>
        </w:trPr>
        <w:tc>
          <w:tcPr>
            <w:tcW w:w="1360" w:type="dxa"/>
          </w:tcPr>
          <w:p w14:paraId="45F1B39E" w14:textId="77777777" w:rsidR="006575CC" w:rsidRDefault="009F2BF5">
            <w:pPr>
              <w:rPr>
                <w:sz w:val="20"/>
                <w:szCs w:val="20"/>
              </w:rPr>
            </w:pPr>
            <w:r>
              <w:rPr>
                <w:sz w:val="20"/>
                <w:szCs w:val="20"/>
              </w:rPr>
              <w:t>Brunei</w:t>
            </w:r>
          </w:p>
        </w:tc>
        <w:tc>
          <w:tcPr>
            <w:tcW w:w="1701" w:type="dxa"/>
          </w:tcPr>
          <w:p w14:paraId="64848BFD" w14:textId="77777777" w:rsidR="006575CC" w:rsidRDefault="009F2BF5">
            <w:pPr>
              <w:jc w:val="right"/>
              <w:rPr>
                <w:sz w:val="20"/>
                <w:szCs w:val="20"/>
              </w:rPr>
            </w:pPr>
            <w:r>
              <w:rPr>
                <w:sz w:val="20"/>
                <w:szCs w:val="20"/>
              </w:rPr>
              <w:t>1.7</w:t>
            </w:r>
          </w:p>
        </w:tc>
        <w:tc>
          <w:tcPr>
            <w:tcW w:w="1701" w:type="dxa"/>
          </w:tcPr>
          <w:p w14:paraId="4BFB4FB6" w14:textId="77777777" w:rsidR="006575CC" w:rsidRDefault="009F2BF5">
            <w:pPr>
              <w:jc w:val="right"/>
              <w:rPr>
                <w:sz w:val="20"/>
                <w:szCs w:val="20"/>
              </w:rPr>
            </w:pPr>
            <w:r>
              <w:rPr>
                <w:sz w:val="20"/>
                <w:szCs w:val="20"/>
              </w:rPr>
              <w:t>1.30</w:t>
            </w:r>
          </w:p>
        </w:tc>
        <w:tc>
          <w:tcPr>
            <w:tcW w:w="1701" w:type="dxa"/>
          </w:tcPr>
          <w:p w14:paraId="032DDB0D" w14:textId="77777777" w:rsidR="006575CC" w:rsidRDefault="009F2BF5">
            <w:pPr>
              <w:jc w:val="right"/>
              <w:rPr>
                <w:sz w:val="20"/>
                <w:szCs w:val="20"/>
              </w:rPr>
            </w:pPr>
            <w:r>
              <w:rPr>
                <w:sz w:val="20"/>
                <w:szCs w:val="20"/>
              </w:rPr>
              <w:t>223.88</w:t>
            </w:r>
          </w:p>
        </w:tc>
      </w:tr>
      <w:tr w:rsidR="006575CC" w14:paraId="6D47B0D7" w14:textId="77777777">
        <w:trPr>
          <w:trHeight w:val="285"/>
          <w:jc w:val="center"/>
        </w:trPr>
        <w:tc>
          <w:tcPr>
            <w:tcW w:w="1360" w:type="dxa"/>
          </w:tcPr>
          <w:p w14:paraId="5D0DBC6E" w14:textId="77777777" w:rsidR="006575CC" w:rsidRDefault="009F2BF5">
            <w:pPr>
              <w:rPr>
                <w:sz w:val="20"/>
                <w:szCs w:val="20"/>
              </w:rPr>
            </w:pPr>
            <w:r>
              <w:rPr>
                <w:sz w:val="20"/>
                <w:szCs w:val="20"/>
              </w:rPr>
              <w:t>Cambodia</w:t>
            </w:r>
          </w:p>
        </w:tc>
        <w:tc>
          <w:tcPr>
            <w:tcW w:w="1701" w:type="dxa"/>
          </w:tcPr>
          <w:p w14:paraId="7302AF49" w14:textId="77777777" w:rsidR="006575CC" w:rsidRDefault="009F2BF5">
            <w:pPr>
              <w:jc w:val="right"/>
              <w:rPr>
                <w:sz w:val="20"/>
                <w:szCs w:val="20"/>
              </w:rPr>
            </w:pPr>
            <w:r>
              <w:rPr>
                <w:sz w:val="20"/>
                <w:szCs w:val="20"/>
              </w:rPr>
              <w:t>0.1</w:t>
            </w:r>
          </w:p>
        </w:tc>
        <w:tc>
          <w:tcPr>
            <w:tcW w:w="1701" w:type="dxa"/>
          </w:tcPr>
          <w:p w14:paraId="490B6FDE" w14:textId="77777777" w:rsidR="006575CC" w:rsidRDefault="009F2BF5">
            <w:pPr>
              <w:jc w:val="right"/>
              <w:rPr>
                <w:sz w:val="20"/>
                <w:szCs w:val="20"/>
              </w:rPr>
            </w:pPr>
            <w:r>
              <w:rPr>
                <w:sz w:val="20"/>
                <w:szCs w:val="20"/>
              </w:rPr>
              <w:t>0.10</w:t>
            </w:r>
          </w:p>
        </w:tc>
        <w:tc>
          <w:tcPr>
            <w:tcW w:w="1701" w:type="dxa"/>
          </w:tcPr>
          <w:p w14:paraId="56CF644D" w14:textId="77777777" w:rsidR="006575CC" w:rsidRDefault="009F2BF5">
            <w:pPr>
              <w:jc w:val="right"/>
              <w:rPr>
                <w:sz w:val="20"/>
                <w:szCs w:val="20"/>
              </w:rPr>
            </w:pPr>
            <w:r>
              <w:rPr>
                <w:sz w:val="20"/>
                <w:szCs w:val="20"/>
              </w:rPr>
              <w:t>10.44</w:t>
            </w:r>
          </w:p>
        </w:tc>
      </w:tr>
      <w:tr w:rsidR="006575CC" w14:paraId="178A4C5D" w14:textId="77777777">
        <w:trPr>
          <w:trHeight w:val="285"/>
          <w:jc w:val="center"/>
        </w:trPr>
        <w:tc>
          <w:tcPr>
            <w:tcW w:w="1360" w:type="dxa"/>
          </w:tcPr>
          <w:p w14:paraId="72582442" w14:textId="77777777" w:rsidR="006575CC" w:rsidRDefault="009F2BF5">
            <w:pPr>
              <w:rPr>
                <w:sz w:val="20"/>
                <w:szCs w:val="20"/>
              </w:rPr>
            </w:pPr>
            <w:r>
              <w:rPr>
                <w:sz w:val="20"/>
                <w:szCs w:val="20"/>
              </w:rPr>
              <w:t>Indonesia</w:t>
            </w:r>
          </w:p>
        </w:tc>
        <w:tc>
          <w:tcPr>
            <w:tcW w:w="1701" w:type="dxa"/>
          </w:tcPr>
          <w:p w14:paraId="3A73F76E" w14:textId="77777777" w:rsidR="006575CC" w:rsidRDefault="009F2BF5">
            <w:pPr>
              <w:jc w:val="right"/>
              <w:rPr>
                <w:sz w:val="20"/>
                <w:szCs w:val="20"/>
              </w:rPr>
            </w:pPr>
            <w:r>
              <w:rPr>
                <w:sz w:val="20"/>
                <w:szCs w:val="20"/>
              </w:rPr>
              <w:t>15.7</w:t>
            </w:r>
          </w:p>
        </w:tc>
        <w:tc>
          <w:tcPr>
            <w:tcW w:w="1701" w:type="dxa"/>
          </w:tcPr>
          <w:p w14:paraId="0DE80FC1" w14:textId="77777777" w:rsidR="006575CC" w:rsidRDefault="009F2BF5">
            <w:pPr>
              <w:jc w:val="right"/>
              <w:rPr>
                <w:sz w:val="20"/>
                <w:szCs w:val="20"/>
              </w:rPr>
            </w:pPr>
            <w:r>
              <w:rPr>
                <w:sz w:val="20"/>
                <w:szCs w:val="20"/>
              </w:rPr>
              <w:t>11.99</w:t>
            </w:r>
          </w:p>
        </w:tc>
        <w:tc>
          <w:tcPr>
            <w:tcW w:w="1701" w:type="dxa"/>
          </w:tcPr>
          <w:p w14:paraId="1AB11BF5" w14:textId="77777777" w:rsidR="006575CC" w:rsidRDefault="009F2BF5">
            <w:pPr>
              <w:jc w:val="right"/>
              <w:rPr>
                <w:sz w:val="20"/>
                <w:szCs w:val="20"/>
              </w:rPr>
            </w:pPr>
            <w:r>
              <w:rPr>
                <w:sz w:val="20"/>
                <w:szCs w:val="20"/>
              </w:rPr>
              <w:t>2.87</w:t>
            </w:r>
          </w:p>
        </w:tc>
      </w:tr>
      <w:tr w:rsidR="006575CC" w14:paraId="3BCD5C4D" w14:textId="77777777">
        <w:trPr>
          <w:trHeight w:val="285"/>
          <w:jc w:val="center"/>
        </w:trPr>
        <w:tc>
          <w:tcPr>
            <w:tcW w:w="1360" w:type="dxa"/>
          </w:tcPr>
          <w:p w14:paraId="2FA054C4" w14:textId="77777777" w:rsidR="006575CC" w:rsidRDefault="009F2BF5">
            <w:pPr>
              <w:rPr>
                <w:sz w:val="20"/>
                <w:szCs w:val="20"/>
              </w:rPr>
            </w:pPr>
            <w:r>
              <w:rPr>
                <w:sz w:val="20"/>
                <w:szCs w:val="20"/>
              </w:rPr>
              <w:t>Lao PDR</w:t>
            </w:r>
          </w:p>
        </w:tc>
        <w:tc>
          <w:tcPr>
            <w:tcW w:w="1701" w:type="dxa"/>
          </w:tcPr>
          <w:p w14:paraId="34E0B9E5" w14:textId="77777777" w:rsidR="006575CC" w:rsidRDefault="009F2BF5">
            <w:pPr>
              <w:jc w:val="right"/>
              <w:rPr>
                <w:sz w:val="20"/>
                <w:szCs w:val="20"/>
              </w:rPr>
            </w:pPr>
            <w:r>
              <w:rPr>
                <w:sz w:val="20"/>
                <w:szCs w:val="20"/>
              </w:rPr>
              <w:t>0.0</w:t>
            </w:r>
          </w:p>
        </w:tc>
        <w:tc>
          <w:tcPr>
            <w:tcW w:w="1701" w:type="dxa"/>
          </w:tcPr>
          <w:p w14:paraId="2C48661A" w14:textId="77777777" w:rsidR="006575CC" w:rsidRDefault="009F2BF5">
            <w:pPr>
              <w:jc w:val="right"/>
              <w:rPr>
                <w:sz w:val="20"/>
                <w:szCs w:val="20"/>
              </w:rPr>
            </w:pPr>
            <w:r>
              <w:rPr>
                <w:sz w:val="20"/>
                <w:szCs w:val="20"/>
              </w:rPr>
              <w:t>0.01</w:t>
            </w:r>
          </w:p>
        </w:tc>
        <w:tc>
          <w:tcPr>
            <w:tcW w:w="1701" w:type="dxa"/>
          </w:tcPr>
          <w:p w14:paraId="7081BA1A" w14:textId="77777777" w:rsidR="006575CC" w:rsidRDefault="009F2BF5">
            <w:pPr>
              <w:jc w:val="right"/>
              <w:rPr>
                <w:sz w:val="20"/>
                <w:szCs w:val="20"/>
              </w:rPr>
            </w:pPr>
            <w:r>
              <w:rPr>
                <w:sz w:val="20"/>
                <w:szCs w:val="20"/>
              </w:rPr>
              <w:t>118.19</w:t>
            </w:r>
          </w:p>
        </w:tc>
      </w:tr>
      <w:tr w:rsidR="006575CC" w14:paraId="6AB9EB92" w14:textId="77777777">
        <w:trPr>
          <w:trHeight w:val="285"/>
          <w:jc w:val="center"/>
        </w:trPr>
        <w:tc>
          <w:tcPr>
            <w:tcW w:w="1360" w:type="dxa"/>
          </w:tcPr>
          <w:p w14:paraId="505ABC54" w14:textId="77777777" w:rsidR="006575CC" w:rsidRDefault="009F2BF5">
            <w:pPr>
              <w:rPr>
                <w:sz w:val="20"/>
                <w:szCs w:val="20"/>
              </w:rPr>
            </w:pPr>
            <w:r>
              <w:rPr>
                <w:sz w:val="20"/>
                <w:szCs w:val="20"/>
              </w:rPr>
              <w:t>Malaysia</w:t>
            </w:r>
          </w:p>
        </w:tc>
        <w:tc>
          <w:tcPr>
            <w:tcW w:w="1701" w:type="dxa"/>
          </w:tcPr>
          <w:p w14:paraId="43F7D1DC" w14:textId="77777777" w:rsidR="006575CC" w:rsidRDefault="009F2BF5">
            <w:pPr>
              <w:jc w:val="right"/>
              <w:rPr>
                <w:sz w:val="20"/>
                <w:szCs w:val="20"/>
              </w:rPr>
            </w:pPr>
            <w:r>
              <w:rPr>
                <w:sz w:val="20"/>
                <w:szCs w:val="20"/>
              </w:rPr>
              <w:t>22.9</w:t>
            </w:r>
          </w:p>
        </w:tc>
        <w:tc>
          <w:tcPr>
            <w:tcW w:w="1701" w:type="dxa"/>
          </w:tcPr>
          <w:p w14:paraId="153ABB9E" w14:textId="77777777" w:rsidR="006575CC" w:rsidRDefault="009F2BF5">
            <w:pPr>
              <w:jc w:val="right"/>
              <w:rPr>
                <w:sz w:val="20"/>
                <w:szCs w:val="20"/>
              </w:rPr>
            </w:pPr>
            <w:r>
              <w:rPr>
                <w:sz w:val="20"/>
                <w:szCs w:val="20"/>
              </w:rPr>
              <w:t>17.51</w:t>
            </w:r>
          </w:p>
        </w:tc>
        <w:tc>
          <w:tcPr>
            <w:tcW w:w="1701" w:type="dxa"/>
          </w:tcPr>
          <w:p w14:paraId="093C55F2" w14:textId="77777777" w:rsidR="006575CC" w:rsidRDefault="009F2BF5">
            <w:pPr>
              <w:jc w:val="right"/>
              <w:rPr>
                <w:sz w:val="20"/>
                <w:szCs w:val="20"/>
              </w:rPr>
            </w:pPr>
            <w:r>
              <w:rPr>
                <w:sz w:val="20"/>
                <w:szCs w:val="20"/>
              </w:rPr>
              <w:t>7.70</w:t>
            </w:r>
          </w:p>
        </w:tc>
      </w:tr>
      <w:tr w:rsidR="006575CC" w14:paraId="72D40B85" w14:textId="77777777">
        <w:trPr>
          <w:trHeight w:val="285"/>
          <w:jc w:val="center"/>
        </w:trPr>
        <w:tc>
          <w:tcPr>
            <w:tcW w:w="1360" w:type="dxa"/>
          </w:tcPr>
          <w:p w14:paraId="798F24E4" w14:textId="77777777" w:rsidR="006575CC" w:rsidRDefault="009F2BF5">
            <w:pPr>
              <w:rPr>
                <w:sz w:val="20"/>
                <w:szCs w:val="20"/>
              </w:rPr>
            </w:pPr>
            <w:r>
              <w:rPr>
                <w:sz w:val="20"/>
                <w:szCs w:val="20"/>
              </w:rPr>
              <w:t>Myanmar</w:t>
            </w:r>
          </w:p>
        </w:tc>
        <w:tc>
          <w:tcPr>
            <w:tcW w:w="1701" w:type="dxa"/>
          </w:tcPr>
          <w:p w14:paraId="03872B67" w14:textId="77777777" w:rsidR="006575CC" w:rsidRDefault="009F2BF5">
            <w:pPr>
              <w:jc w:val="right"/>
              <w:rPr>
                <w:sz w:val="20"/>
                <w:szCs w:val="20"/>
              </w:rPr>
            </w:pPr>
            <w:r>
              <w:rPr>
                <w:sz w:val="20"/>
                <w:szCs w:val="20"/>
              </w:rPr>
              <w:t>0.4</w:t>
            </w:r>
          </w:p>
        </w:tc>
        <w:tc>
          <w:tcPr>
            <w:tcW w:w="1701" w:type="dxa"/>
          </w:tcPr>
          <w:p w14:paraId="7398C989" w14:textId="77777777" w:rsidR="006575CC" w:rsidRDefault="009F2BF5">
            <w:pPr>
              <w:jc w:val="right"/>
              <w:rPr>
                <w:sz w:val="20"/>
                <w:szCs w:val="20"/>
              </w:rPr>
            </w:pPr>
            <w:r>
              <w:rPr>
                <w:sz w:val="20"/>
                <w:szCs w:val="20"/>
              </w:rPr>
              <w:t>0.30</w:t>
            </w:r>
          </w:p>
        </w:tc>
        <w:tc>
          <w:tcPr>
            <w:tcW w:w="1701" w:type="dxa"/>
          </w:tcPr>
          <w:p w14:paraId="477872AC" w14:textId="77777777" w:rsidR="006575CC" w:rsidRDefault="009F2BF5">
            <w:pPr>
              <w:jc w:val="right"/>
              <w:rPr>
                <w:sz w:val="20"/>
                <w:szCs w:val="20"/>
              </w:rPr>
            </w:pPr>
            <w:r>
              <w:rPr>
                <w:sz w:val="20"/>
                <w:szCs w:val="20"/>
              </w:rPr>
              <w:t>6.26</w:t>
            </w:r>
          </w:p>
        </w:tc>
      </w:tr>
      <w:tr w:rsidR="006575CC" w14:paraId="07A546C2" w14:textId="77777777">
        <w:trPr>
          <w:trHeight w:val="285"/>
          <w:jc w:val="center"/>
        </w:trPr>
        <w:tc>
          <w:tcPr>
            <w:tcW w:w="1360" w:type="dxa"/>
          </w:tcPr>
          <w:p w14:paraId="4BCAE1C1" w14:textId="77777777" w:rsidR="006575CC" w:rsidRDefault="009F2BF5">
            <w:pPr>
              <w:rPr>
                <w:sz w:val="20"/>
                <w:szCs w:val="20"/>
              </w:rPr>
            </w:pPr>
            <w:r>
              <w:rPr>
                <w:sz w:val="20"/>
                <w:szCs w:val="20"/>
              </w:rPr>
              <w:t>Philippines</w:t>
            </w:r>
          </w:p>
        </w:tc>
        <w:tc>
          <w:tcPr>
            <w:tcW w:w="1701" w:type="dxa"/>
          </w:tcPr>
          <w:p w14:paraId="41438D71" w14:textId="77777777" w:rsidR="006575CC" w:rsidRDefault="009F2BF5">
            <w:pPr>
              <w:jc w:val="right"/>
              <w:rPr>
                <w:sz w:val="20"/>
                <w:szCs w:val="20"/>
              </w:rPr>
            </w:pPr>
            <w:r>
              <w:rPr>
                <w:sz w:val="20"/>
                <w:szCs w:val="20"/>
              </w:rPr>
              <w:t>5.5</w:t>
            </w:r>
          </w:p>
        </w:tc>
        <w:tc>
          <w:tcPr>
            <w:tcW w:w="1701" w:type="dxa"/>
          </w:tcPr>
          <w:p w14:paraId="57960A35" w14:textId="77777777" w:rsidR="006575CC" w:rsidRDefault="009F2BF5">
            <w:pPr>
              <w:jc w:val="right"/>
              <w:rPr>
                <w:sz w:val="20"/>
                <w:szCs w:val="20"/>
              </w:rPr>
            </w:pPr>
            <w:r>
              <w:rPr>
                <w:sz w:val="20"/>
                <w:szCs w:val="20"/>
              </w:rPr>
              <w:t>4.19</w:t>
            </w:r>
          </w:p>
        </w:tc>
        <w:tc>
          <w:tcPr>
            <w:tcW w:w="1701" w:type="dxa"/>
          </w:tcPr>
          <w:p w14:paraId="32126B25" w14:textId="77777777" w:rsidR="006575CC" w:rsidRDefault="009F2BF5">
            <w:pPr>
              <w:jc w:val="right"/>
              <w:rPr>
                <w:sz w:val="20"/>
                <w:szCs w:val="20"/>
              </w:rPr>
            </w:pPr>
            <w:r>
              <w:rPr>
                <w:sz w:val="20"/>
                <w:szCs w:val="20"/>
              </w:rPr>
              <w:t>6.30</w:t>
            </w:r>
          </w:p>
        </w:tc>
      </w:tr>
      <w:tr w:rsidR="006575CC" w14:paraId="55A28B71" w14:textId="77777777">
        <w:trPr>
          <w:trHeight w:val="285"/>
          <w:jc w:val="center"/>
        </w:trPr>
        <w:tc>
          <w:tcPr>
            <w:tcW w:w="1360" w:type="dxa"/>
          </w:tcPr>
          <w:p w14:paraId="6A982B8F" w14:textId="77777777" w:rsidR="006575CC" w:rsidRDefault="009F2BF5">
            <w:pPr>
              <w:rPr>
                <w:sz w:val="20"/>
                <w:szCs w:val="20"/>
              </w:rPr>
            </w:pPr>
            <w:r>
              <w:rPr>
                <w:sz w:val="20"/>
                <w:szCs w:val="20"/>
              </w:rPr>
              <w:t>Singapore</w:t>
            </w:r>
          </w:p>
        </w:tc>
        <w:tc>
          <w:tcPr>
            <w:tcW w:w="1701" w:type="dxa"/>
          </w:tcPr>
          <w:p w14:paraId="6ACBF7CB" w14:textId="77777777" w:rsidR="006575CC" w:rsidRDefault="009F2BF5">
            <w:pPr>
              <w:jc w:val="right"/>
              <w:rPr>
                <w:sz w:val="20"/>
                <w:szCs w:val="20"/>
              </w:rPr>
            </w:pPr>
            <w:r>
              <w:rPr>
                <w:sz w:val="20"/>
                <w:szCs w:val="20"/>
              </w:rPr>
              <w:t>35.4</w:t>
            </w:r>
          </w:p>
        </w:tc>
        <w:tc>
          <w:tcPr>
            <w:tcW w:w="1701" w:type="dxa"/>
          </w:tcPr>
          <w:p w14:paraId="2DEE27B3" w14:textId="77777777" w:rsidR="006575CC" w:rsidRDefault="009F2BF5">
            <w:pPr>
              <w:jc w:val="right"/>
              <w:rPr>
                <w:sz w:val="20"/>
                <w:szCs w:val="20"/>
              </w:rPr>
            </w:pPr>
            <w:r>
              <w:rPr>
                <w:sz w:val="20"/>
                <w:szCs w:val="20"/>
              </w:rPr>
              <w:t>27.11</w:t>
            </w:r>
          </w:p>
        </w:tc>
        <w:tc>
          <w:tcPr>
            <w:tcW w:w="1701" w:type="dxa"/>
          </w:tcPr>
          <w:p w14:paraId="2475C8BC" w14:textId="77777777" w:rsidR="006575CC" w:rsidRDefault="009F2BF5">
            <w:pPr>
              <w:jc w:val="right"/>
              <w:rPr>
                <w:sz w:val="20"/>
                <w:szCs w:val="20"/>
              </w:rPr>
            </w:pPr>
            <w:r>
              <w:rPr>
                <w:sz w:val="20"/>
                <w:szCs w:val="20"/>
              </w:rPr>
              <w:t>-0.35</w:t>
            </w:r>
          </w:p>
        </w:tc>
      </w:tr>
      <w:tr w:rsidR="006575CC" w14:paraId="6AAFDDB9" w14:textId="77777777">
        <w:trPr>
          <w:trHeight w:val="285"/>
          <w:jc w:val="center"/>
        </w:trPr>
        <w:tc>
          <w:tcPr>
            <w:tcW w:w="1360" w:type="dxa"/>
          </w:tcPr>
          <w:p w14:paraId="57CC6243" w14:textId="77777777" w:rsidR="006575CC" w:rsidRDefault="009F2BF5">
            <w:pPr>
              <w:rPr>
                <w:sz w:val="20"/>
                <w:szCs w:val="20"/>
              </w:rPr>
            </w:pPr>
            <w:r>
              <w:rPr>
                <w:sz w:val="20"/>
                <w:szCs w:val="20"/>
              </w:rPr>
              <w:t>Thailand</w:t>
            </w:r>
          </w:p>
        </w:tc>
        <w:tc>
          <w:tcPr>
            <w:tcW w:w="1701" w:type="dxa"/>
          </w:tcPr>
          <w:p w14:paraId="56E299FA" w14:textId="77777777" w:rsidR="006575CC" w:rsidRDefault="009F2BF5">
            <w:pPr>
              <w:jc w:val="right"/>
              <w:rPr>
                <w:sz w:val="20"/>
                <w:szCs w:val="20"/>
              </w:rPr>
            </w:pPr>
            <w:r>
              <w:rPr>
                <w:sz w:val="20"/>
                <w:szCs w:val="20"/>
              </w:rPr>
              <w:t>35.2</w:t>
            </w:r>
          </w:p>
        </w:tc>
        <w:tc>
          <w:tcPr>
            <w:tcW w:w="1701" w:type="dxa"/>
          </w:tcPr>
          <w:p w14:paraId="4E39EC67" w14:textId="77777777" w:rsidR="006575CC" w:rsidRDefault="009F2BF5">
            <w:pPr>
              <w:jc w:val="right"/>
              <w:rPr>
                <w:sz w:val="20"/>
                <w:szCs w:val="20"/>
              </w:rPr>
            </w:pPr>
            <w:r>
              <w:rPr>
                <w:sz w:val="20"/>
                <w:szCs w:val="20"/>
              </w:rPr>
              <w:t>26.94</w:t>
            </w:r>
          </w:p>
        </w:tc>
        <w:tc>
          <w:tcPr>
            <w:tcW w:w="1701" w:type="dxa"/>
          </w:tcPr>
          <w:p w14:paraId="1F2F0A6E" w14:textId="77777777" w:rsidR="006575CC" w:rsidRDefault="009F2BF5">
            <w:pPr>
              <w:jc w:val="right"/>
              <w:rPr>
                <w:sz w:val="20"/>
                <w:szCs w:val="20"/>
              </w:rPr>
            </w:pPr>
            <w:r>
              <w:rPr>
                <w:sz w:val="20"/>
                <w:szCs w:val="20"/>
              </w:rPr>
              <w:t>2.07</w:t>
            </w:r>
          </w:p>
        </w:tc>
      </w:tr>
      <w:tr w:rsidR="006575CC" w14:paraId="59DB401C" w14:textId="77777777">
        <w:trPr>
          <w:trHeight w:val="285"/>
          <w:jc w:val="center"/>
        </w:trPr>
        <w:tc>
          <w:tcPr>
            <w:tcW w:w="1360" w:type="dxa"/>
          </w:tcPr>
          <w:p w14:paraId="77D9F226" w14:textId="77777777" w:rsidR="006575CC" w:rsidRDefault="009F2BF5">
            <w:pPr>
              <w:rPr>
                <w:sz w:val="20"/>
                <w:szCs w:val="20"/>
              </w:rPr>
            </w:pPr>
            <w:r>
              <w:rPr>
                <w:sz w:val="20"/>
                <w:szCs w:val="20"/>
              </w:rPr>
              <w:lastRenderedPageBreak/>
              <w:t>Viet Nam</w:t>
            </w:r>
          </w:p>
        </w:tc>
        <w:tc>
          <w:tcPr>
            <w:tcW w:w="1701" w:type="dxa"/>
          </w:tcPr>
          <w:p w14:paraId="7F2B83E0" w14:textId="77777777" w:rsidR="006575CC" w:rsidRDefault="009F2BF5">
            <w:pPr>
              <w:jc w:val="right"/>
              <w:rPr>
                <w:sz w:val="20"/>
                <w:szCs w:val="20"/>
              </w:rPr>
            </w:pPr>
            <w:r>
              <w:rPr>
                <w:sz w:val="20"/>
                <w:szCs w:val="20"/>
              </w:rPr>
              <w:t>13.8</w:t>
            </w:r>
          </w:p>
        </w:tc>
        <w:tc>
          <w:tcPr>
            <w:tcW w:w="1701" w:type="dxa"/>
          </w:tcPr>
          <w:p w14:paraId="436F341E" w14:textId="77777777" w:rsidR="006575CC" w:rsidRDefault="009F2BF5">
            <w:pPr>
              <w:jc w:val="right"/>
              <w:rPr>
                <w:sz w:val="20"/>
                <w:szCs w:val="20"/>
              </w:rPr>
            </w:pPr>
            <w:r>
              <w:rPr>
                <w:sz w:val="20"/>
                <w:szCs w:val="20"/>
              </w:rPr>
              <w:t>10.55</w:t>
            </w:r>
          </w:p>
        </w:tc>
        <w:tc>
          <w:tcPr>
            <w:tcW w:w="1701" w:type="dxa"/>
          </w:tcPr>
          <w:p w14:paraId="1C2F3399" w14:textId="77777777" w:rsidR="006575CC" w:rsidRDefault="009F2BF5">
            <w:pPr>
              <w:jc w:val="right"/>
              <w:rPr>
                <w:sz w:val="20"/>
                <w:szCs w:val="20"/>
              </w:rPr>
            </w:pPr>
            <w:r>
              <w:rPr>
                <w:sz w:val="20"/>
                <w:szCs w:val="20"/>
              </w:rPr>
              <w:t>-3.70</w:t>
            </w:r>
          </w:p>
        </w:tc>
      </w:tr>
      <w:tr w:rsidR="006575CC" w14:paraId="5016F3DC" w14:textId="77777777">
        <w:trPr>
          <w:trHeight w:val="285"/>
          <w:jc w:val="center"/>
        </w:trPr>
        <w:tc>
          <w:tcPr>
            <w:tcW w:w="1360" w:type="dxa"/>
          </w:tcPr>
          <w:p w14:paraId="4B374F9B" w14:textId="77777777" w:rsidR="006575CC" w:rsidRDefault="009F2BF5">
            <w:pPr>
              <w:rPr>
                <w:b/>
                <w:bCs/>
                <w:sz w:val="20"/>
                <w:szCs w:val="20"/>
              </w:rPr>
            </w:pPr>
            <w:r>
              <w:rPr>
                <w:b/>
                <w:bCs/>
                <w:sz w:val="20"/>
                <w:szCs w:val="20"/>
              </w:rPr>
              <w:t>ASEAN</w:t>
            </w:r>
          </w:p>
        </w:tc>
        <w:tc>
          <w:tcPr>
            <w:tcW w:w="1701" w:type="dxa"/>
          </w:tcPr>
          <w:p w14:paraId="23F5DA8E" w14:textId="77777777" w:rsidR="006575CC" w:rsidRDefault="009F2BF5">
            <w:pPr>
              <w:jc w:val="right"/>
              <w:rPr>
                <w:b/>
                <w:bCs/>
                <w:sz w:val="20"/>
                <w:szCs w:val="20"/>
              </w:rPr>
            </w:pPr>
            <w:r>
              <w:rPr>
                <w:b/>
                <w:bCs/>
                <w:sz w:val="20"/>
                <w:szCs w:val="20"/>
              </w:rPr>
              <w:t>130.7</w:t>
            </w:r>
          </w:p>
        </w:tc>
        <w:tc>
          <w:tcPr>
            <w:tcW w:w="1701" w:type="dxa"/>
          </w:tcPr>
          <w:p w14:paraId="29CE4CFC" w14:textId="77777777" w:rsidR="006575CC" w:rsidRDefault="009F2BF5">
            <w:pPr>
              <w:jc w:val="right"/>
              <w:rPr>
                <w:b/>
                <w:bCs/>
                <w:sz w:val="20"/>
                <w:szCs w:val="20"/>
              </w:rPr>
            </w:pPr>
            <w:r>
              <w:rPr>
                <w:b/>
                <w:bCs/>
                <w:sz w:val="20"/>
                <w:szCs w:val="20"/>
              </w:rPr>
              <w:t>100.00</w:t>
            </w:r>
          </w:p>
        </w:tc>
        <w:tc>
          <w:tcPr>
            <w:tcW w:w="1701" w:type="dxa"/>
          </w:tcPr>
          <w:p w14:paraId="6A6C1964" w14:textId="77777777" w:rsidR="006575CC" w:rsidRDefault="009F2BF5">
            <w:pPr>
              <w:jc w:val="right"/>
              <w:rPr>
                <w:b/>
                <w:bCs/>
                <w:sz w:val="20"/>
                <w:szCs w:val="20"/>
              </w:rPr>
            </w:pPr>
            <w:r>
              <w:rPr>
                <w:b/>
                <w:bCs/>
                <w:sz w:val="20"/>
                <w:szCs w:val="20"/>
              </w:rPr>
              <w:t>2.22</w:t>
            </w:r>
          </w:p>
        </w:tc>
      </w:tr>
    </w:tbl>
    <w:p w14:paraId="1B96134B" w14:textId="77777777" w:rsidR="006575CC" w:rsidRDefault="009F2BF5">
      <w:pPr>
        <w:rPr>
          <w:i/>
          <w:iCs/>
          <w:color w:val="C00000"/>
        </w:rPr>
      </w:pPr>
      <w:r>
        <w:rPr>
          <w:i/>
          <w:iCs/>
          <w:color w:val="C00000"/>
        </w:rPr>
        <w:tab/>
      </w:r>
      <w:r>
        <w:rPr>
          <w:i/>
          <w:iCs/>
          <w:color w:val="C00000"/>
        </w:rPr>
        <w:tab/>
      </w:r>
      <w:r>
        <w:rPr>
          <w:sz w:val="20"/>
          <w:szCs w:val="20"/>
        </w:rPr>
        <w:t>Nguồn: Thống kê ASEAN (ASEAN Stats)</w:t>
      </w:r>
    </w:p>
    <w:p w14:paraId="676EEBF3" w14:textId="13BB483C" w:rsidR="006575CC" w:rsidRDefault="009F2BF5">
      <w:pPr>
        <w:numPr>
          <w:ilvl w:val="0"/>
          <w:numId w:val="10"/>
        </w:numPr>
      </w:pPr>
      <w:r>
        <w:t xml:space="preserve">Bảng 5 cũng cho thấy tốc độ tăng trưởng ấn tượng của các quốc gia thành viên ASEAN có thị phần thương mại nhỏ hơn. Brunei Darussalam dẫn đầu với mức tăng trưởng bình quân hàng năm 223,88% trong giai đoạn 2013–2023, có thể nhờ các quan hệ đối tác trong lĩnh vực năng lượng. Lào xếp sau với mức tăng trưởng ấn tượng 118,19% trong cùng giai đoạn, mặc dù từ quy mô thương mại nhỏ. Campuchia duy trì đà tăng trưởng mạnh với mức 10,44%, trong khi Philippines và Myanmar ghi nhận mức </w:t>
      </w:r>
      <w:r w:rsidR="00F1697E">
        <w:t xml:space="preserve">tăng trưởng </w:t>
      </w:r>
      <w:r>
        <w:t>ổn định, lần lượt là 6,30% và 6,26%.</w:t>
      </w:r>
    </w:p>
    <w:p w14:paraId="255EC2F6" w14:textId="77777777" w:rsidR="006575CC" w:rsidRDefault="009F2BF5">
      <w:pPr>
        <w:numPr>
          <w:ilvl w:val="0"/>
          <w:numId w:val="10"/>
        </w:numPr>
      </w:pPr>
      <w:r>
        <w:t>Tiềm năng lợi ích cho các nền kinh tế này không chỉ nằm ở việc mở rộng thương mại hiện có mà còn ở phát triển các ngành chuyên niche đáp ứng nhu cầu chiến lược của GCC. Philippines thể hiện triển vọng đáng kể với mức tăng trưởng thương mại ổn định, định vị mình là đối tác quan trọng trong lĩnh vực dịch vụ và nông sản giá trị cao, đặc biệt mang đến cơ hội hợp tác nổi bật trong dịch vụ y tế, nơi nước này có thể đóng vai trò đối tác chủ chốt. Brunei Darussalam sở hữu tiềm năng lớn trong hợp tác ngân hàng Hồi giáo và dịch vụ tài chính, tận dụng thế mạnh về quy định và chuyên môn trong tài chính Hồi giáo. Ngành nông nghiệp ở Campuchia và Lào có thể cung cấp các mặt hàng chủ lực cho GCC, đóng góp đáng kể vào mục tiêu an ninh lương thực của khu vực, đồng thời mở rộng xuất khẩu hàng may mặc, giày dép và sản phẩm da để đa dạng hóa quan hệ kinh tế. Tương tự, Myanmar cũng mang lại cơ hội dài hạn nhờ nền tảng nông nghiệp rộng lớn, tạo tiềm năng chiến lược cho hợp tác an ninh lương thực mặc dù đang đối mặt với những thách thức hiện tại.</w:t>
      </w:r>
    </w:p>
    <w:p w14:paraId="3F6A309B" w14:textId="77777777" w:rsidR="006575CC" w:rsidRDefault="009F2BF5">
      <w:pPr>
        <w:numPr>
          <w:ilvl w:val="0"/>
          <w:numId w:val="10"/>
        </w:numPr>
      </w:pPr>
      <w:r>
        <w:t>Để đưa ra đánh giá toàn diện hơn, cần xem xét Malaysia và Singapore như những đối tác then chốt của ASEAN với GCC. Malaysia, với thị phần 17,51% trong thương mại ASEAN-GCC và các cuộc đàm phán FTA đang diễn ra, nên tận dụng mối quan hệ trưởng thành của mình bằng cách nâng cao giá trị chuỗi cung ứng thông qua hệ sinh thái halal hàng đầu thế giới như một cổng vào khu vực, vai trò dẫn đầu trong tài chính Hồi giáo cho các sáng kiến tài chính xanh, cùng năng lực sản xuất giá trị cao trong lĩnh vực điện tử và linh kiện năng lượng tái tạo, kết hợp với các quan hệ đối tác trong kinh tế số.</w:t>
      </w:r>
    </w:p>
    <w:p w14:paraId="67D790F5" w14:textId="77777777" w:rsidR="006575CC" w:rsidRDefault="009F2BF5">
      <w:pPr>
        <w:numPr>
          <w:ilvl w:val="0"/>
          <w:numId w:val="10"/>
        </w:numPr>
      </w:pPr>
      <w:r>
        <w:t>Singapore, chiếm thị phần thương mại ASEAN-GCC lớn nhất với 27,11% nhưng đang đối mặt với sự sụt giảm nhẹ trong thương mại (-0,35%), nên tái thúc đẩy quan hệ đối tác bằng cách tối đa hóa lợi ích từ các FTA hiện có, giải quyết các rào cản phi thuế quan, tiên phong các sáng kiến kinh tế số thông qua cơ sở hạ tầng tiên tiến, đồng thời tăng cường vai trò là trung tâm tài chính để kênh hóa đầu tư từ GCC vào các dự án bền vững của ASEAN.</w:t>
      </w:r>
    </w:p>
    <w:p w14:paraId="53E1015C" w14:textId="77777777" w:rsidR="006575CC" w:rsidRDefault="009F2BF5">
      <w:pPr>
        <w:numPr>
          <w:ilvl w:val="0"/>
          <w:numId w:val="10"/>
        </w:numPr>
      </w:pPr>
      <w:r>
        <w:lastRenderedPageBreak/>
        <w:t>Về phía GCC, UAE dẫn đầu với giá trị thương mại đạt 58,6 tỷ USD, chiếm 44,81% tổng thương mại ASEAN-GCC, phần nào nhấn mạnh vai trò của UAE như một cổng thương mại trong GCC, tận dụng cơ sở hạ tầng logistics và các khu vực tự do, tương tự như Singapore trong ASEAN. Saudi Arabia xếp sau với 39,5 tỷ USD, chủ yếu nhờ xuất khẩu dầu mỏ sang ASEAN. Những con số này phản ánh tính bổ sung của thương mại ASEAN-GCC, khi thị trường sản xuất và tiêu dùng của ASEAN phù hợp với xuất khẩu năng lượng của GCC – cần phân tích thêm các sản phẩm cụ thể.</w:t>
      </w:r>
    </w:p>
    <w:p w14:paraId="79FE1803" w14:textId="77777777" w:rsidR="006575CC" w:rsidRDefault="006575CC">
      <w:pPr>
        <w:rPr>
          <w:i/>
          <w:iCs/>
          <w:color w:val="C00000"/>
        </w:rPr>
      </w:pPr>
    </w:p>
    <w:p w14:paraId="23EC1304" w14:textId="77777777" w:rsidR="006575CC" w:rsidRDefault="009F2BF5">
      <w:pPr>
        <w:jc w:val="center"/>
        <w:rPr>
          <w:b/>
          <w:bCs/>
        </w:rPr>
      </w:pPr>
      <w:bookmarkStart w:id="14" w:name="_heading=h.3n2nopjup69a" w:colFirst="0" w:colLast="0"/>
      <w:bookmarkEnd w:id="14"/>
      <w:r>
        <w:rPr>
          <w:b/>
          <w:bCs/>
        </w:rPr>
        <w:t>Bảng 6. Thương mại song phương giữa các quốc gia GCC và các quốc gia thành viên ASEAN</w:t>
      </w:r>
    </w:p>
    <w:tbl>
      <w:tblPr>
        <w:tblStyle w:val="7"/>
        <w:tblW w:w="675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49"/>
        <w:gridCol w:w="1701"/>
        <w:gridCol w:w="1701"/>
        <w:gridCol w:w="1701"/>
      </w:tblGrid>
      <w:tr w:rsidR="006575CC" w14:paraId="6BF9471F" w14:textId="77777777">
        <w:trPr>
          <w:trHeight w:val="1040"/>
          <w:jc w:val="center"/>
        </w:trPr>
        <w:tc>
          <w:tcPr>
            <w:tcW w:w="1649" w:type="dxa"/>
            <w:vAlign w:val="center"/>
          </w:tcPr>
          <w:p w14:paraId="32A257E5" w14:textId="77777777" w:rsidR="006575CC" w:rsidRDefault="009F2BF5">
            <w:pPr>
              <w:jc w:val="center"/>
              <w:rPr>
                <w:b/>
                <w:bCs/>
                <w:sz w:val="20"/>
                <w:szCs w:val="20"/>
              </w:rPr>
            </w:pPr>
            <w:r>
              <w:rPr>
                <w:b/>
                <w:bCs/>
                <w:sz w:val="20"/>
                <w:szCs w:val="20"/>
              </w:rPr>
              <w:t>GCC</w:t>
            </w:r>
          </w:p>
        </w:tc>
        <w:tc>
          <w:tcPr>
            <w:tcW w:w="1701" w:type="dxa"/>
            <w:vAlign w:val="center"/>
          </w:tcPr>
          <w:p w14:paraId="1912C50F" w14:textId="77777777" w:rsidR="006575CC" w:rsidRDefault="009F2BF5">
            <w:pPr>
              <w:jc w:val="center"/>
              <w:rPr>
                <w:b/>
                <w:bCs/>
                <w:sz w:val="20"/>
                <w:szCs w:val="20"/>
              </w:rPr>
            </w:pPr>
            <w:r>
              <w:rPr>
                <w:b/>
                <w:bCs/>
                <w:sz w:val="20"/>
                <w:szCs w:val="20"/>
              </w:rPr>
              <w:t>Giá trị thương mại, 2023 (tỷ USD)</w:t>
            </w:r>
          </w:p>
        </w:tc>
        <w:tc>
          <w:tcPr>
            <w:tcW w:w="1701" w:type="dxa"/>
            <w:vAlign w:val="center"/>
          </w:tcPr>
          <w:p w14:paraId="001E9443" w14:textId="77777777" w:rsidR="006575CC" w:rsidRDefault="009F2BF5">
            <w:pPr>
              <w:jc w:val="center"/>
              <w:rPr>
                <w:b/>
                <w:bCs/>
                <w:sz w:val="20"/>
                <w:szCs w:val="20"/>
              </w:rPr>
            </w:pPr>
            <w:r>
              <w:rPr>
                <w:b/>
                <w:bCs/>
                <w:sz w:val="20"/>
                <w:szCs w:val="20"/>
              </w:rPr>
              <w:t>Tỷ lệ tổng kim ngạch thương mại của ASEAN với GCC, 2023 (%)</w:t>
            </w:r>
          </w:p>
        </w:tc>
        <w:tc>
          <w:tcPr>
            <w:tcW w:w="1701" w:type="dxa"/>
            <w:vAlign w:val="center"/>
          </w:tcPr>
          <w:p w14:paraId="302A9094" w14:textId="77777777" w:rsidR="006575CC" w:rsidRDefault="009F2BF5">
            <w:pPr>
              <w:jc w:val="center"/>
              <w:rPr>
                <w:b/>
                <w:bCs/>
                <w:sz w:val="20"/>
                <w:szCs w:val="20"/>
              </w:rPr>
            </w:pPr>
            <w:r>
              <w:rPr>
                <w:b/>
                <w:bCs/>
                <w:sz w:val="20"/>
                <w:szCs w:val="20"/>
              </w:rPr>
              <w:t>Tăng trưởng trung bình hàng năm 2013-2023 (%)</w:t>
            </w:r>
          </w:p>
        </w:tc>
      </w:tr>
      <w:tr w:rsidR="006575CC" w14:paraId="1D3A8B57" w14:textId="77777777">
        <w:trPr>
          <w:trHeight w:val="235"/>
          <w:jc w:val="center"/>
        </w:trPr>
        <w:tc>
          <w:tcPr>
            <w:tcW w:w="1649" w:type="dxa"/>
          </w:tcPr>
          <w:p w14:paraId="552A51D1" w14:textId="77777777" w:rsidR="006575CC" w:rsidRDefault="009F2BF5">
            <w:pPr>
              <w:rPr>
                <w:sz w:val="20"/>
                <w:szCs w:val="20"/>
              </w:rPr>
            </w:pPr>
            <w:r>
              <w:rPr>
                <w:sz w:val="20"/>
                <w:szCs w:val="20"/>
              </w:rPr>
              <w:t>Bahrain</w:t>
            </w:r>
          </w:p>
        </w:tc>
        <w:tc>
          <w:tcPr>
            <w:tcW w:w="1701" w:type="dxa"/>
          </w:tcPr>
          <w:p w14:paraId="5391ABF2" w14:textId="77777777" w:rsidR="006575CC" w:rsidRDefault="009F2BF5">
            <w:pPr>
              <w:jc w:val="center"/>
              <w:rPr>
                <w:sz w:val="20"/>
                <w:szCs w:val="20"/>
              </w:rPr>
            </w:pPr>
            <w:r>
              <w:rPr>
                <w:sz w:val="20"/>
                <w:szCs w:val="20"/>
              </w:rPr>
              <w:t>1.3</w:t>
            </w:r>
          </w:p>
        </w:tc>
        <w:tc>
          <w:tcPr>
            <w:tcW w:w="1701" w:type="dxa"/>
          </w:tcPr>
          <w:p w14:paraId="167E47C5" w14:textId="77777777" w:rsidR="006575CC" w:rsidRDefault="009F2BF5">
            <w:pPr>
              <w:jc w:val="right"/>
              <w:rPr>
                <w:sz w:val="20"/>
                <w:szCs w:val="20"/>
              </w:rPr>
            </w:pPr>
            <w:r>
              <w:rPr>
                <w:sz w:val="20"/>
                <w:szCs w:val="20"/>
              </w:rPr>
              <w:t>1.01</w:t>
            </w:r>
          </w:p>
        </w:tc>
        <w:tc>
          <w:tcPr>
            <w:tcW w:w="1701" w:type="dxa"/>
          </w:tcPr>
          <w:p w14:paraId="059416C7" w14:textId="77777777" w:rsidR="006575CC" w:rsidRDefault="009F2BF5">
            <w:pPr>
              <w:jc w:val="right"/>
              <w:rPr>
                <w:b/>
                <w:bCs/>
                <w:sz w:val="20"/>
                <w:szCs w:val="20"/>
              </w:rPr>
            </w:pPr>
            <w:r>
              <w:rPr>
                <w:b/>
                <w:bCs/>
                <w:sz w:val="20"/>
                <w:szCs w:val="20"/>
              </w:rPr>
              <w:t>2</w:t>
            </w:r>
          </w:p>
        </w:tc>
      </w:tr>
      <w:tr w:rsidR="006575CC" w14:paraId="0A8B03F0" w14:textId="77777777">
        <w:trPr>
          <w:trHeight w:val="290"/>
          <w:jc w:val="center"/>
        </w:trPr>
        <w:tc>
          <w:tcPr>
            <w:tcW w:w="1649" w:type="dxa"/>
          </w:tcPr>
          <w:p w14:paraId="6A00412D" w14:textId="77777777" w:rsidR="006575CC" w:rsidRDefault="009F2BF5">
            <w:pPr>
              <w:rPr>
                <w:sz w:val="20"/>
                <w:szCs w:val="20"/>
              </w:rPr>
            </w:pPr>
            <w:r>
              <w:rPr>
                <w:sz w:val="20"/>
                <w:szCs w:val="20"/>
              </w:rPr>
              <w:t>Kuwait</w:t>
            </w:r>
          </w:p>
        </w:tc>
        <w:tc>
          <w:tcPr>
            <w:tcW w:w="1701" w:type="dxa"/>
          </w:tcPr>
          <w:p w14:paraId="26D13A82" w14:textId="77777777" w:rsidR="006575CC" w:rsidRDefault="009F2BF5">
            <w:pPr>
              <w:jc w:val="center"/>
              <w:rPr>
                <w:sz w:val="20"/>
                <w:szCs w:val="20"/>
              </w:rPr>
            </w:pPr>
            <w:r>
              <w:rPr>
                <w:sz w:val="20"/>
                <w:szCs w:val="20"/>
              </w:rPr>
              <w:t>11.0</w:t>
            </w:r>
          </w:p>
        </w:tc>
        <w:tc>
          <w:tcPr>
            <w:tcW w:w="1701" w:type="dxa"/>
          </w:tcPr>
          <w:p w14:paraId="43BE5AED" w14:textId="77777777" w:rsidR="006575CC" w:rsidRDefault="009F2BF5">
            <w:pPr>
              <w:jc w:val="right"/>
              <w:rPr>
                <w:sz w:val="20"/>
                <w:szCs w:val="20"/>
              </w:rPr>
            </w:pPr>
            <w:r>
              <w:rPr>
                <w:sz w:val="20"/>
                <w:szCs w:val="20"/>
              </w:rPr>
              <w:t>8.38</w:t>
            </w:r>
          </w:p>
        </w:tc>
        <w:tc>
          <w:tcPr>
            <w:tcW w:w="1701" w:type="dxa"/>
          </w:tcPr>
          <w:p w14:paraId="78B31DCC" w14:textId="77777777" w:rsidR="006575CC" w:rsidRDefault="009F2BF5">
            <w:pPr>
              <w:jc w:val="right"/>
              <w:rPr>
                <w:b/>
                <w:bCs/>
                <w:sz w:val="20"/>
                <w:szCs w:val="20"/>
              </w:rPr>
            </w:pPr>
            <w:r>
              <w:rPr>
                <w:b/>
                <w:bCs/>
                <w:sz w:val="20"/>
                <w:szCs w:val="20"/>
              </w:rPr>
              <w:t>6</w:t>
            </w:r>
          </w:p>
        </w:tc>
      </w:tr>
      <w:tr w:rsidR="006575CC" w14:paraId="72924AA0" w14:textId="77777777">
        <w:trPr>
          <w:trHeight w:val="290"/>
          <w:jc w:val="center"/>
        </w:trPr>
        <w:tc>
          <w:tcPr>
            <w:tcW w:w="1649" w:type="dxa"/>
          </w:tcPr>
          <w:p w14:paraId="1222C629" w14:textId="77777777" w:rsidR="006575CC" w:rsidRDefault="009F2BF5">
            <w:pPr>
              <w:rPr>
                <w:sz w:val="20"/>
                <w:szCs w:val="20"/>
              </w:rPr>
            </w:pPr>
            <w:r>
              <w:rPr>
                <w:sz w:val="20"/>
                <w:szCs w:val="20"/>
              </w:rPr>
              <w:t>Oman</w:t>
            </w:r>
          </w:p>
        </w:tc>
        <w:tc>
          <w:tcPr>
            <w:tcW w:w="1701" w:type="dxa"/>
          </w:tcPr>
          <w:p w14:paraId="5B18E0AB" w14:textId="77777777" w:rsidR="006575CC" w:rsidRDefault="009F2BF5">
            <w:pPr>
              <w:jc w:val="center"/>
              <w:rPr>
                <w:sz w:val="20"/>
                <w:szCs w:val="20"/>
              </w:rPr>
            </w:pPr>
            <w:r>
              <w:rPr>
                <w:sz w:val="20"/>
                <w:szCs w:val="20"/>
              </w:rPr>
              <w:t>6.2</w:t>
            </w:r>
          </w:p>
        </w:tc>
        <w:tc>
          <w:tcPr>
            <w:tcW w:w="1701" w:type="dxa"/>
          </w:tcPr>
          <w:p w14:paraId="646FEECA" w14:textId="77777777" w:rsidR="006575CC" w:rsidRDefault="009F2BF5">
            <w:pPr>
              <w:jc w:val="right"/>
              <w:rPr>
                <w:sz w:val="20"/>
                <w:szCs w:val="20"/>
              </w:rPr>
            </w:pPr>
            <w:r>
              <w:rPr>
                <w:sz w:val="20"/>
                <w:szCs w:val="20"/>
              </w:rPr>
              <w:t>4.71</w:t>
            </w:r>
          </w:p>
        </w:tc>
        <w:tc>
          <w:tcPr>
            <w:tcW w:w="1701" w:type="dxa"/>
          </w:tcPr>
          <w:p w14:paraId="3528A016" w14:textId="77777777" w:rsidR="006575CC" w:rsidRDefault="009F2BF5">
            <w:pPr>
              <w:jc w:val="right"/>
              <w:rPr>
                <w:b/>
                <w:bCs/>
                <w:sz w:val="20"/>
                <w:szCs w:val="20"/>
              </w:rPr>
            </w:pPr>
            <w:r>
              <w:rPr>
                <w:b/>
                <w:bCs/>
                <w:sz w:val="20"/>
                <w:szCs w:val="20"/>
              </w:rPr>
              <w:t>5</w:t>
            </w:r>
          </w:p>
        </w:tc>
      </w:tr>
      <w:tr w:rsidR="006575CC" w14:paraId="7444CB80" w14:textId="77777777">
        <w:trPr>
          <w:trHeight w:val="290"/>
          <w:jc w:val="center"/>
        </w:trPr>
        <w:tc>
          <w:tcPr>
            <w:tcW w:w="1649" w:type="dxa"/>
          </w:tcPr>
          <w:p w14:paraId="7145C5C5" w14:textId="77777777" w:rsidR="006575CC" w:rsidRDefault="009F2BF5">
            <w:pPr>
              <w:rPr>
                <w:sz w:val="20"/>
                <w:szCs w:val="20"/>
              </w:rPr>
            </w:pPr>
            <w:r>
              <w:rPr>
                <w:sz w:val="20"/>
                <w:szCs w:val="20"/>
              </w:rPr>
              <w:t>Qatar</w:t>
            </w:r>
          </w:p>
        </w:tc>
        <w:tc>
          <w:tcPr>
            <w:tcW w:w="1701" w:type="dxa"/>
          </w:tcPr>
          <w:p w14:paraId="1CC11B44" w14:textId="77777777" w:rsidR="006575CC" w:rsidRDefault="009F2BF5">
            <w:pPr>
              <w:jc w:val="center"/>
              <w:rPr>
                <w:sz w:val="20"/>
                <w:szCs w:val="20"/>
              </w:rPr>
            </w:pPr>
            <w:r>
              <w:rPr>
                <w:sz w:val="20"/>
                <w:szCs w:val="20"/>
              </w:rPr>
              <w:t>14.2</w:t>
            </w:r>
          </w:p>
        </w:tc>
        <w:tc>
          <w:tcPr>
            <w:tcW w:w="1701" w:type="dxa"/>
          </w:tcPr>
          <w:p w14:paraId="373FCD8E" w14:textId="77777777" w:rsidR="006575CC" w:rsidRDefault="009F2BF5">
            <w:pPr>
              <w:jc w:val="right"/>
              <w:rPr>
                <w:sz w:val="20"/>
                <w:szCs w:val="20"/>
              </w:rPr>
            </w:pPr>
            <w:r>
              <w:rPr>
                <w:sz w:val="20"/>
                <w:szCs w:val="20"/>
              </w:rPr>
              <w:t>10.87</w:t>
            </w:r>
          </w:p>
        </w:tc>
        <w:tc>
          <w:tcPr>
            <w:tcW w:w="1701" w:type="dxa"/>
          </w:tcPr>
          <w:p w14:paraId="25BD8FDD" w14:textId="77777777" w:rsidR="006575CC" w:rsidRDefault="009F2BF5">
            <w:pPr>
              <w:jc w:val="right"/>
              <w:rPr>
                <w:b/>
                <w:bCs/>
                <w:sz w:val="20"/>
                <w:szCs w:val="20"/>
              </w:rPr>
            </w:pPr>
            <w:r>
              <w:rPr>
                <w:b/>
                <w:bCs/>
                <w:sz w:val="20"/>
                <w:szCs w:val="20"/>
              </w:rPr>
              <w:t>2</w:t>
            </w:r>
          </w:p>
        </w:tc>
      </w:tr>
      <w:tr w:rsidR="006575CC" w14:paraId="3502D71D" w14:textId="77777777">
        <w:trPr>
          <w:trHeight w:val="290"/>
          <w:jc w:val="center"/>
        </w:trPr>
        <w:tc>
          <w:tcPr>
            <w:tcW w:w="1649" w:type="dxa"/>
          </w:tcPr>
          <w:p w14:paraId="0E3FF2E0" w14:textId="77777777" w:rsidR="006575CC" w:rsidRDefault="009F2BF5">
            <w:pPr>
              <w:rPr>
                <w:sz w:val="20"/>
                <w:szCs w:val="20"/>
              </w:rPr>
            </w:pPr>
            <w:r>
              <w:rPr>
                <w:sz w:val="20"/>
                <w:szCs w:val="20"/>
              </w:rPr>
              <w:t>Saudi Arabia</w:t>
            </w:r>
          </w:p>
        </w:tc>
        <w:tc>
          <w:tcPr>
            <w:tcW w:w="1701" w:type="dxa"/>
          </w:tcPr>
          <w:p w14:paraId="46553B24" w14:textId="77777777" w:rsidR="006575CC" w:rsidRDefault="009F2BF5">
            <w:pPr>
              <w:jc w:val="center"/>
              <w:rPr>
                <w:sz w:val="20"/>
                <w:szCs w:val="20"/>
              </w:rPr>
            </w:pPr>
            <w:r>
              <w:rPr>
                <w:sz w:val="20"/>
                <w:szCs w:val="20"/>
              </w:rPr>
              <w:t>39.5</w:t>
            </w:r>
          </w:p>
        </w:tc>
        <w:tc>
          <w:tcPr>
            <w:tcW w:w="1701" w:type="dxa"/>
          </w:tcPr>
          <w:p w14:paraId="4ECA9DA8" w14:textId="77777777" w:rsidR="006575CC" w:rsidRDefault="009F2BF5">
            <w:pPr>
              <w:jc w:val="right"/>
              <w:rPr>
                <w:sz w:val="20"/>
                <w:szCs w:val="20"/>
              </w:rPr>
            </w:pPr>
            <w:r>
              <w:rPr>
                <w:sz w:val="20"/>
                <w:szCs w:val="20"/>
              </w:rPr>
              <w:t>30.21</w:t>
            </w:r>
          </w:p>
        </w:tc>
        <w:tc>
          <w:tcPr>
            <w:tcW w:w="1701" w:type="dxa"/>
          </w:tcPr>
          <w:p w14:paraId="4E0F1E1B" w14:textId="77777777" w:rsidR="006575CC" w:rsidRDefault="009F2BF5">
            <w:pPr>
              <w:jc w:val="right"/>
              <w:rPr>
                <w:b/>
                <w:bCs/>
                <w:sz w:val="20"/>
                <w:szCs w:val="20"/>
              </w:rPr>
            </w:pPr>
            <w:r>
              <w:rPr>
                <w:b/>
                <w:bCs/>
                <w:sz w:val="20"/>
                <w:szCs w:val="20"/>
              </w:rPr>
              <w:t>3</w:t>
            </w:r>
          </w:p>
        </w:tc>
      </w:tr>
      <w:tr w:rsidR="006575CC" w14:paraId="5472625E" w14:textId="77777777">
        <w:trPr>
          <w:trHeight w:val="290"/>
          <w:jc w:val="center"/>
        </w:trPr>
        <w:tc>
          <w:tcPr>
            <w:tcW w:w="1649" w:type="dxa"/>
          </w:tcPr>
          <w:p w14:paraId="49033D30" w14:textId="77777777" w:rsidR="006575CC" w:rsidRDefault="009F2BF5">
            <w:pPr>
              <w:rPr>
                <w:sz w:val="20"/>
                <w:szCs w:val="20"/>
              </w:rPr>
            </w:pPr>
            <w:r>
              <w:rPr>
                <w:sz w:val="20"/>
                <w:szCs w:val="20"/>
              </w:rPr>
              <w:t>UAE</w:t>
            </w:r>
          </w:p>
        </w:tc>
        <w:tc>
          <w:tcPr>
            <w:tcW w:w="1701" w:type="dxa"/>
          </w:tcPr>
          <w:p w14:paraId="1C4F497C" w14:textId="77777777" w:rsidR="006575CC" w:rsidRDefault="009F2BF5">
            <w:pPr>
              <w:jc w:val="center"/>
              <w:rPr>
                <w:sz w:val="20"/>
                <w:szCs w:val="20"/>
              </w:rPr>
            </w:pPr>
            <w:r>
              <w:rPr>
                <w:sz w:val="20"/>
                <w:szCs w:val="20"/>
              </w:rPr>
              <w:t>58.6</w:t>
            </w:r>
          </w:p>
        </w:tc>
        <w:tc>
          <w:tcPr>
            <w:tcW w:w="1701" w:type="dxa"/>
          </w:tcPr>
          <w:p w14:paraId="28C2D4DE" w14:textId="77777777" w:rsidR="006575CC" w:rsidRDefault="009F2BF5">
            <w:pPr>
              <w:jc w:val="right"/>
              <w:rPr>
                <w:sz w:val="20"/>
                <w:szCs w:val="20"/>
              </w:rPr>
            </w:pPr>
            <w:r>
              <w:rPr>
                <w:sz w:val="20"/>
                <w:szCs w:val="20"/>
              </w:rPr>
              <w:t>44.81</w:t>
            </w:r>
          </w:p>
        </w:tc>
        <w:tc>
          <w:tcPr>
            <w:tcW w:w="1701" w:type="dxa"/>
          </w:tcPr>
          <w:p w14:paraId="556D12AD" w14:textId="77777777" w:rsidR="006575CC" w:rsidRDefault="009F2BF5">
            <w:pPr>
              <w:jc w:val="right"/>
              <w:rPr>
                <w:b/>
                <w:bCs/>
                <w:sz w:val="20"/>
                <w:szCs w:val="20"/>
              </w:rPr>
            </w:pPr>
            <w:r>
              <w:rPr>
                <w:b/>
                <w:bCs/>
                <w:sz w:val="20"/>
                <w:szCs w:val="20"/>
              </w:rPr>
              <w:t>2</w:t>
            </w:r>
          </w:p>
        </w:tc>
      </w:tr>
      <w:tr w:rsidR="006575CC" w14:paraId="445795DD" w14:textId="77777777">
        <w:trPr>
          <w:trHeight w:val="290"/>
          <w:jc w:val="center"/>
        </w:trPr>
        <w:tc>
          <w:tcPr>
            <w:tcW w:w="1649" w:type="dxa"/>
          </w:tcPr>
          <w:p w14:paraId="4334A317" w14:textId="77777777" w:rsidR="006575CC" w:rsidRDefault="009F2BF5">
            <w:pPr>
              <w:rPr>
                <w:b/>
                <w:bCs/>
                <w:sz w:val="20"/>
                <w:szCs w:val="20"/>
              </w:rPr>
            </w:pPr>
            <w:r>
              <w:rPr>
                <w:b/>
                <w:bCs/>
                <w:sz w:val="20"/>
                <w:szCs w:val="20"/>
              </w:rPr>
              <w:t>GCC Total</w:t>
            </w:r>
          </w:p>
        </w:tc>
        <w:tc>
          <w:tcPr>
            <w:tcW w:w="1701" w:type="dxa"/>
          </w:tcPr>
          <w:p w14:paraId="55617542" w14:textId="77777777" w:rsidR="006575CC" w:rsidRDefault="009F2BF5">
            <w:pPr>
              <w:jc w:val="center"/>
              <w:rPr>
                <w:b/>
                <w:bCs/>
                <w:sz w:val="20"/>
                <w:szCs w:val="20"/>
              </w:rPr>
            </w:pPr>
            <w:r>
              <w:rPr>
                <w:b/>
                <w:bCs/>
                <w:sz w:val="20"/>
                <w:szCs w:val="20"/>
              </w:rPr>
              <w:t>130.7</w:t>
            </w:r>
          </w:p>
        </w:tc>
        <w:tc>
          <w:tcPr>
            <w:tcW w:w="1701" w:type="dxa"/>
          </w:tcPr>
          <w:p w14:paraId="16DC3EE5" w14:textId="77777777" w:rsidR="006575CC" w:rsidRDefault="009F2BF5">
            <w:pPr>
              <w:jc w:val="right"/>
              <w:rPr>
                <w:b/>
                <w:bCs/>
                <w:sz w:val="20"/>
                <w:szCs w:val="20"/>
              </w:rPr>
            </w:pPr>
            <w:r>
              <w:rPr>
                <w:b/>
                <w:bCs/>
                <w:sz w:val="20"/>
                <w:szCs w:val="20"/>
              </w:rPr>
              <w:t>100.00</w:t>
            </w:r>
          </w:p>
        </w:tc>
        <w:tc>
          <w:tcPr>
            <w:tcW w:w="1701" w:type="dxa"/>
          </w:tcPr>
          <w:p w14:paraId="1A658979" w14:textId="77777777" w:rsidR="006575CC" w:rsidRDefault="009F2BF5">
            <w:pPr>
              <w:jc w:val="right"/>
              <w:rPr>
                <w:b/>
                <w:bCs/>
                <w:sz w:val="20"/>
                <w:szCs w:val="20"/>
              </w:rPr>
            </w:pPr>
            <w:r>
              <w:rPr>
                <w:b/>
                <w:bCs/>
                <w:sz w:val="20"/>
                <w:szCs w:val="20"/>
              </w:rPr>
              <w:t>2.22</w:t>
            </w:r>
          </w:p>
        </w:tc>
      </w:tr>
    </w:tbl>
    <w:p w14:paraId="6F1D0DE2" w14:textId="77777777" w:rsidR="006575CC" w:rsidRDefault="009F2BF5">
      <w:pPr>
        <w:rPr>
          <w:sz w:val="20"/>
          <w:szCs w:val="20"/>
        </w:rPr>
      </w:pPr>
      <w:r>
        <w:rPr>
          <w:sz w:val="20"/>
          <w:szCs w:val="20"/>
        </w:rPr>
        <w:t>Nguồn: Thống kê ASEAN (ASEAN Stats)</w:t>
      </w:r>
    </w:p>
    <w:p w14:paraId="48AA85B2" w14:textId="77777777" w:rsidR="006575CC" w:rsidRDefault="009F2BF5">
      <w:pPr>
        <w:numPr>
          <w:ilvl w:val="0"/>
          <w:numId w:val="10"/>
        </w:numPr>
      </w:pPr>
      <w:r>
        <w:t>Như được thể hiện trong Bảng 7, dòng vốn FDI vào ASEAN đạt 234 tỷ USD trong năm 2023, trong đó Hoa Kỳ là nhà đầu tư lớn nhất với 74,98 tỷ USD. Điều này nhấn mạnh sức mạnh bền vững của quan hệ kinh tế Mỹ-ASEAN, chủ yếu nhờ các khoản đầu tư vào công nghệ, sản xuất và dịch vụ. Liên minh châu Âu và Trung Quốc đứng sau, phản ánh sự quan tâm của họ đối với thị trường tiêu dùng đang tăng trưởng của ASEAN và vị trí chiến lược trong chuỗi cung ứng toàn cầu.</w:t>
      </w:r>
    </w:p>
    <w:p w14:paraId="50D7DB66" w14:textId="77777777" w:rsidR="006575CC" w:rsidRDefault="009F2BF5">
      <w:pPr>
        <w:numPr>
          <w:ilvl w:val="0"/>
          <w:numId w:val="10"/>
        </w:numPr>
      </w:pPr>
      <w:r>
        <w:lastRenderedPageBreak/>
        <w:t>Đầu tư nội khối ASEAN vẫn giữ vai trò quan trọng, với tổng giá trị đạt 22,36 tỷ USD trong năm 2023, thể hiện cam kết của khu vực trong việc tăng cường hội nhập kinh tế. Nhật Bản, Hồng Kông và Hàn Quốc cũng là những nhà đầu tư đáng chú ý, phản ánh tính đa dạng của bức tranh đầu tư vào ASEAN. Dòng vốn FDI từ các nước GCC vào ASEAN đạt tổng cộng 0,2017 tỷ USD trong năm 2023, trong đó Kuwait dẫn đầu với 0,0823 tỷ USD, tiếp theo là Saudi Arabia và UAE. Mặc dù quy mô còn khiêm tốn, những khoản đầu tư này cho thấy sự quan tâm ngày càng tăng của các nước GCC đối với các cơ hội tại ASEAN.</w:t>
      </w:r>
    </w:p>
    <w:p w14:paraId="0408BAD0" w14:textId="77777777" w:rsidR="006575CC" w:rsidRDefault="009F2BF5">
      <w:pPr>
        <w:jc w:val="center"/>
        <w:rPr>
          <w:b/>
          <w:bCs/>
          <w:i/>
          <w:iCs/>
          <w:color w:val="C00000"/>
          <w:sz w:val="32"/>
          <w:szCs w:val="32"/>
          <w:u w:val="single"/>
        </w:rPr>
      </w:pPr>
      <w:bookmarkStart w:id="15" w:name="_heading=h.u2orwvsk8aar" w:colFirst="0" w:colLast="0"/>
      <w:bookmarkEnd w:id="15"/>
      <w:r>
        <w:rPr>
          <w:b/>
          <w:bCs/>
        </w:rPr>
        <w:t>Bảng 7. Dòng vốn FDI vào ASEAN theo quốc gia nguồn, 2023</w:t>
      </w:r>
    </w:p>
    <w:tbl>
      <w:tblPr>
        <w:tblStyle w:val="6"/>
        <w:tblW w:w="466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35"/>
        <w:gridCol w:w="1920"/>
        <w:gridCol w:w="2010"/>
      </w:tblGrid>
      <w:tr w:rsidR="006575CC" w14:paraId="26E4CA91" w14:textId="77777777">
        <w:trPr>
          <w:trHeight w:val="656"/>
          <w:jc w:val="center"/>
        </w:trPr>
        <w:tc>
          <w:tcPr>
            <w:tcW w:w="735" w:type="dxa"/>
            <w:vAlign w:val="center"/>
          </w:tcPr>
          <w:p w14:paraId="5DF38079" w14:textId="77777777" w:rsidR="006575CC" w:rsidRDefault="009F2BF5">
            <w:pPr>
              <w:jc w:val="center"/>
              <w:rPr>
                <w:b/>
                <w:bCs/>
                <w:sz w:val="20"/>
                <w:szCs w:val="20"/>
              </w:rPr>
            </w:pPr>
            <w:r>
              <w:rPr>
                <w:b/>
                <w:bCs/>
                <w:sz w:val="20"/>
                <w:szCs w:val="20"/>
              </w:rPr>
              <w:t>STT</w:t>
            </w:r>
          </w:p>
        </w:tc>
        <w:tc>
          <w:tcPr>
            <w:tcW w:w="1920" w:type="dxa"/>
            <w:vAlign w:val="center"/>
          </w:tcPr>
          <w:p w14:paraId="619483A9" w14:textId="77777777" w:rsidR="006575CC" w:rsidRDefault="009F2BF5">
            <w:pPr>
              <w:jc w:val="center"/>
              <w:rPr>
                <w:b/>
                <w:bCs/>
                <w:sz w:val="20"/>
                <w:szCs w:val="20"/>
              </w:rPr>
            </w:pPr>
            <w:r>
              <w:rPr>
                <w:b/>
                <w:bCs/>
                <w:sz w:val="20"/>
                <w:szCs w:val="20"/>
              </w:rPr>
              <w:t>Quốc gia nguồn</w:t>
            </w:r>
          </w:p>
        </w:tc>
        <w:tc>
          <w:tcPr>
            <w:tcW w:w="2010" w:type="dxa"/>
            <w:vAlign w:val="center"/>
          </w:tcPr>
          <w:p w14:paraId="198BE534" w14:textId="77777777" w:rsidR="006575CC" w:rsidRDefault="009F2BF5">
            <w:pPr>
              <w:jc w:val="center"/>
              <w:rPr>
                <w:b/>
                <w:bCs/>
                <w:sz w:val="20"/>
                <w:szCs w:val="20"/>
              </w:rPr>
            </w:pPr>
            <w:r>
              <w:rPr>
                <w:b/>
                <w:bCs/>
                <w:sz w:val="20"/>
                <w:szCs w:val="20"/>
              </w:rPr>
              <w:t>FDI vào (tỷ USD)</w:t>
            </w:r>
          </w:p>
        </w:tc>
      </w:tr>
      <w:tr w:rsidR="006575CC" w14:paraId="3467AF63" w14:textId="77777777">
        <w:trPr>
          <w:trHeight w:val="290"/>
          <w:jc w:val="center"/>
        </w:trPr>
        <w:tc>
          <w:tcPr>
            <w:tcW w:w="735" w:type="dxa"/>
          </w:tcPr>
          <w:p w14:paraId="323BEBE0" w14:textId="77777777" w:rsidR="006575CC" w:rsidRDefault="009F2BF5">
            <w:pPr>
              <w:rPr>
                <w:sz w:val="20"/>
                <w:szCs w:val="20"/>
              </w:rPr>
            </w:pPr>
            <w:r>
              <w:rPr>
                <w:sz w:val="20"/>
                <w:szCs w:val="20"/>
              </w:rPr>
              <w:t>-</w:t>
            </w:r>
          </w:p>
        </w:tc>
        <w:tc>
          <w:tcPr>
            <w:tcW w:w="1920" w:type="dxa"/>
          </w:tcPr>
          <w:p w14:paraId="3FD4C9FD" w14:textId="77777777" w:rsidR="006575CC" w:rsidRDefault="009F2BF5">
            <w:pPr>
              <w:rPr>
                <w:sz w:val="20"/>
                <w:szCs w:val="20"/>
              </w:rPr>
            </w:pPr>
            <w:r>
              <w:rPr>
                <w:sz w:val="20"/>
                <w:szCs w:val="20"/>
              </w:rPr>
              <w:t>TỔNG</w:t>
            </w:r>
          </w:p>
        </w:tc>
        <w:tc>
          <w:tcPr>
            <w:tcW w:w="2010" w:type="dxa"/>
          </w:tcPr>
          <w:p w14:paraId="6155D20A" w14:textId="77777777" w:rsidR="006575CC" w:rsidRDefault="009F2BF5">
            <w:pPr>
              <w:jc w:val="right"/>
              <w:rPr>
                <w:sz w:val="20"/>
                <w:szCs w:val="20"/>
              </w:rPr>
            </w:pPr>
            <w:r>
              <w:rPr>
                <w:sz w:val="20"/>
                <w:szCs w:val="20"/>
              </w:rPr>
              <w:t>234.01</w:t>
            </w:r>
          </w:p>
        </w:tc>
      </w:tr>
      <w:tr w:rsidR="006575CC" w14:paraId="3D3C3727" w14:textId="77777777">
        <w:trPr>
          <w:trHeight w:val="290"/>
          <w:jc w:val="center"/>
        </w:trPr>
        <w:tc>
          <w:tcPr>
            <w:tcW w:w="735" w:type="dxa"/>
          </w:tcPr>
          <w:p w14:paraId="08C03612" w14:textId="77777777" w:rsidR="006575CC" w:rsidRDefault="009F2BF5">
            <w:pPr>
              <w:jc w:val="right"/>
              <w:rPr>
                <w:sz w:val="20"/>
                <w:szCs w:val="20"/>
              </w:rPr>
            </w:pPr>
            <w:r>
              <w:rPr>
                <w:sz w:val="20"/>
                <w:szCs w:val="20"/>
              </w:rPr>
              <w:t>1</w:t>
            </w:r>
          </w:p>
        </w:tc>
        <w:tc>
          <w:tcPr>
            <w:tcW w:w="1920" w:type="dxa"/>
          </w:tcPr>
          <w:p w14:paraId="50E7007E" w14:textId="77777777" w:rsidR="006575CC" w:rsidRDefault="009F2BF5">
            <w:pPr>
              <w:rPr>
                <w:sz w:val="20"/>
                <w:szCs w:val="20"/>
              </w:rPr>
            </w:pPr>
            <w:r>
              <w:rPr>
                <w:sz w:val="20"/>
                <w:szCs w:val="20"/>
              </w:rPr>
              <w:t>Hoa Kỳ</w:t>
            </w:r>
          </w:p>
        </w:tc>
        <w:tc>
          <w:tcPr>
            <w:tcW w:w="2010" w:type="dxa"/>
          </w:tcPr>
          <w:p w14:paraId="490AC534" w14:textId="77777777" w:rsidR="006575CC" w:rsidRDefault="009F2BF5">
            <w:pPr>
              <w:jc w:val="right"/>
              <w:rPr>
                <w:sz w:val="20"/>
                <w:szCs w:val="20"/>
              </w:rPr>
            </w:pPr>
            <w:r>
              <w:rPr>
                <w:sz w:val="20"/>
                <w:szCs w:val="20"/>
              </w:rPr>
              <w:t>74.98</w:t>
            </w:r>
          </w:p>
        </w:tc>
      </w:tr>
      <w:tr w:rsidR="006575CC" w14:paraId="72EA6560" w14:textId="77777777">
        <w:trPr>
          <w:trHeight w:val="290"/>
          <w:jc w:val="center"/>
        </w:trPr>
        <w:tc>
          <w:tcPr>
            <w:tcW w:w="735" w:type="dxa"/>
          </w:tcPr>
          <w:p w14:paraId="4A1CB626" w14:textId="77777777" w:rsidR="006575CC" w:rsidRDefault="009F2BF5">
            <w:pPr>
              <w:jc w:val="right"/>
              <w:rPr>
                <w:sz w:val="20"/>
                <w:szCs w:val="20"/>
              </w:rPr>
            </w:pPr>
            <w:r>
              <w:rPr>
                <w:sz w:val="20"/>
                <w:szCs w:val="20"/>
              </w:rPr>
              <w:t>2</w:t>
            </w:r>
          </w:p>
        </w:tc>
        <w:tc>
          <w:tcPr>
            <w:tcW w:w="1920" w:type="dxa"/>
          </w:tcPr>
          <w:p w14:paraId="4A84A79F" w14:textId="77777777" w:rsidR="006575CC" w:rsidRDefault="009F2BF5">
            <w:pPr>
              <w:rPr>
                <w:sz w:val="20"/>
                <w:szCs w:val="20"/>
              </w:rPr>
            </w:pPr>
            <w:r>
              <w:rPr>
                <w:sz w:val="20"/>
                <w:szCs w:val="20"/>
              </w:rPr>
              <w:t>Liên minh Châu Âu</w:t>
            </w:r>
          </w:p>
        </w:tc>
        <w:tc>
          <w:tcPr>
            <w:tcW w:w="2010" w:type="dxa"/>
          </w:tcPr>
          <w:p w14:paraId="5E1F541B" w14:textId="77777777" w:rsidR="006575CC" w:rsidRDefault="009F2BF5">
            <w:pPr>
              <w:jc w:val="right"/>
              <w:rPr>
                <w:sz w:val="20"/>
                <w:szCs w:val="20"/>
              </w:rPr>
            </w:pPr>
            <w:r>
              <w:rPr>
                <w:sz w:val="20"/>
                <w:szCs w:val="20"/>
              </w:rPr>
              <w:t>25.40</w:t>
            </w:r>
          </w:p>
        </w:tc>
      </w:tr>
      <w:tr w:rsidR="006575CC" w14:paraId="4E6CCF14" w14:textId="77777777">
        <w:trPr>
          <w:trHeight w:val="290"/>
          <w:jc w:val="center"/>
        </w:trPr>
        <w:tc>
          <w:tcPr>
            <w:tcW w:w="735" w:type="dxa"/>
          </w:tcPr>
          <w:p w14:paraId="253FFE5A" w14:textId="77777777" w:rsidR="006575CC" w:rsidRDefault="009F2BF5">
            <w:pPr>
              <w:jc w:val="right"/>
              <w:rPr>
                <w:sz w:val="20"/>
                <w:szCs w:val="20"/>
              </w:rPr>
            </w:pPr>
            <w:r>
              <w:rPr>
                <w:sz w:val="20"/>
                <w:szCs w:val="20"/>
              </w:rPr>
              <w:t>4</w:t>
            </w:r>
          </w:p>
        </w:tc>
        <w:tc>
          <w:tcPr>
            <w:tcW w:w="1920" w:type="dxa"/>
          </w:tcPr>
          <w:p w14:paraId="230D7A85" w14:textId="77777777" w:rsidR="006575CC" w:rsidRDefault="009F2BF5">
            <w:pPr>
              <w:rPr>
                <w:sz w:val="20"/>
                <w:szCs w:val="20"/>
              </w:rPr>
            </w:pPr>
            <w:r>
              <w:rPr>
                <w:sz w:val="20"/>
                <w:szCs w:val="20"/>
              </w:rPr>
              <w:t xml:space="preserve">ASEAN </w:t>
            </w:r>
          </w:p>
        </w:tc>
        <w:tc>
          <w:tcPr>
            <w:tcW w:w="2010" w:type="dxa"/>
          </w:tcPr>
          <w:p w14:paraId="57220027" w14:textId="77777777" w:rsidR="006575CC" w:rsidRDefault="009F2BF5">
            <w:pPr>
              <w:jc w:val="right"/>
              <w:rPr>
                <w:sz w:val="20"/>
                <w:szCs w:val="20"/>
              </w:rPr>
            </w:pPr>
            <w:r>
              <w:rPr>
                <w:sz w:val="20"/>
                <w:szCs w:val="20"/>
              </w:rPr>
              <w:t>22.36</w:t>
            </w:r>
          </w:p>
        </w:tc>
      </w:tr>
      <w:tr w:rsidR="006575CC" w14:paraId="5FB6DB80" w14:textId="77777777">
        <w:trPr>
          <w:trHeight w:val="290"/>
          <w:jc w:val="center"/>
        </w:trPr>
        <w:tc>
          <w:tcPr>
            <w:tcW w:w="735" w:type="dxa"/>
          </w:tcPr>
          <w:p w14:paraId="3F511638" w14:textId="77777777" w:rsidR="006575CC" w:rsidRDefault="009F2BF5">
            <w:pPr>
              <w:jc w:val="right"/>
              <w:rPr>
                <w:sz w:val="20"/>
                <w:szCs w:val="20"/>
              </w:rPr>
            </w:pPr>
            <w:r>
              <w:rPr>
                <w:sz w:val="20"/>
                <w:szCs w:val="20"/>
              </w:rPr>
              <w:t>5</w:t>
            </w:r>
          </w:p>
        </w:tc>
        <w:tc>
          <w:tcPr>
            <w:tcW w:w="1920" w:type="dxa"/>
          </w:tcPr>
          <w:p w14:paraId="24CE4806" w14:textId="77777777" w:rsidR="006575CC" w:rsidRDefault="009F2BF5">
            <w:pPr>
              <w:rPr>
                <w:sz w:val="20"/>
                <w:szCs w:val="20"/>
              </w:rPr>
            </w:pPr>
            <w:r>
              <w:rPr>
                <w:sz w:val="20"/>
                <w:szCs w:val="20"/>
              </w:rPr>
              <w:t>Trung Quốc</w:t>
            </w:r>
          </w:p>
        </w:tc>
        <w:tc>
          <w:tcPr>
            <w:tcW w:w="2010" w:type="dxa"/>
          </w:tcPr>
          <w:p w14:paraId="18ADD451" w14:textId="77777777" w:rsidR="006575CC" w:rsidRDefault="009F2BF5">
            <w:pPr>
              <w:jc w:val="right"/>
              <w:rPr>
                <w:sz w:val="20"/>
                <w:szCs w:val="20"/>
              </w:rPr>
            </w:pPr>
            <w:r>
              <w:rPr>
                <w:sz w:val="20"/>
                <w:szCs w:val="20"/>
              </w:rPr>
              <w:t>17.64</w:t>
            </w:r>
          </w:p>
        </w:tc>
      </w:tr>
      <w:tr w:rsidR="006575CC" w14:paraId="0416B13E" w14:textId="77777777">
        <w:trPr>
          <w:trHeight w:val="290"/>
          <w:jc w:val="center"/>
        </w:trPr>
        <w:tc>
          <w:tcPr>
            <w:tcW w:w="735" w:type="dxa"/>
          </w:tcPr>
          <w:p w14:paraId="050FA08F" w14:textId="77777777" w:rsidR="006575CC" w:rsidRDefault="009F2BF5">
            <w:pPr>
              <w:jc w:val="right"/>
              <w:rPr>
                <w:sz w:val="20"/>
                <w:szCs w:val="20"/>
              </w:rPr>
            </w:pPr>
            <w:r>
              <w:rPr>
                <w:sz w:val="20"/>
                <w:szCs w:val="20"/>
              </w:rPr>
              <w:t>6</w:t>
            </w:r>
          </w:p>
        </w:tc>
        <w:tc>
          <w:tcPr>
            <w:tcW w:w="1920" w:type="dxa"/>
          </w:tcPr>
          <w:p w14:paraId="438F465F" w14:textId="77777777" w:rsidR="006575CC" w:rsidRDefault="009F2BF5">
            <w:pPr>
              <w:rPr>
                <w:sz w:val="20"/>
                <w:szCs w:val="20"/>
              </w:rPr>
            </w:pPr>
            <w:r>
              <w:rPr>
                <w:sz w:val="20"/>
                <w:szCs w:val="20"/>
              </w:rPr>
              <w:t>Nhật Bản</w:t>
            </w:r>
          </w:p>
        </w:tc>
        <w:tc>
          <w:tcPr>
            <w:tcW w:w="2010" w:type="dxa"/>
          </w:tcPr>
          <w:p w14:paraId="6A8B7BBB" w14:textId="77777777" w:rsidR="006575CC" w:rsidRDefault="009F2BF5">
            <w:pPr>
              <w:jc w:val="right"/>
              <w:rPr>
                <w:sz w:val="20"/>
                <w:szCs w:val="20"/>
              </w:rPr>
            </w:pPr>
            <w:r>
              <w:rPr>
                <w:sz w:val="20"/>
                <w:szCs w:val="20"/>
              </w:rPr>
              <w:t>16.06</w:t>
            </w:r>
          </w:p>
        </w:tc>
      </w:tr>
      <w:tr w:rsidR="006575CC" w14:paraId="3EF665F5" w14:textId="77777777">
        <w:trPr>
          <w:trHeight w:val="290"/>
          <w:jc w:val="center"/>
        </w:trPr>
        <w:tc>
          <w:tcPr>
            <w:tcW w:w="735" w:type="dxa"/>
          </w:tcPr>
          <w:p w14:paraId="759A581C" w14:textId="77777777" w:rsidR="006575CC" w:rsidRDefault="009F2BF5">
            <w:pPr>
              <w:jc w:val="right"/>
              <w:rPr>
                <w:sz w:val="20"/>
                <w:szCs w:val="20"/>
              </w:rPr>
            </w:pPr>
            <w:r>
              <w:rPr>
                <w:sz w:val="20"/>
                <w:szCs w:val="20"/>
              </w:rPr>
              <w:t>7</w:t>
            </w:r>
          </w:p>
        </w:tc>
        <w:tc>
          <w:tcPr>
            <w:tcW w:w="1920" w:type="dxa"/>
          </w:tcPr>
          <w:p w14:paraId="3D331A0A" w14:textId="77777777" w:rsidR="006575CC" w:rsidRDefault="009F2BF5">
            <w:pPr>
              <w:rPr>
                <w:sz w:val="20"/>
                <w:szCs w:val="20"/>
              </w:rPr>
            </w:pPr>
            <w:r>
              <w:rPr>
                <w:sz w:val="20"/>
                <w:szCs w:val="20"/>
              </w:rPr>
              <w:t xml:space="preserve">Hong Kong </w:t>
            </w:r>
          </w:p>
        </w:tc>
        <w:tc>
          <w:tcPr>
            <w:tcW w:w="2010" w:type="dxa"/>
          </w:tcPr>
          <w:p w14:paraId="6C7AD2D0" w14:textId="77777777" w:rsidR="006575CC" w:rsidRDefault="009F2BF5">
            <w:pPr>
              <w:jc w:val="right"/>
              <w:rPr>
                <w:sz w:val="20"/>
                <w:szCs w:val="20"/>
              </w:rPr>
            </w:pPr>
            <w:r>
              <w:rPr>
                <w:sz w:val="20"/>
                <w:szCs w:val="20"/>
              </w:rPr>
              <w:t>15.00</w:t>
            </w:r>
          </w:p>
        </w:tc>
      </w:tr>
      <w:tr w:rsidR="006575CC" w14:paraId="34DACCDB" w14:textId="77777777">
        <w:trPr>
          <w:trHeight w:val="290"/>
          <w:jc w:val="center"/>
        </w:trPr>
        <w:tc>
          <w:tcPr>
            <w:tcW w:w="735" w:type="dxa"/>
          </w:tcPr>
          <w:p w14:paraId="0DB22D2B" w14:textId="77777777" w:rsidR="006575CC" w:rsidRDefault="009F2BF5">
            <w:pPr>
              <w:jc w:val="right"/>
              <w:rPr>
                <w:sz w:val="20"/>
                <w:szCs w:val="20"/>
              </w:rPr>
            </w:pPr>
            <w:r>
              <w:rPr>
                <w:sz w:val="20"/>
                <w:szCs w:val="20"/>
              </w:rPr>
              <w:t>8</w:t>
            </w:r>
          </w:p>
        </w:tc>
        <w:tc>
          <w:tcPr>
            <w:tcW w:w="1920" w:type="dxa"/>
          </w:tcPr>
          <w:p w14:paraId="077B70D7" w14:textId="77777777" w:rsidR="006575CC" w:rsidRDefault="009F2BF5">
            <w:pPr>
              <w:rPr>
                <w:sz w:val="20"/>
                <w:szCs w:val="20"/>
              </w:rPr>
            </w:pPr>
            <w:r>
              <w:rPr>
                <w:sz w:val="20"/>
                <w:szCs w:val="20"/>
              </w:rPr>
              <w:t>Hàn Quốc</w:t>
            </w:r>
          </w:p>
        </w:tc>
        <w:tc>
          <w:tcPr>
            <w:tcW w:w="2010" w:type="dxa"/>
          </w:tcPr>
          <w:p w14:paraId="25A48DA5" w14:textId="77777777" w:rsidR="006575CC" w:rsidRDefault="009F2BF5">
            <w:pPr>
              <w:jc w:val="right"/>
              <w:rPr>
                <w:sz w:val="20"/>
                <w:szCs w:val="20"/>
              </w:rPr>
            </w:pPr>
            <w:r>
              <w:rPr>
                <w:sz w:val="20"/>
                <w:szCs w:val="20"/>
              </w:rPr>
              <w:t>10.73</w:t>
            </w:r>
          </w:p>
        </w:tc>
      </w:tr>
      <w:tr w:rsidR="006575CC" w14:paraId="12FACD6D" w14:textId="77777777">
        <w:trPr>
          <w:trHeight w:val="290"/>
          <w:jc w:val="center"/>
        </w:trPr>
        <w:tc>
          <w:tcPr>
            <w:tcW w:w="735" w:type="dxa"/>
          </w:tcPr>
          <w:p w14:paraId="48F1C633" w14:textId="77777777" w:rsidR="006575CC" w:rsidRDefault="009F2BF5">
            <w:pPr>
              <w:jc w:val="right"/>
              <w:rPr>
                <w:sz w:val="20"/>
                <w:szCs w:val="20"/>
              </w:rPr>
            </w:pPr>
            <w:r>
              <w:rPr>
                <w:sz w:val="20"/>
                <w:szCs w:val="20"/>
              </w:rPr>
              <w:t>9</w:t>
            </w:r>
          </w:p>
        </w:tc>
        <w:tc>
          <w:tcPr>
            <w:tcW w:w="1920" w:type="dxa"/>
          </w:tcPr>
          <w:p w14:paraId="7E4D67CB" w14:textId="77777777" w:rsidR="006575CC" w:rsidRDefault="009F2BF5">
            <w:pPr>
              <w:rPr>
                <w:sz w:val="20"/>
                <w:szCs w:val="20"/>
              </w:rPr>
            </w:pPr>
            <w:r>
              <w:rPr>
                <w:sz w:val="20"/>
                <w:szCs w:val="20"/>
              </w:rPr>
              <w:t>Hà Lan</w:t>
            </w:r>
          </w:p>
        </w:tc>
        <w:tc>
          <w:tcPr>
            <w:tcW w:w="2010" w:type="dxa"/>
          </w:tcPr>
          <w:p w14:paraId="7A93CBB5" w14:textId="77777777" w:rsidR="006575CC" w:rsidRDefault="009F2BF5">
            <w:pPr>
              <w:jc w:val="right"/>
              <w:rPr>
                <w:sz w:val="20"/>
                <w:szCs w:val="20"/>
              </w:rPr>
            </w:pPr>
            <w:r>
              <w:rPr>
                <w:sz w:val="20"/>
                <w:szCs w:val="20"/>
              </w:rPr>
              <w:t>8.84</w:t>
            </w:r>
          </w:p>
        </w:tc>
      </w:tr>
      <w:tr w:rsidR="006575CC" w14:paraId="54405B93" w14:textId="77777777">
        <w:trPr>
          <w:trHeight w:val="290"/>
          <w:jc w:val="center"/>
        </w:trPr>
        <w:tc>
          <w:tcPr>
            <w:tcW w:w="735" w:type="dxa"/>
          </w:tcPr>
          <w:p w14:paraId="3AA78D03" w14:textId="77777777" w:rsidR="006575CC" w:rsidRDefault="009F2BF5">
            <w:pPr>
              <w:jc w:val="right"/>
              <w:rPr>
                <w:sz w:val="20"/>
                <w:szCs w:val="20"/>
              </w:rPr>
            </w:pPr>
            <w:r>
              <w:rPr>
                <w:sz w:val="20"/>
                <w:szCs w:val="20"/>
              </w:rPr>
              <w:t>10</w:t>
            </w:r>
          </w:p>
        </w:tc>
        <w:tc>
          <w:tcPr>
            <w:tcW w:w="1920" w:type="dxa"/>
          </w:tcPr>
          <w:p w14:paraId="48D991B1" w14:textId="77777777" w:rsidR="006575CC" w:rsidRDefault="009F2BF5">
            <w:pPr>
              <w:rPr>
                <w:sz w:val="20"/>
                <w:szCs w:val="20"/>
              </w:rPr>
            </w:pPr>
            <w:r>
              <w:rPr>
                <w:sz w:val="20"/>
                <w:szCs w:val="20"/>
              </w:rPr>
              <w:t>Đài Loan</w:t>
            </w:r>
          </w:p>
        </w:tc>
        <w:tc>
          <w:tcPr>
            <w:tcW w:w="2010" w:type="dxa"/>
          </w:tcPr>
          <w:p w14:paraId="5DB718D4" w14:textId="77777777" w:rsidR="006575CC" w:rsidRDefault="009F2BF5">
            <w:pPr>
              <w:jc w:val="right"/>
              <w:rPr>
                <w:sz w:val="20"/>
                <w:szCs w:val="20"/>
              </w:rPr>
            </w:pPr>
            <w:r>
              <w:rPr>
                <w:sz w:val="20"/>
                <w:szCs w:val="20"/>
              </w:rPr>
              <w:t>8.23</w:t>
            </w:r>
          </w:p>
        </w:tc>
      </w:tr>
      <w:tr w:rsidR="006575CC" w14:paraId="3E4254BD" w14:textId="77777777">
        <w:trPr>
          <w:trHeight w:val="290"/>
          <w:jc w:val="center"/>
        </w:trPr>
        <w:tc>
          <w:tcPr>
            <w:tcW w:w="735" w:type="dxa"/>
          </w:tcPr>
          <w:p w14:paraId="4405F915" w14:textId="77777777" w:rsidR="006575CC" w:rsidRDefault="009F2BF5">
            <w:pPr>
              <w:jc w:val="right"/>
              <w:rPr>
                <w:sz w:val="20"/>
                <w:szCs w:val="20"/>
              </w:rPr>
            </w:pPr>
            <w:r>
              <w:rPr>
                <w:sz w:val="20"/>
                <w:szCs w:val="20"/>
              </w:rPr>
              <w:t>11</w:t>
            </w:r>
          </w:p>
        </w:tc>
        <w:tc>
          <w:tcPr>
            <w:tcW w:w="1920" w:type="dxa"/>
          </w:tcPr>
          <w:p w14:paraId="34317CF0" w14:textId="77777777" w:rsidR="006575CC" w:rsidRDefault="009F2BF5">
            <w:pPr>
              <w:rPr>
                <w:sz w:val="20"/>
                <w:szCs w:val="20"/>
              </w:rPr>
            </w:pPr>
            <w:r>
              <w:rPr>
                <w:sz w:val="20"/>
                <w:szCs w:val="20"/>
              </w:rPr>
              <w:t>Ấn Độ</w:t>
            </w:r>
          </w:p>
        </w:tc>
        <w:tc>
          <w:tcPr>
            <w:tcW w:w="2010" w:type="dxa"/>
          </w:tcPr>
          <w:p w14:paraId="6992C2A6" w14:textId="77777777" w:rsidR="006575CC" w:rsidRDefault="009F2BF5">
            <w:pPr>
              <w:jc w:val="right"/>
              <w:rPr>
                <w:sz w:val="20"/>
                <w:szCs w:val="20"/>
              </w:rPr>
            </w:pPr>
            <w:r>
              <w:rPr>
                <w:sz w:val="20"/>
                <w:szCs w:val="20"/>
              </w:rPr>
              <w:t>5.61</w:t>
            </w:r>
          </w:p>
        </w:tc>
      </w:tr>
      <w:tr w:rsidR="006575CC" w14:paraId="69C9B96A" w14:textId="77777777">
        <w:trPr>
          <w:trHeight w:val="290"/>
          <w:jc w:val="center"/>
        </w:trPr>
        <w:tc>
          <w:tcPr>
            <w:tcW w:w="735" w:type="dxa"/>
          </w:tcPr>
          <w:p w14:paraId="11B9A8DC" w14:textId="77777777" w:rsidR="006575CC" w:rsidRDefault="009F2BF5">
            <w:pPr>
              <w:jc w:val="right"/>
              <w:rPr>
                <w:sz w:val="20"/>
                <w:szCs w:val="20"/>
              </w:rPr>
            </w:pPr>
            <w:r>
              <w:rPr>
                <w:sz w:val="20"/>
                <w:szCs w:val="20"/>
              </w:rPr>
              <w:t>12</w:t>
            </w:r>
          </w:p>
        </w:tc>
        <w:tc>
          <w:tcPr>
            <w:tcW w:w="1920" w:type="dxa"/>
          </w:tcPr>
          <w:p w14:paraId="1A8FBD5E" w14:textId="77777777" w:rsidR="006575CC" w:rsidRDefault="009F2BF5">
            <w:pPr>
              <w:rPr>
                <w:sz w:val="20"/>
                <w:szCs w:val="20"/>
              </w:rPr>
            </w:pPr>
            <w:r>
              <w:rPr>
                <w:sz w:val="20"/>
                <w:szCs w:val="20"/>
              </w:rPr>
              <w:t>Thụy Sỹ</w:t>
            </w:r>
          </w:p>
        </w:tc>
        <w:tc>
          <w:tcPr>
            <w:tcW w:w="2010" w:type="dxa"/>
          </w:tcPr>
          <w:p w14:paraId="17607087" w14:textId="77777777" w:rsidR="006575CC" w:rsidRDefault="009F2BF5">
            <w:pPr>
              <w:jc w:val="right"/>
              <w:rPr>
                <w:sz w:val="20"/>
                <w:szCs w:val="20"/>
              </w:rPr>
            </w:pPr>
            <w:r>
              <w:rPr>
                <w:sz w:val="20"/>
                <w:szCs w:val="20"/>
              </w:rPr>
              <w:t>5.38</w:t>
            </w:r>
          </w:p>
        </w:tc>
      </w:tr>
      <w:tr w:rsidR="006575CC" w14:paraId="736441BF" w14:textId="77777777">
        <w:trPr>
          <w:trHeight w:val="290"/>
          <w:jc w:val="center"/>
        </w:trPr>
        <w:tc>
          <w:tcPr>
            <w:tcW w:w="735" w:type="dxa"/>
          </w:tcPr>
          <w:p w14:paraId="7ADB178F" w14:textId="77777777" w:rsidR="006575CC" w:rsidRDefault="009F2BF5">
            <w:pPr>
              <w:jc w:val="right"/>
              <w:rPr>
                <w:sz w:val="20"/>
                <w:szCs w:val="20"/>
              </w:rPr>
            </w:pPr>
            <w:r>
              <w:rPr>
                <w:sz w:val="20"/>
                <w:szCs w:val="20"/>
              </w:rPr>
              <w:lastRenderedPageBreak/>
              <w:t>13</w:t>
            </w:r>
          </w:p>
        </w:tc>
        <w:tc>
          <w:tcPr>
            <w:tcW w:w="1920" w:type="dxa"/>
          </w:tcPr>
          <w:p w14:paraId="4223B30C" w14:textId="77777777" w:rsidR="006575CC" w:rsidRDefault="009F2BF5">
            <w:pPr>
              <w:rPr>
                <w:sz w:val="20"/>
                <w:szCs w:val="20"/>
              </w:rPr>
            </w:pPr>
            <w:r>
              <w:rPr>
                <w:sz w:val="20"/>
                <w:szCs w:val="20"/>
              </w:rPr>
              <w:t>Lúc - xem - bua</w:t>
            </w:r>
          </w:p>
        </w:tc>
        <w:tc>
          <w:tcPr>
            <w:tcW w:w="2010" w:type="dxa"/>
          </w:tcPr>
          <w:p w14:paraId="6E98B4FD" w14:textId="77777777" w:rsidR="006575CC" w:rsidRDefault="009F2BF5">
            <w:pPr>
              <w:jc w:val="right"/>
              <w:rPr>
                <w:sz w:val="20"/>
                <w:szCs w:val="20"/>
              </w:rPr>
            </w:pPr>
            <w:r>
              <w:rPr>
                <w:sz w:val="20"/>
                <w:szCs w:val="20"/>
              </w:rPr>
              <w:t>5.16</w:t>
            </w:r>
          </w:p>
        </w:tc>
      </w:tr>
      <w:tr w:rsidR="006575CC" w14:paraId="69F9F9C9" w14:textId="77777777">
        <w:trPr>
          <w:trHeight w:val="290"/>
          <w:jc w:val="center"/>
        </w:trPr>
        <w:tc>
          <w:tcPr>
            <w:tcW w:w="735" w:type="dxa"/>
          </w:tcPr>
          <w:p w14:paraId="683B35B2" w14:textId="77777777" w:rsidR="006575CC" w:rsidRDefault="009F2BF5">
            <w:pPr>
              <w:jc w:val="right"/>
              <w:rPr>
                <w:sz w:val="20"/>
                <w:szCs w:val="20"/>
              </w:rPr>
            </w:pPr>
            <w:r>
              <w:rPr>
                <w:sz w:val="20"/>
                <w:szCs w:val="20"/>
              </w:rPr>
              <w:t>14</w:t>
            </w:r>
          </w:p>
        </w:tc>
        <w:tc>
          <w:tcPr>
            <w:tcW w:w="1920" w:type="dxa"/>
          </w:tcPr>
          <w:p w14:paraId="4287CA80" w14:textId="77777777" w:rsidR="006575CC" w:rsidRDefault="009F2BF5">
            <w:pPr>
              <w:rPr>
                <w:sz w:val="20"/>
                <w:szCs w:val="20"/>
              </w:rPr>
            </w:pPr>
            <w:r>
              <w:rPr>
                <w:sz w:val="20"/>
                <w:szCs w:val="20"/>
              </w:rPr>
              <w:t xml:space="preserve">Canada </w:t>
            </w:r>
          </w:p>
        </w:tc>
        <w:tc>
          <w:tcPr>
            <w:tcW w:w="2010" w:type="dxa"/>
          </w:tcPr>
          <w:p w14:paraId="6E706C5C" w14:textId="77777777" w:rsidR="006575CC" w:rsidRDefault="009F2BF5">
            <w:pPr>
              <w:jc w:val="right"/>
              <w:rPr>
                <w:sz w:val="20"/>
                <w:szCs w:val="20"/>
              </w:rPr>
            </w:pPr>
            <w:r>
              <w:rPr>
                <w:sz w:val="20"/>
                <w:szCs w:val="20"/>
              </w:rPr>
              <w:t>3.50</w:t>
            </w:r>
          </w:p>
        </w:tc>
      </w:tr>
      <w:tr w:rsidR="006575CC" w14:paraId="2DBDAA3A" w14:textId="77777777">
        <w:trPr>
          <w:trHeight w:val="290"/>
          <w:jc w:val="center"/>
        </w:trPr>
        <w:tc>
          <w:tcPr>
            <w:tcW w:w="735" w:type="dxa"/>
          </w:tcPr>
          <w:p w14:paraId="35F0714E" w14:textId="77777777" w:rsidR="006575CC" w:rsidRDefault="009F2BF5">
            <w:pPr>
              <w:jc w:val="right"/>
              <w:rPr>
                <w:sz w:val="20"/>
                <w:szCs w:val="20"/>
              </w:rPr>
            </w:pPr>
            <w:r>
              <w:rPr>
                <w:sz w:val="20"/>
                <w:szCs w:val="20"/>
              </w:rPr>
              <w:t>15</w:t>
            </w:r>
          </w:p>
        </w:tc>
        <w:tc>
          <w:tcPr>
            <w:tcW w:w="1920" w:type="dxa"/>
          </w:tcPr>
          <w:p w14:paraId="64379CA5" w14:textId="77777777" w:rsidR="006575CC" w:rsidRDefault="009F2BF5">
            <w:pPr>
              <w:rPr>
                <w:sz w:val="20"/>
                <w:szCs w:val="20"/>
              </w:rPr>
            </w:pPr>
            <w:r>
              <w:rPr>
                <w:sz w:val="20"/>
                <w:szCs w:val="20"/>
              </w:rPr>
              <w:t>Đức</w:t>
            </w:r>
          </w:p>
        </w:tc>
        <w:tc>
          <w:tcPr>
            <w:tcW w:w="2010" w:type="dxa"/>
          </w:tcPr>
          <w:p w14:paraId="44814194" w14:textId="77777777" w:rsidR="006575CC" w:rsidRDefault="009F2BF5">
            <w:pPr>
              <w:jc w:val="right"/>
              <w:rPr>
                <w:sz w:val="20"/>
                <w:szCs w:val="20"/>
              </w:rPr>
            </w:pPr>
            <w:r>
              <w:rPr>
                <w:sz w:val="20"/>
                <w:szCs w:val="20"/>
              </w:rPr>
              <w:t>3.32</w:t>
            </w:r>
          </w:p>
        </w:tc>
      </w:tr>
      <w:tr w:rsidR="006575CC" w14:paraId="1F6126EB" w14:textId="77777777">
        <w:trPr>
          <w:trHeight w:val="290"/>
          <w:jc w:val="center"/>
        </w:trPr>
        <w:tc>
          <w:tcPr>
            <w:tcW w:w="735" w:type="dxa"/>
          </w:tcPr>
          <w:p w14:paraId="60383648" w14:textId="77777777" w:rsidR="006575CC" w:rsidRDefault="009F2BF5">
            <w:pPr>
              <w:jc w:val="right"/>
              <w:rPr>
                <w:sz w:val="20"/>
                <w:szCs w:val="20"/>
              </w:rPr>
            </w:pPr>
            <w:r>
              <w:rPr>
                <w:sz w:val="20"/>
                <w:szCs w:val="20"/>
              </w:rPr>
              <w:t>16</w:t>
            </w:r>
          </w:p>
        </w:tc>
        <w:tc>
          <w:tcPr>
            <w:tcW w:w="1920" w:type="dxa"/>
          </w:tcPr>
          <w:p w14:paraId="67873F5F" w14:textId="77777777" w:rsidR="006575CC" w:rsidRDefault="009F2BF5">
            <w:pPr>
              <w:rPr>
                <w:sz w:val="20"/>
                <w:szCs w:val="20"/>
              </w:rPr>
            </w:pPr>
            <w:r>
              <w:rPr>
                <w:b/>
                <w:bCs/>
                <w:sz w:val="20"/>
                <w:szCs w:val="20"/>
              </w:rPr>
              <w:t xml:space="preserve">Tổng GCC </w:t>
            </w:r>
          </w:p>
        </w:tc>
        <w:tc>
          <w:tcPr>
            <w:tcW w:w="2010" w:type="dxa"/>
          </w:tcPr>
          <w:p w14:paraId="4A9709D6" w14:textId="77777777" w:rsidR="006575CC" w:rsidRDefault="009F2BF5">
            <w:pPr>
              <w:jc w:val="right"/>
              <w:rPr>
                <w:sz w:val="20"/>
                <w:szCs w:val="20"/>
              </w:rPr>
            </w:pPr>
            <w:r>
              <w:rPr>
                <w:b/>
                <w:bCs/>
                <w:sz w:val="20"/>
                <w:szCs w:val="20"/>
              </w:rPr>
              <w:t>0.2017</w:t>
            </w:r>
          </w:p>
        </w:tc>
      </w:tr>
      <w:tr w:rsidR="006575CC" w14:paraId="574C64BE" w14:textId="77777777">
        <w:trPr>
          <w:trHeight w:val="290"/>
          <w:jc w:val="center"/>
        </w:trPr>
        <w:tc>
          <w:tcPr>
            <w:tcW w:w="735" w:type="dxa"/>
          </w:tcPr>
          <w:p w14:paraId="6D1EC67B" w14:textId="77777777" w:rsidR="006575CC" w:rsidRDefault="006575CC">
            <w:pPr>
              <w:jc w:val="right"/>
              <w:rPr>
                <w:sz w:val="20"/>
                <w:szCs w:val="20"/>
              </w:rPr>
            </w:pPr>
          </w:p>
        </w:tc>
        <w:tc>
          <w:tcPr>
            <w:tcW w:w="1920" w:type="dxa"/>
          </w:tcPr>
          <w:p w14:paraId="50B156F7" w14:textId="77777777" w:rsidR="006575CC" w:rsidRDefault="009F2BF5">
            <w:pPr>
              <w:numPr>
                <w:ilvl w:val="0"/>
                <w:numId w:val="11"/>
              </w:numPr>
              <w:ind w:left="241"/>
              <w:rPr>
                <w:sz w:val="20"/>
                <w:szCs w:val="20"/>
              </w:rPr>
            </w:pPr>
            <w:r>
              <w:rPr>
                <w:sz w:val="20"/>
                <w:szCs w:val="20"/>
              </w:rPr>
              <w:t xml:space="preserve">Bahrain </w:t>
            </w:r>
          </w:p>
        </w:tc>
        <w:tc>
          <w:tcPr>
            <w:tcW w:w="2010" w:type="dxa"/>
          </w:tcPr>
          <w:p w14:paraId="3E622C5B" w14:textId="77777777" w:rsidR="006575CC" w:rsidRDefault="009F2BF5">
            <w:pPr>
              <w:jc w:val="right"/>
              <w:rPr>
                <w:sz w:val="20"/>
                <w:szCs w:val="20"/>
              </w:rPr>
            </w:pPr>
            <w:r>
              <w:rPr>
                <w:sz w:val="20"/>
                <w:szCs w:val="20"/>
              </w:rPr>
              <w:t>0.0004</w:t>
            </w:r>
          </w:p>
        </w:tc>
      </w:tr>
      <w:tr w:rsidR="006575CC" w14:paraId="53253E36" w14:textId="77777777">
        <w:trPr>
          <w:trHeight w:val="290"/>
          <w:jc w:val="center"/>
        </w:trPr>
        <w:tc>
          <w:tcPr>
            <w:tcW w:w="735" w:type="dxa"/>
          </w:tcPr>
          <w:p w14:paraId="28C1A404" w14:textId="77777777" w:rsidR="006575CC" w:rsidRDefault="006575CC">
            <w:pPr>
              <w:jc w:val="right"/>
              <w:rPr>
                <w:sz w:val="20"/>
                <w:szCs w:val="20"/>
              </w:rPr>
            </w:pPr>
          </w:p>
        </w:tc>
        <w:tc>
          <w:tcPr>
            <w:tcW w:w="1920" w:type="dxa"/>
          </w:tcPr>
          <w:p w14:paraId="27BE02E0" w14:textId="77777777" w:rsidR="006575CC" w:rsidRDefault="009F2BF5">
            <w:pPr>
              <w:numPr>
                <w:ilvl w:val="0"/>
                <w:numId w:val="11"/>
              </w:numPr>
              <w:ind w:left="241"/>
              <w:rPr>
                <w:sz w:val="20"/>
                <w:szCs w:val="20"/>
              </w:rPr>
            </w:pPr>
            <w:r>
              <w:rPr>
                <w:sz w:val="20"/>
                <w:szCs w:val="20"/>
              </w:rPr>
              <w:t xml:space="preserve">Kuwait </w:t>
            </w:r>
          </w:p>
        </w:tc>
        <w:tc>
          <w:tcPr>
            <w:tcW w:w="2010" w:type="dxa"/>
          </w:tcPr>
          <w:p w14:paraId="3F81018C" w14:textId="77777777" w:rsidR="006575CC" w:rsidRDefault="009F2BF5">
            <w:pPr>
              <w:jc w:val="right"/>
              <w:rPr>
                <w:sz w:val="20"/>
                <w:szCs w:val="20"/>
              </w:rPr>
            </w:pPr>
            <w:r>
              <w:rPr>
                <w:sz w:val="20"/>
                <w:szCs w:val="20"/>
              </w:rPr>
              <w:t>0.0823</w:t>
            </w:r>
          </w:p>
        </w:tc>
      </w:tr>
      <w:tr w:rsidR="006575CC" w14:paraId="237D6575" w14:textId="77777777">
        <w:trPr>
          <w:trHeight w:val="290"/>
          <w:jc w:val="center"/>
        </w:trPr>
        <w:tc>
          <w:tcPr>
            <w:tcW w:w="735" w:type="dxa"/>
          </w:tcPr>
          <w:p w14:paraId="56D07C1A" w14:textId="77777777" w:rsidR="006575CC" w:rsidRDefault="006575CC">
            <w:pPr>
              <w:jc w:val="right"/>
              <w:rPr>
                <w:sz w:val="20"/>
                <w:szCs w:val="20"/>
              </w:rPr>
            </w:pPr>
          </w:p>
        </w:tc>
        <w:tc>
          <w:tcPr>
            <w:tcW w:w="1920" w:type="dxa"/>
          </w:tcPr>
          <w:p w14:paraId="1735CD29" w14:textId="77777777" w:rsidR="006575CC" w:rsidRDefault="009F2BF5">
            <w:pPr>
              <w:numPr>
                <w:ilvl w:val="0"/>
                <w:numId w:val="11"/>
              </w:numPr>
              <w:ind w:left="241"/>
              <w:rPr>
                <w:sz w:val="20"/>
                <w:szCs w:val="20"/>
              </w:rPr>
            </w:pPr>
            <w:r>
              <w:rPr>
                <w:sz w:val="20"/>
                <w:szCs w:val="20"/>
              </w:rPr>
              <w:t xml:space="preserve">Oman </w:t>
            </w:r>
          </w:p>
        </w:tc>
        <w:tc>
          <w:tcPr>
            <w:tcW w:w="2010" w:type="dxa"/>
          </w:tcPr>
          <w:p w14:paraId="060C5DF6" w14:textId="77777777" w:rsidR="006575CC" w:rsidRDefault="009F2BF5">
            <w:pPr>
              <w:jc w:val="right"/>
              <w:rPr>
                <w:sz w:val="20"/>
                <w:szCs w:val="20"/>
              </w:rPr>
            </w:pPr>
            <w:r>
              <w:rPr>
                <w:sz w:val="20"/>
                <w:szCs w:val="20"/>
              </w:rPr>
              <w:t>0.0022</w:t>
            </w:r>
          </w:p>
        </w:tc>
      </w:tr>
      <w:tr w:rsidR="006575CC" w14:paraId="7332F63C" w14:textId="77777777">
        <w:trPr>
          <w:trHeight w:val="290"/>
          <w:jc w:val="center"/>
        </w:trPr>
        <w:tc>
          <w:tcPr>
            <w:tcW w:w="735" w:type="dxa"/>
          </w:tcPr>
          <w:p w14:paraId="1CAA1119" w14:textId="77777777" w:rsidR="006575CC" w:rsidRDefault="006575CC">
            <w:pPr>
              <w:jc w:val="right"/>
              <w:rPr>
                <w:sz w:val="20"/>
                <w:szCs w:val="20"/>
              </w:rPr>
            </w:pPr>
          </w:p>
        </w:tc>
        <w:tc>
          <w:tcPr>
            <w:tcW w:w="1920" w:type="dxa"/>
          </w:tcPr>
          <w:p w14:paraId="435EAC85" w14:textId="77777777" w:rsidR="006575CC" w:rsidRDefault="009F2BF5">
            <w:pPr>
              <w:numPr>
                <w:ilvl w:val="0"/>
                <w:numId w:val="11"/>
              </w:numPr>
              <w:ind w:left="241"/>
              <w:rPr>
                <w:sz w:val="20"/>
                <w:szCs w:val="20"/>
              </w:rPr>
            </w:pPr>
            <w:r>
              <w:rPr>
                <w:sz w:val="20"/>
                <w:szCs w:val="20"/>
              </w:rPr>
              <w:t xml:space="preserve">Qatar </w:t>
            </w:r>
          </w:p>
        </w:tc>
        <w:tc>
          <w:tcPr>
            <w:tcW w:w="2010" w:type="dxa"/>
          </w:tcPr>
          <w:p w14:paraId="220D4C40" w14:textId="77777777" w:rsidR="006575CC" w:rsidRDefault="009F2BF5">
            <w:pPr>
              <w:jc w:val="right"/>
              <w:rPr>
                <w:sz w:val="20"/>
                <w:szCs w:val="20"/>
              </w:rPr>
            </w:pPr>
            <w:r>
              <w:rPr>
                <w:sz w:val="20"/>
                <w:szCs w:val="20"/>
              </w:rPr>
              <w:t>0.0074</w:t>
            </w:r>
          </w:p>
        </w:tc>
      </w:tr>
      <w:tr w:rsidR="006575CC" w14:paraId="164C11D3" w14:textId="77777777">
        <w:trPr>
          <w:trHeight w:val="290"/>
          <w:jc w:val="center"/>
        </w:trPr>
        <w:tc>
          <w:tcPr>
            <w:tcW w:w="735" w:type="dxa"/>
          </w:tcPr>
          <w:p w14:paraId="051D447A" w14:textId="77777777" w:rsidR="006575CC" w:rsidRDefault="006575CC">
            <w:pPr>
              <w:jc w:val="right"/>
              <w:rPr>
                <w:sz w:val="20"/>
                <w:szCs w:val="20"/>
              </w:rPr>
            </w:pPr>
          </w:p>
        </w:tc>
        <w:tc>
          <w:tcPr>
            <w:tcW w:w="1920" w:type="dxa"/>
          </w:tcPr>
          <w:p w14:paraId="4ED8A65B" w14:textId="77777777" w:rsidR="006575CC" w:rsidRDefault="009F2BF5">
            <w:pPr>
              <w:numPr>
                <w:ilvl w:val="0"/>
                <w:numId w:val="11"/>
              </w:numPr>
              <w:ind w:left="241"/>
              <w:rPr>
                <w:sz w:val="20"/>
                <w:szCs w:val="20"/>
              </w:rPr>
            </w:pPr>
            <w:r>
              <w:rPr>
                <w:sz w:val="20"/>
                <w:szCs w:val="20"/>
              </w:rPr>
              <w:t xml:space="preserve">Saudi Arabia </w:t>
            </w:r>
          </w:p>
        </w:tc>
        <w:tc>
          <w:tcPr>
            <w:tcW w:w="2010" w:type="dxa"/>
          </w:tcPr>
          <w:p w14:paraId="6872C713" w14:textId="77777777" w:rsidR="006575CC" w:rsidRDefault="009F2BF5">
            <w:pPr>
              <w:jc w:val="right"/>
              <w:rPr>
                <w:sz w:val="20"/>
                <w:szCs w:val="20"/>
              </w:rPr>
            </w:pPr>
            <w:r>
              <w:rPr>
                <w:sz w:val="20"/>
                <w:szCs w:val="20"/>
              </w:rPr>
              <w:t>0.0759</w:t>
            </w:r>
          </w:p>
        </w:tc>
      </w:tr>
      <w:tr w:rsidR="006575CC" w14:paraId="3E9A3F94" w14:textId="77777777">
        <w:trPr>
          <w:trHeight w:val="290"/>
          <w:jc w:val="center"/>
        </w:trPr>
        <w:tc>
          <w:tcPr>
            <w:tcW w:w="735" w:type="dxa"/>
          </w:tcPr>
          <w:p w14:paraId="7F549108" w14:textId="77777777" w:rsidR="006575CC" w:rsidRDefault="006575CC">
            <w:pPr>
              <w:jc w:val="right"/>
              <w:rPr>
                <w:sz w:val="20"/>
                <w:szCs w:val="20"/>
              </w:rPr>
            </w:pPr>
          </w:p>
        </w:tc>
        <w:tc>
          <w:tcPr>
            <w:tcW w:w="1920" w:type="dxa"/>
          </w:tcPr>
          <w:p w14:paraId="6A4CE7C0" w14:textId="77777777" w:rsidR="006575CC" w:rsidRDefault="009F2BF5">
            <w:pPr>
              <w:numPr>
                <w:ilvl w:val="0"/>
                <w:numId w:val="11"/>
              </w:numPr>
              <w:ind w:left="241"/>
              <w:rPr>
                <w:sz w:val="20"/>
                <w:szCs w:val="20"/>
              </w:rPr>
            </w:pPr>
            <w:r>
              <w:rPr>
                <w:sz w:val="20"/>
                <w:szCs w:val="20"/>
              </w:rPr>
              <w:t xml:space="preserve">UAE </w:t>
            </w:r>
          </w:p>
        </w:tc>
        <w:tc>
          <w:tcPr>
            <w:tcW w:w="2010" w:type="dxa"/>
          </w:tcPr>
          <w:p w14:paraId="236396BB" w14:textId="77777777" w:rsidR="006575CC" w:rsidRDefault="009F2BF5">
            <w:pPr>
              <w:jc w:val="right"/>
              <w:rPr>
                <w:sz w:val="20"/>
                <w:szCs w:val="20"/>
              </w:rPr>
            </w:pPr>
            <w:r>
              <w:rPr>
                <w:sz w:val="20"/>
                <w:szCs w:val="20"/>
              </w:rPr>
              <w:t>0.0334</w:t>
            </w:r>
          </w:p>
        </w:tc>
      </w:tr>
      <w:tr w:rsidR="006575CC" w14:paraId="14A27DA5" w14:textId="77777777">
        <w:trPr>
          <w:trHeight w:val="290"/>
          <w:jc w:val="center"/>
        </w:trPr>
        <w:tc>
          <w:tcPr>
            <w:tcW w:w="735" w:type="dxa"/>
          </w:tcPr>
          <w:p w14:paraId="3E85DAB8" w14:textId="77777777" w:rsidR="006575CC" w:rsidRDefault="009F2BF5">
            <w:pPr>
              <w:jc w:val="right"/>
              <w:rPr>
                <w:sz w:val="20"/>
                <w:szCs w:val="20"/>
              </w:rPr>
            </w:pPr>
            <w:r>
              <w:rPr>
                <w:sz w:val="20"/>
                <w:szCs w:val="20"/>
              </w:rPr>
              <w:t>17</w:t>
            </w:r>
          </w:p>
        </w:tc>
        <w:tc>
          <w:tcPr>
            <w:tcW w:w="1920" w:type="dxa"/>
          </w:tcPr>
          <w:p w14:paraId="3024A966" w14:textId="77777777" w:rsidR="006575CC" w:rsidRDefault="009F2BF5">
            <w:pPr>
              <w:rPr>
                <w:sz w:val="20"/>
                <w:szCs w:val="20"/>
              </w:rPr>
            </w:pPr>
            <w:r>
              <w:rPr>
                <w:sz w:val="20"/>
                <w:szCs w:val="20"/>
              </w:rPr>
              <w:t>Không đề cập</w:t>
            </w:r>
          </w:p>
        </w:tc>
        <w:tc>
          <w:tcPr>
            <w:tcW w:w="2010" w:type="dxa"/>
          </w:tcPr>
          <w:p w14:paraId="09837EC2" w14:textId="77777777" w:rsidR="006575CC" w:rsidRDefault="009F2BF5">
            <w:pPr>
              <w:jc w:val="right"/>
              <w:rPr>
                <w:sz w:val="20"/>
                <w:szCs w:val="20"/>
              </w:rPr>
            </w:pPr>
            <w:r>
              <w:rPr>
                <w:sz w:val="20"/>
                <w:szCs w:val="20"/>
              </w:rPr>
              <w:t>24.92</w:t>
            </w:r>
          </w:p>
        </w:tc>
      </w:tr>
    </w:tbl>
    <w:p w14:paraId="38BADA04" w14:textId="77777777" w:rsidR="006575CC" w:rsidRDefault="009F2BF5">
      <w:pPr>
        <w:ind w:left="1440" w:firstLine="720"/>
        <w:rPr>
          <w:b/>
          <w:bCs/>
          <w:i/>
          <w:iCs/>
          <w:color w:val="C00000"/>
          <w:u w:val="single"/>
        </w:rPr>
      </w:pPr>
      <w:r>
        <w:rPr>
          <w:sz w:val="20"/>
          <w:szCs w:val="20"/>
        </w:rPr>
        <w:t xml:space="preserve">    Nguồn: số liệu ASEAN </w:t>
      </w:r>
    </w:p>
    <w:p w14:paraId="734A9255" w14:textId="77777777" w:rsidR="006575CC" w:rsidRDefault="009F2BF5">
      <w:pPr>
        <w:numPr>
          <w:ilvl w:val="0"/>
          <w:numId w:val="10"/>
        </w:numPr>
      </w:pPr>
      <w:r>
        <w:rPr>
          <w:b/>
          <w:bCs/>
          <w:u w:val="single"/>
        </w:rPr>
        <w:t>Nguồn gốc quan hệ ASEAN-GCC.</w:t>
      </w:r>
      <w:r>
        <w:t xml:space="preserve"> Không có nước nào trong GCC hay GCC nói chung là đối tác đối thoại của ASEAN. Tuy nhiên, điều này không ngăn cản hai bên thiết lập quan hệ đối tác, bắt đầu từ năm 1990 khi các Bộ trưởng Ngoại giao ASEAN và các đối tác GCC gặp nhau bên lề Đại hội đồng Liên Hợp Quốc (UNGA) tại New York. Tại cuộc gặp này, các Bộ trưởng cũng đồng ý tổ chức các cuộc gặp thường niên tại New York. Tuy nhiên, phải đến tháng 6 năm 2009, Cuộc họp Bộ trưởng ASEAN-GCC đầy đủ đầu tiên mới được tổ chức tại Manama, Bahrain, và tại cuộc họp này, Tầm nhìn Chung ASEAN-GCC đã được thông qua.</w:t>
      </w:r>
    </w:p>
    <w:p w14:paraId="0EDCC0A4" w14:textId="77777777" w:rsidR="006575CC" w:rsidRDefault="009F2BF5">
      <w:pPr>
        <w:numPr>
          <w:ilvl w:val="0"/>
          <w:numId w:val="10"/>
        </w:numPr>
      </w:pPr>
      <w:r>
        <w:t xml:space="preserve">Trong Tầm nhìn Chung, hai bên đồng ý cùng hướng tới phát triển bền vững thông qua việc triển khai các dự án chung, đặc biệt trong các lĩnh vực kinh tế, thương mại, đầu tư, tài chính, </w:t>
      </w:r>
      <w:proofErr w:type="gramStart"/>
      <w:r>
        <w:t>an</w:t>
      </w:r>
      <w:proofErr w:type="gramEnd"/>
      <w:r>
        <w:t xml:space="preserve"> ninh lương thực, năng lượng, giao thông, viễn thông, công nghiệp, nông nghiệp và môi trường, cùng nhiều lĩnh vực khác. Nhằm đạt được mục tiêu này, các Bộ trưởng cũng đồng ý tiến hành một nghiên cứu, tập trung đặc biệt vào </w:t>
      </w:r>
      <w:r>
        <w:lastRenderedPageBreak/>
        <w:t>các lĩnh vực hợp tác và phát triển kinh tế; văn hóa, giáo dục và thông tin; cũng như khả năng thiết lập một khu vực thương mại tự do giữa hai bên.</w:t>
      </w:r>
    </w:p>
    <w:p w14:paraId="45D70D7F" w14:textId="77777777" w:rsidR="006575CC" w:rsidRDefault="009F2BF5">
      <w:pPr>
        <w:numPr>
          <w:ilvl w:val="0"/>
          <w:numId w:val="10"/>
        </w:numPr>
      </w:pPr>
      <w:r>
        <w:t>Bên lề Cuộc họp Bộ trưởng tại Manama, Tiến sĩ Surin Pitsuwan và ông Abdulrahman H. Al-Attiyah, Tổng Thư ký ASEAN và GCC, đã ký Bản Ghi nhớ (MOU) giữa Ban Thư ký ASEAN và Ban Thư ký GCC, trong đó hai bên đồng ý ban đầu hợp tác thông qua việc trao đổi thông tin, các kinh nghiệm và thực tiễn tốt nhất trong các lĩnh vực: (a) thương mại và đầu tư; (b) an ninh lương thực; (c) du lịch; và (d) năng lượng. Hai bên cũng đồng ý xây dựng một Kế hoạch Công tác nhằm triển khai các lĩnh vực hợp tác này.</w:t>
      </w:r>
    </w:p>
    <w:p w14:paraId="00F7FF78" w14:textId="77777777" w:rsidR="006575CC" w:rsidRDefault="009F2BF5">
      <w:pPr>
        <w:numPr>
          <w:ilvl w:val="0"/>
          <w:numId w:val="10"/>
        </w:numPr>
      </w:pPr>
      <w:r>
        <w:t>Nghiên cứu về “Thúc đẩy Hiệp định Thương mại Tự do ASEAN-GCC” được thực hiện vào năm 2010 là bước tiếp theo của Tầm nhìn Chung 2009. Mặc dù nghiên cứu này nhấn mạnh khả năng mang lại lợi ích kinh tế đáng kể cho cả hai khu vực, nhưng cũng chỉ ra những khó khăn tiềm ẩn có thể vượt quá lợi ích tiềm năng từ một FTA ASEAN-GCC. Tại Hội nghị Retreat lần thứ 16 của Bộ trưởng ASEAN (AEM) tại Putrajaya, Malaysia vào tháng 2 năm 2010, các Bộ trưởng đã nhất trí “thúc đẩy sự hiểu biết sâu hơn về GCC (và Mercosur) như một phần trong cách tiếp cận từng bước nhằm tăng cường hợp tác và hội nhập kinh tế với họ, bao gồm khả năng ký kết các FTA”. Một bước tiếp theo khác sau Cuộc họp Bộ trưởng ASEAN-GCC lần đầu tiên là Kế hoạch Hành động Hai năm ASEAN-GCC (2010–2012), được thông qua tại Cuộc họp Bộ trưởng ASEAN-GCC lần thứ hai vào tháng 6 năm 2010, nhằm tăng cường hợp tác giữa ASEAN và GCC. Các Cuộc tham vấn SEOM-GCC, được tổ chức tại Salalah, Oman vào tháng 10 năm 2011, là một phần trong việc triển khai Kế hoạch Hành động này.</w:t>
      </w:r>
    </w:p>
    <w:p w14:paraId="45104050" w14:textId="77777777" w:rsidR="006575CC" w:rsidRDefault="009F2BF5">
      <w:pPr>
        <w:numPr>
          <w:ilvl w:val="0"/>
          <w:numId w:val="10"/>
        </w:numPr>
      </w:pPr>
      <w:r>
        <w:t>Tính đến nay, tất cả các quốc gia thành viên GCC đều đã gia nhập Hiệp ước Thân thiện và Hợp tác ở Đông Nam Á (TAC) và đều đã cử Đại sứ của mình tại ASEAN. Trong số sáu thành viên GCC, chỉ UAE được trao tư cách là Đối tác Đối thoại theo Lĩnh vực (Sectoral Dialogue Partner).</w:t>
      </w:r>
    </w:p>
    <w:p w14:paraId="1B800CDD" w14:textId="5A14FC9F" w:rsidR="006575CC" w:rsidRDefault="009F2BF5">
      <w:pPr>
        <w:numPr>
          <w:ilvl w:val="0"/>
          <w:numId w:val="10"/>
        </w:numPr>
      </w:pPr>
      <w:r>
        <w:t xml:space="preserve">Hội nghị Thượng đỉnh ASEAN-GCC lần thứ nhất được tổ chức tại Riyadh vào tháng 10 năm 2023. Như một kết quả của cuộc gặp quan trọng này, Tuyên bố </w:t>
      </w:r>
      <w:r w:rsidR="00F1697E">
        <w:t>c</w:t>
      </w:r>
      <w:r>
        <w:t xml:space="preserve">hung Hội nghị Thượng đỉnh ASEAN-GCC tại Riyadh đã được thông qua. Các trích dẫn liên quan từ Tuyên bố </w:t>
      </w:r>
      <w:r w:rsidR="00F1697E">
        <w:t>c</w:t>
      </w:r>
      <w:r>
        <w:t>hung được nêu nổi bật như sau:</w:t>
      </w:r>
    </w:p>
    <w:p w14:paraId="1A7A4A63" w14:textId="77777777" w:rsidR="006575CC" w:rsidRDefault="009F2BF5">
      <w:pPr>
        <w:numPr>
          <w:ilvl w:val="0"/>
          <w:numId w:val="14"/>
        </w:numPr>
        <w:ind w:left="1418" w:hanging="698"/>
      </w:pPr>
      <w:r>
        <w:t>Tiến hành các cuộc tham vấn và khám phá hợp tác trong các lĩnh vực cùng quan tâm nhằm triển khai bốn ưu tiên trong Tầm nhìn ASEAN về Ấn Độ Dương – Thái Bình Dương, bao gồm hợp tác hàng hải, kết nối, các Mục tiêu Phát triển Bền vững (SDGs), cũng như các lĩnh vực kinh tế và các lĩnh vực hợp tác tiềm năng khác.</w:t>
      </w:r>
    </w:p>
    <w:p w14:paraId="6084721C" w14:textId="77777777" w:rsidR="006575CC" w:rsidRDefault="009F2BF5">
      <w:pPr>
        <w:numPr>
          <w:ilvl w:val="0"/>
          <w:numId w:val="14"/>
        </w:numPr>
        <w:ind w:left="1418" w:hanging="698"/>
      </w:pPr>
      <w:r>
        <w:t xml:space="preserve">Theo đuổi các cơ hội phát triển bền vững; ứng phó với các thách thức và rủi ro toàn cầu và khu vực; đảm bảo chuỗi cung ứng, kết nối giao thông và viễn thông bền vững; tăng cường an ninh lương thực, năng lượng và nước; hợp tác trong lĩnh vực năng lượng xanh và tái tạo, công nghệ, cũng như cơ </w:t>
      </w:r>
      <w:r>
        <w:lastRenderedPageBreak/>
        <w:t>sở hạ tầng du lịch; tạo ra cơ hội kinh doanh; và thúc đẩy dòng chảy thương mại và đầu tư.</w:t>
      </w:r>
    </w:p>
    <w:p w14:paraId="541A7436" w14:textId="77777777" w:rsidR="006575CC" w:rsidRDefault="009F2BF5">
      <w:pPr>
        <w:numPr>
          <w:ilvl w:val="0"/>
          <w:numId w:val="14"/>
        </w:numPr>
        <w:ind w:left="1418" w:hanging="698"/>
      </w:pPr>
      <w:r>
        <w:t>Tăng cường dòng chảy thương mại và đầu tư bằng cách tạo ra các cơ hội hợp tác đầu tư đôi bên cùng có lợi, với sự nhấn mạnh đặc biệt vào cơ sở hạ tầng bền vững, năng lượng tái tạo, hóa dầu, nông nghiệp, sản xuất, y tế, du lịch, logistics, các thành phố thông minh, kết nối và chuyển đổi số.</w:t>
      </w:r>
    </w:p>
    <w:p w14:paraId="15E925DE" w14:textId="77777777" w:rsidR="006575CC" w:rsidRDefault="009F2BF5">
      <w:pPr>
        <w:numPr>
          <w:ilvl w:val="0"/>
          <w:numId w:val="14"/>
        </w:numPr>
        <w:ind w:left="1418" w:hanging="698"/>
      </w:pPr>
      <w:r>
        <w:t>Khám phá hợp tác trong các ưu tiên đối tác kinh tế chủ chốt, bao gồm: tăng cường hội nhập thị trường khu vực; phát triển bền vững và khử cacbon; chuyển đổi số và bao trùm, bao gồm cả các Doanh nghiệp vừa và nhỏ (MSMEs); thúc đẩy hợp tác giữa khu vực công và tư; và tăng cường các mối quan hệ gắn kết giữa con người với con người.</w:t>
      </w:r>
    </w:p>
    <w:p w14:paraId="2C5E7EDB" w14:textId="77777777" w:rsidR="006575CC" w:rsidRDefault="009F2BF5">
      <w:pPr>
        <w:numPr>
          <w:ilvl w:val="0"/>
          <w:numId w:val="14"/>
        </w:numPr>
        <w:ind w:left="1418" w:hanging="698"/>
      </w:pPr>
      <w:r>
        <w:t>Xác định hợp tác trong việc phát triển nông nghiệp bền vững và tuần hoàn, thúc đẩy sản xuất lương thực bền vững; đồng thời thúc đẩy các cơ hội thương mại và đầu tư trong các ngành công nghiệp dựa trên lương thực và nông nghiệp; khuyến khích trao đổi thông tin, chia sẻ kinh nghiệm, nghiên cứu, công nghệ hiện đại và các thực tiễn tốt nhất, cũng như triển khai các hoạt động nâng cao năng lực trong các lĩnh vực như phát triển ngành thực phẩm và công nghiệp halal, bao gồm cả các tiêu chuẩn khác nhau về chứng nhận thực phẩm halal.</w:t>
      </w:r>
    </w:p>
    <w:p w14:paraId="40355CCB" w14:textId="77777777" w:rsidR="006575CC" w:rsidRDefault="009F2BF5">
      <w:pPr>
        <w:numPr>
          <w:ilvl w:val="0"/>
          <w:numId w:val="14"/>
        </w:numPr>
        <w:ind w:left="1418" w:hanging="698"/>
      </w:pPr>
      <w:r>
        <w:t xml:space="preserve">Hỗ trợ các nỗ lực hướng tới một nền kinh tế số mở, </w:t>
      </w:r>
      <w:proofErr w:type="gramStart"/>
      <w:r>
        <w:t>an</w:t>
      </w:r>
      <w:proofErr w:type="gramEnd"/>
      <w:r>
        <w:t xml:space="preserve"> toàn, bao trùm và bền vững; đồng thời tiếp tục tận dụng công nghệ thông tin và truyền thông (ICT) để thúc đẩy đổi mới sáng tạo và khởi nghiệp, cũng như phát triển các công nghệ mới như Internet vạn vật (IoT), mạng 5G, trí tuệ nhân tạo (AI) và các đô thị thông minh.</w:t>
      </w:r>
    </w:p>
    <w:p w14:paraId="5A35AB4A" w14:textId="77777777" w:rsidR="006575CC" w:rsidRDefault="009F2BF5">
      <w:pPr>
        <w:numPr>
          <w:ilvl w:val="0"/>
          <w:numId w:val="10"/>
        </w:numPr>
      </w:pPr>
      <w:r>
        <w:t>Hội nghị Thượng đỉnh ASEAN–GCC tại Riyadh cũng đã thông qua Khung Hợp tác ASEAN–GCC giai đoạn 2024–2028. Trong đó, Khung Hợp tác nêu rõ hai bên sẽ “tiếp tục tham vấn để tìm kiếm các cơ hội mới về thương mại, đầu tư và hợp tác kỹ thuật giữa ASEAN và GCC, bao gồm cả khả năng xây dựng một khuôn khổ thỏa thuận về hợp tác kinh tế, thương mại, kỹ thuật và đầu tư.”</w:t>
      </w:r>
    </w:p>
    <w:p w14:paraId="57F92407" w14:textId="77777777" w:rsidR="006575CC" w:rsidRDefault="006575CC">
      <w:pPr>
        <w:rPr>
          <w:b/>
          <w:bCs/>
          <w:u w:val="single"/>
        </w:rPr>
      </w:pPr>
    </w:p>
    <w:p w14:paraId="0BE7FAD6" w14:textId="77777777" w:rsidR="006575CC" w:rsidRDefault="009F2BF5">
      <w:pPr>
        <w:rPr>
          <w:b/>
          <w:bCs/>
          <w:sz w:val="28"/>
          <w:szCs w:val="28"/>
        </w:rPr>
      </w:pPr>
      <w:r>
        <w:br w:type="page"/>
      </w:r>
    </w:p>
    <w:p w14:paraId="5D8E927F" w14:textId="77777777" w:rsidR="006575CC" w:rsidRDefault="009F2BF5">
      <w:pPr>
        <w:pStyle w:val="Heading1"/>
        <w:spacing w:before="360" w:after="80"/>
        <w:rPr>
          <w:i/>
          <w:iCs/>
        </w:rPr>
      </w:pPr>
      <w:bookmarkStart w:id="16" w:name="_heading=h.c4nrcpgr00e6" w:colFirst="0" w:colLast="0"/>
      <w:bookmarkEnd w:id="16"/>
      <w:r>
        <w:rPr>
          <w:sz w:val="28"/>
          <w:szCs w:val="28"/>
        </w:rPr>
        <w:lastRenderedPageBreak/>
        <w:t>Phần 3: Làm sâu sắc thêm quan hệ ASEAN-GCC</w:t>
      </w:r>
    </w:p>
    <w:p w14:paraId="4196F92A" w14:textId="77777777" w:rsidR="006575CC" w:rsidRDefault="009F2BF5">
      <w:pPr>
        <w:numPr>
          <w:ilvl w:val="0"/>
          <w:numId w:val="13"/>
        </w:numPr>
        <w:rPr>
          <w:b/>
          <w:bCs/>
          <w:u w:val="single"/>
        </w:rPr>
      </w:pPr>
      <w:bookmarkStart w:id="17" w:name="_heading=h.8av3dmunjszf" w:colFirst="0" w:colLast="0"/>
      <w:bookmarkEnd w:id="17"/>
      <w:r>
        <w:rPr>
          <w:b/>
          <w:bCs/>
          <w:u w:val="single"/>
        </w:rPr>
        <w:t>Chương trình nghị sự đàm phán thương mại của GCC so với ASEAN:</w:t>
      </w:r>
    </w:p>
    <w:p w14:paraId="57E190BB" w14:textId="77777777" w:rsidR="006575CC" w:rsidRDefault="009F2BF5">
      <w:pPr>
        <w:numPr>
          <w:ilvl w:val="0"/>
          <w:numId w:val="10"/>
        </w:numPr>
      </w:pPr>
      <w:r>
        <w:t>Cả ASEAN và các quốc gia GCC – dù với tư cách tập thể hay riêng lẻ – đều tích cực đàm phán các hiệp định thương mại tự do (FTA) và/hoặc các hiệp định đối tác kinh tế toàn diện (CEPA). GCC bắt đầu sớm hơn, từ năm 1990 với đàm phán FTA EU–GCC, trong khi ASEAN chỉ khởi động vào năm 2005. Tuy nhiên đến nay, GCC mới chỉ có hai FTA có hiệu lực là GCC–Singapore và GCC–EFTA, trong khi ASEAN đã ký các FTA với hầu hết đối tác thương mại lớn gồm Trung Quốc, Nhật Bản, Hàn Quốc, Úc và New Zealand, Ấn Độ, Hồng Kông (Trung Quốc) cùng Hiệp định Đối tác Kinh tế Toàn diện Khu vực (RCEP) – vốn nhằm hợp nhất năm FTA đầu tiên của ASEAN. Hiện GCC vẫn đang đàm phán FTA với EU, Trung Quốc, MERCOSUR, Nhật Bản, Ấn Độ, Hàn Quốc, Thổ Nhĩ Kỳ, Úc và Vương quốc Anh, trong đó FTA với New Zealand đã hoàn tất và chờ có hiệu lực, còn ASEAN đang tiến hành đàm phán FTA với Canada và đàm phán với EU vẫn chưa được nối lại.</w:t>
      </w:r>
    </w:p>
    <w:p w14:paraId="037A32EC" w14:textId="77777777" w:rsidR="006575CC" w:rsidRDefault="009F2BF5">
      <w:pPr>
        <w:numPr>
          <w:ilvl w:val="0"/>
          <w:numId w:val="10"/>
        </w:numPr>
      </w:pPr>
      <w:r>
        <w:rPr>
          <w:b/>
          <w:bCs/>
          <w:u w:val="single"/>
        </w:rPr>
        <w:t>Hội đồng Hợp tác Vùng Vịnh (GCC).</w:t>
      </w:r>
      <w:r>
        <w:t xml:space="preserve"> Điều đáng chú ý là, mặc dù GCC là một Liên minh Hải quan, khối này vẫn cho phép các quốc gia thành viên – chẳng hạn như Các Tiểu vương quốc Ả Rập Thống nhất (UAE) – đàm phán các hiệp định thương mại tự do song phương để chủ động thúc đẩy các Hiệp định Đối tác Kinh tế Toàn diện (CEPA) với các đối tác thương mại chiến lược. Khi đàm phán với tư cách một khối, GCC tuân thủ cách tiếp cận thống nhất, sử dụng biểu thuế quan chung và chính sách thương mại chung nhằm tận dụng quy mô và sức mạnh kinh tế của khu vực.</w:t>
      </w:r>
    </w:p>
    <w:p w14:paraId="02004B2D" w14:textId="77777777" w:rsidR="006575CC" w:rsidRDefault="009F2BF5">
      <w:pPr>
        <w:numPr>
          <w:ilvl w:val="0"/>
          <w:numId w:val="10"/>
        </w:numPr>
      </w:pPr>
      <w:r>
        <w:t>Không có nhiều thông tin về cách GCC thực hiện các cuộc đàm phán thực tế, bao gồm việc các quốc gia thành viên GCC bảo đảm một mandate (ủy quyền) thống nhất như thế nào, cũng như vai trò của Ban Thư ký (chẳng hạn Điều phối viên chung cho các cuộc đàm phán và Trưởng Nhóm đàm phán của GCC.</w:t>
      </w:r>
      <w:r>
        <w:rPr>
          <w:vertAlign w:val="superscript"/>
        </w:rPr>
        <w:footnoteReference w:id="2"/>
      </w:r>
      <w:r>
        <w:t>) so với chức Chủ tịch GCC. Tuy nhiên, đã ghi nhận rằng các FTA hiện có của GCC (tức là FTA GCC–Singapore và FTA GCC–EFTA) đã được ký – thay mặt cho GCC – bởi quốc gia đang giữ chức Chủ tịch GCC cùng với Tổng Thư ký của GCC.</w:t>
      </w:r>
    </w:p>
    <w:p w14:paraId="60509CBE" w14:textId="77777777" w:rsidR="006575CC" w:rsidRDefault="009F2BF5">
      <w:pPr>
        <w:numPr>
          <w:ilvl w:val="0"/>
          <w:numId w:val="10"/>
        </w:numPr>
      </w:pPr>
      <w:r>
        <w:t xml:space="preserve">Ngoại trừ FTA GCC–EU, hầu hết các cuộc đàm phán FTA đang diễn ra hoặc đang chờ của GCC đều được tiến hành sau khi đã ký một thỏa thuận khung. Khác với ASEAN – nơi một số FTA được đàm phán lần lượt – các FTA của GCC được và đang được đàm phán như một gói thống nhất, dù phạm vi và mức độ bao phủ có thể khác nhau. Điểm đáng chú ý trong các FTA của GCC là sự xuất hiện của những yếu tố vốn nhạy cảm đối với ASEAN, chẳng hạn như doanh nghiệp nhà nước và mua sắm chính phủ. Dù đúng là một số FTA của ASEAN, như RCEP, đã bao gồm nội dung về mua sắm chính phủ, phạm vi của chúng chỉ giới hạn ở minh bạch và hợp tác. Các yếu tố khác vốn còn khá mới trong các FTA của ASEAN – như chính sách cạnh tranh, sở </w:t>
      </w:r>
      <w:r>
        <w:lastRenderedPageBreak/>
        <w:t>hữu trí tuệ, thương mại điện tử và phát triển bền vững (như trường hợp FTA giữa GCC và New Zealand) – cũng là những nội dung phổ biến trong các FTA của GCC.</w:t>
      </w:r>
    </w:p>
    <w:p w14:paraId="227165D9" w14:textId="77777777" w:rsidR="006575CC" w:rsidRDefault="009F2BF5">
      <w:pPr>
        <w:numPr>
          <w:ilvl w:val="0"/>
          <w:numId w:val="10"/>
        </w:numPr>
      </w:pPr>
      <w:r>
        <w:t>Như đã đề cập, GCC hiện có 12 cuộc đàm phán FTA đang chờ, trong đó 6 cuộc với các quốc gia mà ASEAN cũng đã có FTA. Những thách thức trong quá trình đàm phán này điển hình cho việc đàm phán với tư cách một khối. Chẳng hạn, sự khác biệt về lợi ích kinh tế và chính trị quốc gia, cũng như các yếu tố nhạy cảm trong những lĩnh vực cụ thể, hầu như luôn dẫn đến việc đàm phán kéo dài. Tóm lại, mặc dù GCC cố gắng tận dụng tối đa chính sách thương mại đối ngoại chung, nhưng việc phối hợp phức tạp cùng mức độ linh hoạt và thỏa hiệp đáng kể là điều cần thiết để đạt được lập trường thống nhất khi làm việc với các đối tác FTA tiềm năng của khối.</w:t>
      </w:r>
    </w:p>
    <w:p w14:paraId="735D09AD" w14:textId="77777777" w:rsidR="006575CC" w:rsidRDefault="009F2BF5">
      <w:pPr>
        <w:numPr>
          <w:ilvl w:val="0"/>
          <w:numId w:val="10"/>
        </w:numPr>
      </w:pPr>
      <w:r>
        <w:rPr>
          <w:b/>
          <w:bCs/>
          <w:u w:val="single"/>
        </w:rPr>
        <w:t>ASEAN.</w:t>
      </w:r>
      <w:r>
        <w:t xml:space="preserve"> Cách tiếp cận của ASEAN trong các cuộc đàm phán FTA được định hướng bởi nguyên tắc chung rằng các cuộc đàm phán này phải do ASEAN dẫn dắt nhằm duy trì vai trò trung tâm của ASEAN. Các nguyên tắc khác mà ASEAN tuân thủ khi theo đuổi FTA gồm: (i) áp dụng chế độ ưu đãi và đối xử đặc biệt, đặc biệt dành cho các quốc gia ASEAN kém phát triển nhất; và (ii) FTA phải đóng góp vào tiến trình xây dựng Cộng đồng Kinh tế ASEAN, đồng thời thu hẹp khoảng cách phát triển không chỉ giữa các Quốc gia Thành viên ASEAN mà còn giữa ASEAN và đối tác FTA tiềm năng.</w:t>
      </w:r>
    </w:p>
    <w:p w14:paraId="53491580" w14:textId="409B7F97" w:rsidR="006575CC" w:rsidRDefault="009F2BF5">
      <w:pPr>
        <w:numPr>
          <w:ilvl w:val="0"/>
          <w:numId w:val="10"/>
        </w:numPr>
      </w:pPr>
      <w:r>
        <w:t xml:space="preserve">Khác với GCC, ASEAN không phải là một Liên minh Hải quan, do đó không thể có một biểu cam kết chung duy nhất trong các FTA. Tuy nhiên, ASEAN áp dụng nguyên tắc “nhượng bộ chung”, nghĩa là mặc dù mỗi Quốc gia Thành viên ASEAN sẽ có </w:t>
      </w:r>
      <w:r w:rsidR="00F1697E">
        <w:t>biểu</w:t>
      </w:r>
      <w:r>
        <w:t xml:space="preserve"> cam kết riêng đối với đối tác FTA tiềm năng, nhưng đối tác này chỉ được áp dụng một biểu cam kết thống nhất cho cả mười Quốc gia Thành viên ASEAN. Cách tiếp cận này nhằm bảo đảm tất cả các thành viên đều được đối xử bình đẳng và không bị phân biệt. Nguyên tắc “nhượng bộ chung” này lại tạo ra thách thức cho đối tác FTA tiềm năng, đặc biệt trong các cuộc đàm phán FTA khu vực–khu vực, như với Liên minh châu Âu, vì mô hình thương mại của từng quốc gia thành viên ASEAN có thể khác nhau và đối tác khó có thể tối đa hóa cơ hội tiếp cận thị trường.</w:t>
      </w:r>
    </w:p>
    <w:p w14:paraId="35CABFD2" w14:textId="77777777" w:rsidR="006575CC" w:rsidRDefault="009F2BF5">
      <w:pPr>
        <w:numPr>
          <w:ilvl w:val="0"/>
          <w:numId w:val="10"/>
        </w:numPr>
      </w:pPr>
      <w:r>
        <w:t>Ngoại trừ cách tiếp cận đàm phán tuần tự trong các FTA ASEAN–Trung Quốc, ASEAN–Hàn Quốc, ASEAN–Ấn Độ và ở một mức độ nhất định là AJCEP, cách tiếp cận đàm phán FTA của ASEAN nhìn chung khá giống với GCC, đặc biệt khi hầu hết các cuộc đàm phán FTA đều được khởi động sau khi ký các thỏa thuận khung. Các ngoại lệ gồm AANZFTA và RCEP, khi cả hai đều được tiến hành dựa trên một bộ Nguyên tắc Hướng dẫn, và trong trường hợp của Canada, một bản tham chiếu đã được sử dụng làm cơ sở để khởi động đàm phán FTA.</w:t>
      </w:r>
    </w:p>
    <w:p w14:paraId="3E2D997B" w14:textId="77777777" w:rsidR="006575CC" w:rsidRDefault="009F2BF5">
      <w:pPr>
        <w:numPr>
          <w:ilvl w:val="0"/>
          <w:numId w:val="10"/>
        </w:numPr>
      </w:pPr>
      <w:r>
        <w:t xml:space="preserve">Về phạm vi và đối tượng điều chỉnh, ASEAN cũng khá tương đồng với GCC ở chỗ cả hai đều bao quát các yếu tố truyền thống của thương mại hàng hóa và các yếu tố liên quan (tức là quy tắc xuất xứ, rào cản kỹ thuật đối với thương mại, các biện pháp vệ sinh và kiểm dịch động thực vật, thủ tục hải quan và tạo thuận lợi thương mại, cũng như các biện pháp phòng vệ thương mại), thương mại dịch vụ, đầu tư và giải quyết tranh chấp. Các yếu tố phi truyền thống, chẳng hạn như chính sách cạnh tranh, sở hữu trí tuệ, thương mại điện tử và mua sắm công, cũng được đưa vào – ít nhất là trong RCEP và AANZFTA – mặc dù mức độ tham vọng có khác nhau. Cần lưu ý rằng </w:t>
      </w:r>
      <w:r>
        <w:lastRenderedPageBreak/>
        <w:t>các nâng cấp gần đây của các FTA của ASEAN, đặc biệt là AANZFTA và ACFTA, đã bắt đầu đưa vào các yếu tố mới và nổi bật như phát triển bền vững, chuyển đổi số, thương mại trong tình huống khủng hoảng và kết nối chuỗi cung ứng. Hợp tác kinh tế cũng là một yếu tố bắt buộc trong các FTA của ASEAN vì điều này cung cấp chiều phát triển trong các hiệp định như vậy.</w:t>
      </w:r>
    </w:p>
    <w:p w14:paraId="7665D461" w14:textId="77777777" w:rsidR="006575CC" w:rsidRDefault="009F2BF5">
      <w:pPr>
        <w:numPr>
          <w:ilvl w:val="0"/>
          <w:numId w:val="10"/>
        </w:numPr>
      </w:pPr>
      <w:r>
        <w:t>Khác với GCC, nơi chức vụ chủ tịch đóng vai trò then chốt trong các cuộc đàm phán, ở ASEAN, các quốc gia thành viên được chỉ định làm điều phối viên quốc gia và sẽ đảm nhiệm vai trò trưởng đoàn đàm phán của ASEAN, như được trình bày trong Bảng 8.</w:t>
      </w:r>
    </w:p>
    <w:p w14:paraId="3B917F21" w14:textId="77777777" w:rsidR="006575CC" w:rsidRDefault="009F2BF5">
      <w:pPr>
        <w:jc w:val="center"/>
      </w:pPr>
      <w:bookmarkStart w:id="18" w:name="_heading=h.qyo5mlvpezta" w:colFirst="0" w:colLast="0"/>
      <w:bookmarkEnd w:id="18"/>
      <w:r>
        <w:rPr>
          <w:b/>
          <w:bCs/>
        </w:rPr>
        <w:t>Bảng 8. Việc chỉ định các Quốc gia Thành viên ASEAN làm Điều phối viên quốc gia cho các Hiệp định Thương mại Tự do của ASEAN</w:t>
      </w:r>
    </w:p>
    <w:tbl>
      <w:tblPr>
        <w:tblStyle w:val="5"/>
        <w:tblW w:w="79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1"/>
        <w:gridCol w:w="3961"/>
      </w:tblGrid>
      <w:tr w:rsidR="006575CC" w14:paraId="20B87015" w14:textId="77777777">
        <w:trPr>
          <w:trHeight w:val="340"/>
          <w:jc w:val="center"/>
        </w:trPr>
        <w:tc>
          <w:tcPr>
            <w:tcW w:w="3961" w:type="dxa"/>
            <w:vAlign w:val="center"/>
          </w:tcPr>
          <w:p w14:paraId="57C6F26C" w14:textId="77777777" w:rsidR="006575CC" w:rsidRDefault="009F2BF5">
            <w:pPr>
              <w:jc w:val="center"/>
              <w:rPr>
                <w:b/>
                <w:bCs/>
                <w:sz w:val="20"/>
                <w:szCs w:val="20"/>
              </w:rPr>
            </w:pPr>
            <w:r>
              <w:rPr>
                <w:b/>
                <w:bCs/>
                <w:sz w:val="20"/>
                <w:szCs w:val="20"/>
              </w:rPr>
              <w:t>Hiệp định thương mại tự do của ASEAN</w:t>
            </w:r>
          </w:p>
        </w:tc>
        <w:tc>
          <w:tcPr>
            <w:tcW w:w="3961" w:type="dxa"/>
            <w:vAlign w:val="center"/>
          </w:tcPr>
          <w:p w14:paraId="064F067C" w14:textId="77777777" w:rsidR="006575CC" w:rsidRDefault="009F2BF5">
            <w:pPr>
              <w:jc w:val="center"/>
              <w:rPr>
                <w:b/>
                <w:bCs/>
                <w:sz w:val="20"/>
                <w:szCs w:val="20"/>
              </w:rPr>
            </w:pPr>
            <w:r>
              <w:rPr>
                <w:b/>
                <w:bCs/>
                <w:sz w:val="20"/>
                <w:szCs w:val="20"/>
              </w:rPr>
              <w:t>Điều phối viên quốc gia</w:t>
            </w:r>
          </w:p>
        </w:tc>
      </w:tr>
      <w:tr w:rsidR="006575CC" w14:paraId="732F4AC7" w14:textId="77777777">
        <w:trPr>
          <w:trHeight w:val="340"/>
          <w:jc w:val="center"/>
        </w:trPr>
        <w:tc>
          <w:tcPr>
            <w:tcW w:w="3961" w:type="dxa"/>
            <w:vAlign w:val="center"/>
          </w:tcPr>
          <w:p w14:paraId="5EB08F79" w14:textId="77777777" w:rsidR="006575CC" w:rsidRDefault="009F2BF5">
            <w:pPr>
              <w:jc w:val="center"/>
              <w:rPr>
                <w:sz w:val="20"/>
                <w:szCs w:val="20"/>
              </w:rPr>
            </w:pPr>
            <w:r>
              <w:rPr>
                <w:sz w:val="20"/>
                <w:szCs w:val="20"/>
              </w:rPr>
              <w:t>Hiệp định thương mại tự do ASEAN-Trung Quốc</w:t>
            </w:r>
          </w:p>
        </w:tc>
        <w:tc>
          <w:tcPr>
            <w:tcW w:w="3961" w:type="dxa"/>
            <w:vAlign w:val="center"/>
          </w:tcPr>
          <w:p w14:paraId="367CF77D" w14:textId="77777777" w:rsidR="006575CC" w:rsidRDefault="009F2BF5">
            <w:pPr>
              <w:jc w:val="center"/>
              <w:rPr>
                <w:sz w:val="20"/>
                <w:szCs w:val="20"/>
              </w:rPr>
            </w:pPr>
            <w:r>
              <w:rPr>
                <w:sz w:val="20"/>
                <w:szCs w:val="20"/>
              </w:rPr>
              <w:t>Thailand</w:t>
            </w:r>
          </w:p>
        </w:tc>
      </w:tr>
      <w:tr w:rsidR="006575CC" w14:paraId="40CBCDFE" w14:textId="77777777">
        <w:trPr>
          <w:trHeight w:val="340"/>
          <w:jc w:val="center"/>
        </w:trPr>
        <w:tc>
          <w:tcPr>
            <w:tcW w:w="3961" w:type="dxa"/>
            <w:vAlign w:val="center"/>
          </w:tcPr>
          <w:p w14:paraId="7854A25C" w14:textId="77777777" w:rsidR="006575CC" w:rsidRDefault="009F2BF5">
            <w:pPr>
              <w:jc w:val="center"/>
              <w:rPr>
                <w:sz w:val="20"/>
                <w:szCs w:val="20"/>
              </w:rPr>
            </w:pPr>
            <w:r>
              <w:rPr>
                <w:sz w:val="20"/>
                <w:szCs w:val="20"/>
              </w:rPr>
              <w:t>Hiệp định thương mại tự do ASEAN-Hàn Quốc</w:t>
            </w:r>
          </w:p>
        </w:tc>
        <w:tc>
          <w:tcPr>
            <w:tcW w:w="3961" w:type="dxa"/>
            <w:vAlign w:val="center"/>
          </w:tcPr>
          <w:p w14:paraId="61E59D2E" w14:textId="77777777" w:rsidR="006575CC" w:rsidRDefault="009F2BF5">
            <w:pPr>
              <w:jc w:val="center"/>
              <w:rPr>
                <w:sz w:val="20"/>
                <w:szCs w:val="20"/>
              </w:rPr>
            </w:pPr>
            <w:r>
              <w:rPr>
                <w:sz w:val="20"/>
                <w:szCs w:val="20"/>
              </w:rPr>
              <w:t>Singapore</w:t>
            </w:r>
          </w:p>
        </w:tc>
      </w:tr>
      <w:tr w:rsidR="006575CC" w14:paraId="7EE83ACA" w14:textId="77777777">
        <w:trPr>
          <w:trHeight w:val="340"/>
          <w:jc w:val="center"/>
        </w:trPr>
        <w:tc>
          <w:tcPr>
            <w:tcW w:w="3961" w:type="dxa"/>
            <w:vAlign w:val="center"/>
          </w:tcPr>
          <w:p w14:paraId="65AA72C5" w14:textId="77777777" w:rsidR="006575CC" w:rsidRDefault="009F2BF5">
            <w:pPr>
              <w:jc w:val="center"/>
              <w:rPr>
                <w:sz w:val="20"/>
                <w:szCs w:val="20"/>
              </w:rPr>
            </w:pPr>
            <w:r>
              <w:rPr>
                <w:sz w:val="20"/>
                <w:szCs w:val="20"/>
              </w:rPr>
              <w:t>Hiệp định Hợp tác Kinh tế ASEAN-Nhật Bản</w:t>
            </w:r>
          </w:p>
        </w:tc>
        <w:tc>
          <w:tcPr>
            <w:tcW w:w="3961" w:type="dxa"/>
            <w:vAlign w:val="center"/>
          </w:tcPr>
          <w:p w14:paraId="5701E62D" w14:textId="77777777" w:rsidR="006575CC" w:rsidRDefault="009F2BF5">
            <w:pPr>
              <w:jc w:val="center"/>
              <w:rPr>
                <w:sz w:val="20"/>
                <w:szCs w:val="20"/>
              </w:rPr>
            </w:pPr>
            <w:r>
              <w:rPr>
                <w:sz w:val="20"/>
                <w:szCs w:val="20"/>
              </w:rPr>
              <w:t xml:space="preserve"> Philippines</w:t>
            </w:r>
          </w:p>
        </w:tc>
      </w:tr>
      <w:tr w:rsidR="006575CC" w14:paraId="7318822B" w14:textId="77777777">
        <w:trPr>
          <w:trHeight w:val="340"/>
          <w:jc w:val="center"/>
        </w:trPr>
        <w:tc>
          <w:tcPr>
            <w:tcW w:w="3961" w:type="dxa"/>
            <w:vAlign w:val="center"/>
          </w:tcPr>
          <w:p w14:paraId="2E244D8C" w14:textId="77777777" w:rsidR="006575CC" w:rsidRDefault="009F2BF5">
            <w:pPr>
              <w:jc w:val="center"/>
              <w:rPr>
                <w:sz w:val="20"/>
                <w:szCs w:val="20"/>
              </w:rPr>
            </w:pPr>
            <w:r>
              <w:rPr>
                <w:sz w:val="20"/>
                <w:szCs w:val="20"/>
              </w:rPr>
              <w:t>Hiệp định thương mại tự do ASEAN - Úc - New Zealand</w:t>
            </w:r>
          </w:p>
        </w:tc>
        <w:tc>
          <w:tcPr>
            <w:tcW w:w="3961" w:type="dxa"/>
            <w:vAlign w:val="center"/>
          </w:tcPr>
          <w:p w14:paraId="41BFB892" w14:textId="77777777" w:rsidR="006575CC" w:rsidRDefault="009F2BF5">
            <w:pPr>
              <w:jc w:val="center"/>
              <w:rPr>
                <w:sz w:val="20"/>
                <w:szCs w:val="20"/>
              </w:rPr>
            </w:pPr>
            <w:r>
              <w:rPr>
                <w:sz w:val="20"/>
                <w:szCs w:val="20"/>
              </w:rPr>
              <w:t>Bru-nây</w:t>
            </w:r>
          </w:p>
        </w:tc>
      </w:tr>
      <w:tr w:rsidR="006575CC" w14:paraId="0463E4A7" w14:textId="77777777">
        <w:trPr>
          <w:trHeight w:val="340"/>
          <w:jc w:val="center"/>
        </w:trPr>
        <w:tc>
          <w:tcPr>
            <w:tcW w:w="3961" w:type="dxa"/>
            <w:vAlign w:val="center"/>
          </w:tcPr>
          <w:p w14:paraId="0E469041" w14:textId="77777777" w:rsidR="006575CC" w:rsidRDefault="009F2BF5">
            <w:pPr>
              <w:jc w:val="center"/>
              <w:rPr>
                <w:sz w:val="20"/>
                <w:szCs w:val="20"/>
              </w:rPr>
            </w:pPr>
            <w:r>
              <w:rPr>
                <w:sz w:val="20"/>
                <w:szCs w:val="20"/>
              </w:rPr>
              <w:t>Hiệp định thương mại tự do ASEAN - Ấn Độ</w:t>
            </w:r>
          </w:p>
        </w:tc>
        <w:tc>
          <w:tcPr>
            <w:tcW w:w="3961" w:type="dxa"/>
            <w:vAlign w:val="center"/>
          </w:tcPr>
          <w:p w14:paraId="4418BEFE" w14:textId="77777777" w:rsidR="006575CC" w:rsidRDefault="009F2BF5">
            <w:pPr>
              <w:jc w:val="center"/>
              <w:rPr>
                <w:sz w:val="20"/>
                <w:szCs w:val="20"/>
              </w:rPr>
            </w:pPr>
            <w:r>
              <w:rPr>
                <w:sz w:val="20"/>
                <w:szCs w:val="20"/>
              </w:rPr>
              <w:t>Malaysia</w:t>
            </w:r>
          </w:p>
        </w:tc>
      </w:tr>
      <w:tr w:rsidR="006575CC" w14:paraId="4B02A525" w14:textId="77777777">
        <w:trPr>
          <w:trHeight w:val="340"/>
          <w:jc w:val="center"/>
        </w:trPr>
        <w:tc>
          <w:tcPr>
            <w:tcW w:w="3961" w:type="dxa"/>
            <w:vAlign w:val="center"/>
          </w:tcPr>
          <w:p w14:paraId="07478DFF" w14:textId="77777777" w:rsidR="006575CC" w:rsidRDefault="009F2BF5">
            <w:pPr>
              <w:jc w:val="center"/>
              <w:rPr>
                <w:sz w:val="20"/>
                <w:szCs w:val="20"/>
              </w:rPr>
            </w:pPr>
            <w:r>
              <w:rPr>
                <w:sz w:val="20"/>
                <w:szCs w:val="20"/>
              </w:rPr>
              <w:t>Hiệp định thương mại tự do ASEAN - Hồng Công, Trung Quốc</w:t>
            </w:r>
          </w:p>
        </w:tc>
        <w:tc>
          <w:tcPr>
            <w:tcW w:w="3961" w:type="dxa"/>
            <w:vAlign w:val="center"/>
          </w:tcPr>
          <w:p w14:paraId="5F1F335F" w14:textId="77777777" w:rsidR="006575CC" w:rsidRDefault="009F2BF5">
            <w:pPr>
              <w:jc w:val="center"/>
              <w:rPr>
                <w:sz w:val="20"/>
                <w:szCs w:val="20"/>
              </w:rPr>
            </w:pPr>
            <w:r>
              <w:rPr>
                <w:sz w:val="20"/>
                <w:szCs w:val="20"/>
              </w:rPr>
              <w:t>Thái Lan</w:t>
            </w:r>
          </w:p>
        </w:tc>
      </w:tr>
      <w:tr w:rsidR="006575CC" w14:paraId="18573373" w14:textId="77777777">
        <w:trPr>
          <w:trHeight w:val="340"/>
          <w:jc w:val="center"/>
        </w:trPr>
        <w:tc>
          <w:tcPr>
            <w:tcW w:w="3961" w:type="dxa"/>
            <w:vAlign w:val="center"/>
          </w:tcPr>
          <w:p w14:paraId="3F8649EB" w14:textId="77777777" w:rsidR="006575CC" w:rsidRDefault="009F2BF5">
            <w:pPr>
              <w:jc w:val="center"/>
              <w:rPr>
                <w:sz w:val="20"/>
                <w:szCs w:val="20"/>
              </w:rPr>
            </w:pPr>
            <w:r>
              <w:rPr>
                <w:sz w:val="20"/>
                <w:szCs w:val="20"/>
              </w:rPr>
              <w:t>Regional Comprehensive Economic Partnership Agreement</w:t>
            </w:r>
          </w:p>
        </w:tc>
        <w:tc>
          <w:tcPr>
            <w:tcW w:w="3961" w:type="dxa"/>
            <w:vAlign w:val="center"/>
          </w:tcPr>
          <w:p w14:paraId="1DCE8F2B" w14:textId="77777777" w:rsidR="006575CC" w:rsidRDefault="009F2BF5">
            <w:pPr>
              <w:jc w:val="center"/>
              <w:rPr>
                <w:sz w:val="20"/>
                <w:szCs w:val="20"/>
              </w:rPr>
            </w:pPr>
            <w:r>
              <w:rPr>
                <w:sz w:val="20"/>
                <w:szCs w:val="20"/>
              </w:rPr>
              <w:t>Indonesia</w:t>
            </w:r>
          </w:p>
        </w:tc>
      </w:tr>
      <w:tr w:rsidR="006575CC" w14:paraId="171D961A" w14:textId="77777777">
        <w:trPr>
          <w:trHeight w:val="340"/>
          <w:jc w:val="center"/>
        </w:trPr>
        <w:tc>
          <w:tcPr>
            <w:tcW w:w="3961" w:type="dxa"/>
            <w:vAlign w:val="center"/>
          </w:tcPr>
          <w:p w14:paraId="645D798C" w14:textId="77777777" w:rsidR="006575CC" w:rsidRDefault="009F2BF5">
            <w:pPr>
              <w:jc w:val="center"/>
              <w:rPr>
                <w:sz w:val="20"/>
                <w:szCs w:val="20"/>
              </w:rPr>
            </w:pPr>
            <w:r>
              <w:rPr>
                <w:sz w:val="20"/>
                <w:szCs w:val="20"/>
              </w:rPr>
              <w:t>Hiệp định Thương mại Tự do ASEAN–Liên minh Châu Âu (tạm ngừng)</w:t>
            </w:r>
          </w:p>
        </w:tc>
        <w:tc>
          <w:tcPr>
            <w:tcW w:w="3961" w:type="dxa"/>
            <w:vAlign w:val="center"/>
          </w:tcPr>
          <w:p w14:paraId="710CE798" w14:textId="77777777" w:rsidR="006575CC" w:rsidRDefault="009F2BF5">
            <w:pPr>
              <w:jc w:val="center"/>
              <w:rPr>
                <w:sz w:val="20"/>
                <w:szCs w:val="20"/>
              </w:rPr>
            </w:pPr>
            <w:r>
              <w:rPr>
                <w:sz w:val="20"/>
                <w:szCs w:val="20"/>
              </w:rPr>
              <w:t>Việt Nam</w:t>
            </w:r>
          </w:p>
        </w:tc>
      </w:tr>
      <w:tr w:rsidR="006575CC" w14:paraId="2BC214F5" w14:textId="77777777">
        <w:trPr>
          <w:trHeight w:val="340"/>
          <w:jc w:val="center"/>
        </w:trPr>
        <w:tc>
          <w:tcPr>
            <w:tcW w:w="3961" w:type="dxa"/>
            <w:vAlign w:val="center"/>
          </w:tcPr>
          <w:p w14:paraId="65141BDD" w14:textId="77777777" w:rsidR="006575CC" w:rsidRDefault="009F2BF5">
            <w:pPr>
              <w:jc w:val="center"/>
              <w:rPr>
                <w:sz w:val="20"/>
                <w:szCs w:val="20"/>
              </w:rPr>
            </w:pPr>
            <w:r>
              <w:rPr>
                <w:sz w:val="20"/>
                <w:szCs w:val="20"/>
              </w:rPr>
              <w:lastRenderedPageBreak/>
              <w:t>Hiệp định Thương mại Tự do ASEAN–Canada (đang tiến hành)</w:t>
            </w:r>
          </w:p>
        </w:tc>
        <w:tc>
          <w:tcPr>
            <w:tcW w:w="3961" w:type="dxa"/>
            <w:vAlign w:val="center"/>
          </w:tcPr>
          <w:p w14:paraId="4F7DE4DF" w14:textId="77777777" w:rsidR="006575CC" w:rsidRDefault="009F2BF5">
            <w:pPr>
              <w:jc w:val="center"/>
              <w:rPr>
                <w:sz w:val="20"/>
                <w:szCs w:val="20"/>
              </w:rPr>
            </w:pPr>
            <w:r>
              <w:rPr>
                <w:sz w:val="20"/>
                <w:szCs w:val="20"/>
              </w:rPr>
              <w:t>Indonesia</w:t>
            </w:r>
          </w:p>
        </w:tc>
      </w:tr>
    </w:tbl>
    <w:p w14:paraId="4FAABB97" w14:textId="77777777" w:rsidR="006575CC" w:rsidRDefault="009F2BF5">
      <w:pPr>
        <w:ind w:firstLine="720"/>
      </w:pPr>
      <w:r>
        <w:rPr>
          <w:sz w:val="20"/>
          <w:szCs w:val="20"/>
        </w:rPr>
        <w:t>Nguồn: Tổng hợp của tác giả.</w:t>
      </w:r>
    </w:p>
    <w:p w14:paraId="63EB7FB9" w14:textId="37459707" w:rsidR="006575CC" w:rsidRDefault="009F2BF5">
      <w:r>
        <w:t xml:space="preserve">Đối với từng </w:t>
      </w:r>
      <w:r w:rsidR="00F1697E">
        <w:t>nội dung</w:t>
      </w:r>
      <w:r>
        <w:t xml:space="preserve"> đàm phán, các nhóm công tác và </w:t>
      </w:r>
      <w:r w:rsidR="00F1697E">
        <w:t xml:space="preserve">tiểu </w:t>
      </w:r>
      <w:r>
        <w:t xml:space="preserve">nhóm công tác (đối với các </w:t>
      </w:r>
      <w:r w:rsidR="00F1697E">
        <w:t>nội dung</w:t>
      </w:r>
      <w:r>
        <w:t xml:space="preserve"> liên quan đến thương mại hàng hóa) hoạt động dưới Ủy ban Đàm phán Thương mại (TNC), ví dụ, các Nhóm Công tác về Thương mại Hàng hóa, Thương mại Dịch vụ, Đầu tư, v.v., được thành lập. Một Nhóm Công tác về Vấn đề Pháp lý và Thể chế cũng được tạo ra để đàm phán không chỉ cơ chế giải quyết tranh chấp của hiệp định mà còn các điều khoản chung, chẳng hạn như Lời nói đầu và các Điều khoản Cuối cùng. TNC cùng các nhóm công tác và nhóm công tác phụ dưới quyền được hỗ trợ bởi Ban Thư ký ASEAN, cung cấp không chỉ hỗ trợ thư ký mà còn chuyên môn kỹ thuật.</w:t>
      </w:r>
    </w:p>
    <w:p w14:paraId="5C8FBD50" w14:textId="4BD5C7DE" w:rsidR="006575CC" w:rsidRDefault="009F2BF5">
      <w:pPr>
        <w:numPr>
          <w:ilvl w:val="0"/>
          <w:numId w:val="10"/>
        </w:numPr>
      </w:pPr>
      <w:r>
        <w:t>Giống như bất kỳ cuộc đàm phán thương mại nào</w:t>
      </w:r>
      <w:r w:rsidR="00F1697E">
        <w:t xml:space="preserve"> mà</w:t>
      </w:r>
      <w:r>
        <w:t xml:space="preserve"> các quốc gia đàm phán dưới hình thức một khối, việc hòa giải các quan điểm khác nhau để đạt được sự đồng thuận luôn là một thách thức đối với việc đạt được các kết quả toàn diện và cân bằng. Cố gắng cân bằng lợi ích quốc gia với các mục tiêu của khu vực cũng là một thách thức lớn. Điều này càng trở nên khó khăn hơn nếu đối tác tiềm năng của FTA là một nền kinh tế phát triển. Các nước phát triển thường đặt ra mức độ tham vọng rất cao và thậm chí thúc đẩy các vấn đề không nhận được sự ủng hộ ở cấp đa phương nhưng có ý nghĩa thương mại.</w:t>
      </w:r>
    </w:p>
    <w:p w14:paraId="115E8F7D" w14:textId="77777777" w:rsidR="006575CC" w:rsidRDefault="009F2BF5">
      <w:pPr>
        <w:numPr>
          <w:ilvl w:val="0"/>
          <w:numId w:val="10"/>
        </w:numPr>
      </w:pPr>
      <w:r>
        <w:t>Cách tiếp cận đàm phán thương mại của ASEAN và GCC gần như giống nhau trên mọi khía cạnh, bao gồm cả những thách thức khi đàm phán dưới hình thức một khối. Tuy nhiên, có thể cần xem xét kỹ hơn về những khó khăn mà GCC gặp phải trong việc kết thúc các cuộc đàm phán FTA, đặc biệt khi tổ chức này là một Liên minh Hải quan.</w:t>
      </w:r>
    </w:p>
    <w:p w14:paraId="73B377B0" w14:textId="77777777" w:rsidR="006575CC" w:rsidRDefault="009F2BF5">
      <w:pPr>
        <w:numPr>
          <w:ilvl w:val="0"/>
          <w:numId w:val="13"/>
        </w:numPr>
        <w:rPr>
          <w:b/>
          <w:bCs/>
        </w:rPr>
      </w:pPr>
      <w:bookmarkStart w:id="19" w:name="_heading=h.ofunn3hlovha" w:colFirst="0" w:colLast="0"/>
      <w:bookmarkEnd w:id="19"/>
      <w:r>
        <w:rPr>
          <w:b/>
          <w:bCs/>
        </w:rPr>
        <w:t>Những phát hiện chính trong Báo cáo Tiêu chí của Ban Thư ký ASEAN</w:t>
      </w:r>
    </w:p>
    <w:p w14:paraId="47038D81" w14:textId="4DB3EEEA" w:rsidR="006575CC" w:rsidRDefault="009F2BF5">
      <w:pPr>
        <w:numPr>
          <w:ilvl w:val="0"/>
          <w:numId w:val="10"/>
        </w:numPr>
      </w:pPr>
      <w:r>
        <w:t xml:space="preserve">“Tài liệu Tiêu chí và Phương thức Hướng dẫn ASEAN trong Hợp tác Kinh tế Chiến lược với các </w:t>
      </w:r>
      <w:r w:rsidR="00F1697E">
        <w:t>Đối tác ngoại khối</w:t>
      </w:r>
      <w:r>
        <w:t>” là một văn kiện nội bộ của ASEAN, được các Bộ trưởng Kinh tế ASEAN phê chuẩn vào năm 2019, nhằm hướng dẫn đánh giá các FTA/CEP tiềm năng của ASEAN với các đối tác bên ngoài. Theo văn kiện này, các tiêu chí sau được sử dụng để đánh giá khả năng ký kết FTA ASEAN-GCC: i) ý nghĩa kinh tế; ii) mức độ hội tụ về tham vọng; iii) nguồn lực cần thiết; iv) cân nhắc địa chiến lược; và v) các cân nhắc khác, bao gồm sự ủng hộ của các nhóm lợi ích trong nước/khu vực đối với FTA. Các kết quả từ đánh giá này được tóm tắt như sau.</w:t>
      </w:r>
    </w:p>
    <w:p w14:paraId="6E585D5C" w14:textId="77777777" w:rsidR="006575CC" w:rsidRDefault="009F2BF5">
      <w:pPr>
        <w:numPr>
          <w:ilvl w:val="0"/>
          <w:numId w:val="10"/>
        </w:numPr>
      </w:pPr>
      <w:r>
        <w:rPr>
          <w:b/>
          <w:bCs/>
          <w:u w:val="single"/>
        </w:rPr>
        <w:t>Ý nghĩa kinh tế.</w:t>
      </w:r>
      <w:r>
        <w:t xml:space="preserve"> Mặc dù GCC đứng thứ tám trong số các đối tác thương mại lớn nhất của ASEAN vào năm 2019, chỉ số bổ sung thương mại (trade complementarity score) giữa ASEAN và GCC đạt 44,2 trong năm 2019, mặc dù ở mức tương đối khiêm tốn, nhưng thực tế là thấp nhất trong số sáu nền kinh tế từng được đánh giá theo Báo cáo Tiêu chí của Ban Thư ký ASEAN. Điều này có thể cho thấy triển vọng tương đối hạn chế trong việc theo đuổi một thỏa thuận thương mại khả thi. Tính đa dạng trong </w:t>
      </w:r>
      <w:r>
        <w:lastRenderedPageBreak/>
        <w:t>thương mại giữa ASEAN và GCC cũng được nhấn mạnh trong văn bản. Ví dụ, trong khi các sản phẩm liên quan đến nhiên liệu hóa thạch chiếm phần lớn nhập khẩu của ASEAN từ GCC, xuất khẩu của ASEAN sang GCC lại rất đa dạng, từ máy móc và thiết bị điện đến phương tiện giao thông cơ giới.</w:t>
      </w:r>
    </w:p>
    <w:p w14:paraId="4F0287E9" w14:textId="77777777" w:rsidR="006575CC" w:rsidRDefault="009F2BF5">
      <w:pPr>
        <w:numPr>
          <w:ilvl w:val="0"/>
          <w:numId w:val="10"/>
        </w:numPr>
      </w:pPr>
      <w:r>
        <w:t>Một FTA có thể chưa thực sự khả thi trong tương lai gần, nhưng cả hai bên có thể xem xét các cách tiếp cận thay thế để làm sâu sắc hơn quan hệ kinh tế, chẳng hạn như tăng cường hợp tác theo ngành trong các lĩnh vực ngân hàng Hồi giáo và ngành công nghiệp halal (đặc biệt là thực phẩm và du lịch), nơi ASEAN có tiềm năng trở thành các bên chủ chốt trong sự phát triển của những ngành này tại khu vực GCC. Du lịch y tế cũng là một lĩnh vực đáng xem xét, vì các quốc gia GCC có thể là một trong những nguồn chính của khách du lịch y tế đến khu vực.</w:t>
      </w:r>
    </w:p>
    <w:p w14:paraId="2F24C84B" w14:textId="77777777" w:rsidR="006575CC" w:rsidRDefault="009F2BF5">
      <w:pPr>
        <w:numPr>
          <w:ilvl w:val="0"/>
          <w:numId w:val="10"/>
        </w:numPr>
      </w:pPr>
      <w:r>
        <w:t>Các điểm khác được nhấn mạnh trong đánh giá bao gồm: (i) cơ hội tiềm năng khai thác các quỹ tài sản có chủ quyền (SWF) của GCC nhằm thúc đẩy đầu tư của GCC vào ASEAN, đặc biệt trong các lĩnh vực có lợi ích chung giữa hai khu vực; (ii) số lượng đáng kể các biện pháp phi thuế quan có thể cần được giải quyết trong trường hợp có FTA ASEAN-GCC.</w:t>
      </w:r>
    </w:p>
    <w:p w14:paraId="3124A623" w14:textId="6538F985" w:rsidR="006575CC" w:rsidRDefault="009F2BF5">
      <w:pPr>
        <w:numPr>
          <w:ilvl w:val="0"/>
          <w:numId w:val="10"/>
        </w:numPr>
      </w:pPr>
      <w:r>
        <w:rPr>
          <w:b/>
          <w:bCs/>
          <w:u w:val="single"/>
        </w:rPr>
        <w:t>Mức độ hội tụ về tham vọng.</w:t>
      </w:r>
      <w:r>
        <w:t xml:space="preserve"> GCC hiện có hai FTA, với Singapore và EFTA, trong khi ASEAN có bảy FTA, bao gồm cả RCEP. Đánh giá nhận thấy rằng ASEAN và GCC dường như có mức độ tham vọng tương đồng khi triển khai các FTA của mình và đều đưa vào các yếu tố vượt ra ngoài các chương truyền thống về thương mại hàng hóa và dịch vụ. Tuy nhiên, cũng nhận thấy rằng, trong khi FTA của GCC với Singapore và EFTA bao gồm mua sắm công – một yếu tố thường không có trong các FTA của ASEAN (trừ RCEP) – phạm vi điều chỉnh vẫn hơi hẹp hơn so với RCEP, vì không bao gồm một số lĩnh vực được xác định trong RCEP, mặc dù các cam kết ở mức tương đương hoặc hơi vượt trội so với RCEP của ASEAN. Ví dụ, trong FTA của GCC, chương mua sắm công là một chương có tính ràng buộc pháp lý. Trong RCEP, các cam kết chỉ giới hạn ở tính minh bạch và hợp tác, và chương này thậm chí không thuộc </w:t>
      </w:r>
      <w:r w:rsidR="00F1697E">
        <w:t xml:space="preserve">sự điều chỉnh của </w:t>
      </w:r>
      <w:r>
        <w:t xml:space="preserve">cơ chế giải quyết tranh chấp. Kinh nghiệm đàm phán FTA của GCC cũng được nêu bật, đặc biệt là thành công hạn chế trong việc kết thúc các cuộc đàm phán, một số thậm chí đã bắt đầu từ những năm 1990, mặc dù cũng được lưu ý rằng quyết định của khu vực vào cuối những năm 2000 tiến hành xem xét chính sách FTA và căng thẳng nội vùng </w:t>
      </w:r>
      <w:r w:rsidR="00F1697E">
        <w:t>Vịnh</w:t>
      </w:r>
      <w:r>
        <w:t xml:space="preserve"> vào năm 2017 đã góp phần làm chậm tiến độ.</w:t>
      </w:r>
    </w:p>
    <w:p w14:paraId="66064BBA" w14:textId="77777777" w:rsidR="006575CC" w:rsidRDefault="009F2BF5">
      <w:pPr>
        <w:numPr>
          <w:ilvl w:val="0"/>
          <w:numId w:val="10"/>
        </w:numPr>
      </w:pPr>
      <w:r>
        <w:rPr>
          <w:b/>
          <w:bCs/>
          <w:u w:val="single"/>
        </w:rPr>
        <w:t>Nguồn lực cần thiết</w:t>
      </w:r>
      <w:r>
        <w:t>. Đánh giá cũng lưu ý đến khoảng thời gian mà GCC đã mất để kết thúc đàm phán hai FTA của mình, cụ thể là GCC-Singapore và GCC-EFTA, cũng như thời gian để các FTA này có hiệu lực. Nghiên cứu kết luận rằng, mặc dù FTA ASEAN-GCC dự kiến là một thỏa thuận giữa hai khu vực, nhưng việc không có một “cơ quan điều hành khu vực” ở cả hai bên đồng nghĩa với việc về mặt kỹ thuật, đàm phán sẽ liên quan đến 16 quốc gia với các lợi ích quốc gia khác nhau. Cùng với kinh nghiệm của GCC trong việc kết thúc FTA với các nền kinh tế khác, khả năng cao là các cuộc đàm phán FTA ASEAN-GCC cũng sẽ mất thời gian để đi đến kết luận.</w:t>
      </w:r>
    </w:p>
    <w:p w14:paraId="1A94158F" w14:textId="77777777" w:rsidR="006575CC" w:rsidRDefault="006575CC">
      <w:pPr>
        <w:ind w:left="720"/>
        <w:rPr>
          <w:b/>
          <w:bCs/>
        </w:rPr>
      </w:pPr>
    </w:p>
    <w:p w14:paraId="3E0BD382" w14:textId="77777777" w:rsidR="006575CC" w:rsidRDefault="009F2BF5">
      <w:pPr>
        <w:numPr>
          <w:ilvl w:val="0"/>
          <w:numId w:val="10"/>
        </w:numPr>
      </w:pPr>
      <w:r>
        <w:rPr>
          <w:b/>
          <w:bCs/>
          <w:u w:val="single"/>
        </w:rPr>
        <w:lastRenderedPageBreak/>
        <w:t>Cân nhắc địa chiến lược và các yếu tố khác.</w:t>
      </w:r>
      <w:r>
        <w:t xml:space="preserve"> GCC là một nhóm khu vực quan trọng đối với ASEAN và ngược lại. Tuy nhiên, GCC không tham gia bất kỳ cơ chế nào do ASEAN dẫn dắt và mặc dù việc tương tác đã trở nên thường xuyên hơn, các trao đổi cho đến nay chủ yếu vẫn giới hạn trong APSC.</w:t>
      </w:r>
    </w:p>
    <w:p w14:paraId="66BE03C8" w14:textId="77777777" w:rsidR="006575CC" w:rsidRDefault="009F2BF5">
      <w:pPr>
        <w:numPr>
          <w:ilvl w:val="0"/>
          <w:numId w:val="10"/>
        </w:numPr>
      </w:pPr>
      <w:r>
        <w:t>Khi ASEAN tìm cách thúc đẩy quan hệ kinh tế sâu hơn với GCC, việc xem xét các cơ chế quản lý thương mại chiến lược cũng là điều quan trọng. Điều này có thể bao gồm các sáng kiến nhằm phát triển và điều chỉnh chính sách thương mại phù hợp với lợi ích an ninh quốc gia và giám sát các mặt hàng nhạy cảm, đặc biệt là những mặt hàng có khả năng sử dụng kép. Ngoài ra, việc tiến hành các đánh giá rủi ro kỹ lưỡng sẽ cần thiết để xác định các điểm yếu tiềm ẩn và những tác động đối với cả hai khu vực, chẳng hạn như nguy cơ thương mại bất hợp pháp hoặc các căng thẳng địa chính trị có thể phát sinh.</w:t>
      </w:r>
    </w:p>
    <w:p w14:paraId="22A3FC87" w14:textId="77777777" w:rsidR="006575CC" w:rsidRDefault="009F2BF5">
      <w:pPr>
        <w:numPr>
          <w:ilvl w:val="0"/>
          <w:numId w:val="13"/>
        </w:numPr>
        <w:rPr>
          <w:b/>
          <w:bCs/>
        </w:rPr>
      </w:pPr>
      <w:bookmarkStart w:id="20" w:name="_heading=h.bxt96237ppt1" w:colFirst="0" w:colLast="0"/>
      <w:bookmarkEnd w:id="20"/>
      <w:r>
        <w:rPr>
          <w:b/>
          <w:bCs/>
        </w:rPr>
        <w:t>Lợi ích tiềm năng từ FTA ASEAN-GCC</w:t>
      </w:r>
    </w:p>
    <w:p w14:paraId="081B9DF7" w14:textId="77777777" w:rsidR="006575CC" w:rsidRDefault="009F2BF5">
      <w:pPr>
        <w:numPr>
          <w:ilvl w:val="0"/>
          <w:numId w:val="10"/>
        </w:numPr>
      </w:pPr>
      <w:r>
        <w:t>Để đánh giá những tác động kinh tế của một FTA ASEAN-GCC tiềm năng, một mô hình mô phỏng kinh tế đã được sử dụng nhằm dự báo các lợi ích mà cả hai khu vực có thể đạt được. Kết quả mô phỏng cho thấy ASEAN sẽ hưởng lợi kinh tế đáng kể, đặc biệt là về tăng trưởng GDP, mở rộng xuất khẩu và gia tăng dòng vốn đầu tư trực tiếp nước ngoài (FDI) chảy vào khu vực.</w:t>
      </w:r>
      <w:r>
        <w:rPr>
          <w:vertAlign w:val="superscript"/>
        </w:rPr>
        <w:footnoteReference w:id="3"/>
      </w:r>
    </w:p>
    <w:p w14:paraId="2687B4D2" w14:textId="77777777" w:rsidR="006575CC" w:rsidRDefault="009F2BF5">
      <w:pPr>
        <w:numPr>
          <w:ilvl w:val="0"/>
          <w:numId w:val="10"/>
        </w:numPr>
      </w:pPr>
      <w:r>
        <w:rPr>
          <w:b/>
          <w:bCs/>
          <w:u w:val="single"/>
        </w:rPr>
        <w:t>Tăng trưởng GDP.</w:t>
      </w:r>
      <w:r>
        <w:t xml:space="preserve"> Hiệp định Thương mại Tự do ASEAN-GCC có khả năng mang lại cho ASEAN khoản lợi ích kinh tế khoảng 90 tỷ USD, tương đương khoảng 3,5% GDP của ASEAN trong vòng mười năm. Như được minh họa trong Hình 1, mức tăng trưởng dự báo này có xu hướng đi lên ổn định, với GDP cơ sở (không có FTA) liên tục bị GDP dự đoán có FTA vượt trội. Chênh lệch GDP hàng năm ("Delta GDP", tức là sự khác biệt giữa GDP dự đoán với FTA và không có FTA) tăng dần từ 7,8 tỷ USD ở Năm 1 lên 10,4 tỷ USD vào Năm 8, cho thấy tác động tích lũy tích cực từ việc hội nhập kinh tế sâu hơn giữa hai khu vực.</w:t>
      </w:r>
    </w:p>
    <w:p w14:paraId="3F309695" w14:textId="77777777" w:rsidR="006575CC" w:rsidRDefault="006575CC">
      <w:pPr>
        <w:ind w:left="720"/>
      </w:pPr>
    </w:p>
    <w:p w14:paraId="460DB81B" w14:textId="77777777" w:rsidR="006575CC" w:rsidRDefault="006575CC">
      <w:pPr>
        <w:jc w:val="center"/>
        <w:rPr>
          <w:b/>
          <w:bCs/>
        </w:rPr>
      </w:pPr>
    </w:p>
    <w:p w14:paraId="175CC5D1" w14:textId="77777777" w:rsidR="006575CC" w:rsidRDefault="006575CC">
      <w:pPr>
        <w:jc w:val="center"/>
        <w:rPr>
          <w:b/>
          <w:bCs/>
        </w:rPr>
      </w:pPr>
    </w:p>
    <w:p w14:paraId="5D1DACE1" w14:textId="77777777" w:rsidR="006575CC" w:rsidRDefault="006575CC">
      <w:pPr>
        <w:jc w:val="center"/>
        <w:rPr>
          <w:b/>
          <w:bCs/>
        </w:rPr>
      </w:pPr>
    </w:p>
    <w:p w14:paraId="567E184A" w14:textId="77777777" w:rsidR="006575CC" w:rsidRDefault="006575CC">
      <w:pPr>
        <w:jc w:val="center"/>
        <w:rPr>
          <w:b/>
          <w:bCs/>
        </w:rPr>
      </w:pPr>
    </w:p>
    <w:p w14:paraId="3E76C5F2" w14:textId="77777777" w:rsidR="006575CC" w:rsidRDefault="006575CC">
      <w:pPr>
        <w:jc w:val="left"/>
        <w:rPr>
          <w:b/>
          <w:bCs/>
        </w:rPr>
      </w:pPr>
      <w:bookmarkStart w:id="21" w:name="_heading=h.ddzr3ak3yunr" w:colFirst="0" w:colLast="0"/>
      <w:bookmarkEnd w:id="21"/>
    </w:p>
    <w:p w14:paraId="6D94A070" w14:textId="77777777" w:rsidR="006575CC" w:rsidRDefault="009F2BF5">
      <w:pPr>
        <w:pStyle w:val="Heading1"/>
      </w:pPr>
      <w:bookmarkStart w:id="22" w:name="_heading=h.qv7ych5ki9qs" w:colFirst="0" w:colLast="0"/>
      <w:bookmarkEnd w:id="22"/>
      <w:r>
        <w:lastRenderedPageBreak/>
        <w:t>Hình 1. Ảnh hưởng Ước tính của FTA ASEAN-GCC đến Tổng GDP của ASEAN (Năm 1-8)</w:t>
      </w:r>
    </w:p>
    <w:p w14:paraId="79DBEC7C" w14:textId="77777777" w:rsidR="006575CC" w:rsidRDefault="006575CC">
      <w:pPr>
        <w:jc w:val="center"/>
      </w:pPr>
    </w:p>
    <w:p w14:paraId="050C3E5F" w14:textId="77777777" w:rsidR="006575CC" w:rsidRDefault="009F2BF5">
      <w:pPr>
        <w:jc w:val="center"/>
      </w:pPr>
      <w:r>
        <w:rPr>
          <w:rFonts w:ascii="Aptos" w:eastAsia="Aptos" w:hAnsi="Aptos" w:cs="Aptos"/>
          <w:noProof/>
        </w:rPr>
        <w:drawing>
          <wp:inline distT="0" distB="0" distL="0" distR="0" wp14:anchorId="3C933E91" wp14:editId="77D415DE">
            <wp:extent cx="5766773" cy="4061312"/>
            <wp:effectExtent l="9525" t="9525" r="9525" b="9525"/>
            <wp:docPr id="20" name="image3.png" descr="A graph of the growth of the gd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graph of the growth of the gdp&#10;&#10;AI-generated content may be incorrect."/>
                    <pic:cNvPicPr preferRelativeResize="0"/>
                  </pic:nvPicPr>
                  <pic:blipFill>
                    <a:blip r:embed="rId50"/>
                    <a:srcRect l="-262" r="2385" b="2473"/>
                    <a:stretch>
                      <a:fillRect/>
                    </a:stretch>
                  </pic:blipFill>
                  <pic:spPr>
                    <a:xfrm>
                      <a:off x="0" y="0"/>
                      <a:ext cx="5766773" cy="4061312"/>
                    </a:xfrm>
                    <a:prstGeom prst="rect">
                      <a:avLst/>
                    </a:prstGeom>
                    <a:ln w="9525">
                      <a:solidFill>
                        <a:srgbClr val="000000"/>
                      </a:solidFill>
                      <a:prstDash val="solid"/>
                    </a:ln>
                  </pic:spPr>
                </pic:pic>
              </a:graphicData>
            </a:graphic>
          </wp:inline>
        </w:drawing>
      </w:r>
    </w:p>
    <w:p w14:paraId="41C17696" w14:textId="77777777" w:rsidR="006575CC" w:rsidRDefault="009F2BF5">
      <w:r>
        <w:rPr>
          <w:sz w:val="20"/>
          <w:szCs w:val="20"/>
        </w:rPr>
        <w:t>Nguồn: Tính toán của tác giả dựa trên dữ liệu từ CEIC, Economist Intelligence Unit và Chỉ số Phát triển Thế giới của Ngân hàng Thế giới.</w:t>
      </w:r>
    </w:p>
    <w:p w14:paraId="35EF3B8C" w14:textId="77777777" w:rsidR="006575CC" w:rsidRDefault="009F2BF5">
      <w:pPr>
        <w:numPr>
          <w:ilvl w:val="0"/>
          <w:numId w:val="10"/>
        </w:numPr>
      </w:pPr>
      <w:r>
        <w:t>Trong một bài phân tích riêng, một kịch bản GCC gia nhập RCEP cũng được mô phỏng. Kết quả cho thấy lợi ích về GDP từ FTA ASEAN-GCC được dự đoán sẽ lớn hơn so với trường hợp GCC tham gia RCEP, chủ yếu vì các Quốc gia Thành viên ASEAN sẽ phải cạnh tranh với các thành viên RCEP khác tại thị trường GCC trong kịch bản này. Ngoài ra, việc kết thúc đàm phán được cho là sẽ gặp nhiều thách thức hơn trong kịch bản GCC-RCEP vì hai lý do chính: thứ nhất, GCC sẽ phải đàm phán với nhiều quốc gia hơn; thứ hai, bốn trong số các quốc gia bổ sung này hiện đang có các cuộc đàm phán FTA song phương đang chờ với GCC (tức là Trung Quốc, Nhật Bản, Hàn Quốc và Australia).</w:t>
      </w:r>
    </w:p>
    <w:p w14:paraId="35CC48A5" w14:textId="77777777" w:rsidR="006575CC" w:rsidRDefault="009F2BF5">
      <w:pPr>
        <w:numPr>
          <w:ilvl w:val="0"/>
          <w:numId w:val="10"/>
        </w:numPr>
      </w:pPr>
      <w:r>
        <w:rPr>
          <w:b/>
          <w:bCs/>
          <w:u w:val="single"/>
        </w:rPr>
        <w:t>Tăng trưởng xuất khẩu.</w:t>
      </w:r>
      <w:r>
        <w:t xml:space="preserve"> Mô phỏng cũng dự báo rằng xuất khẩu của ASEAN sang GCC sẽ tăng khoảng 6 tỷ USD mỗi năm trong khuôn khổ FTA ASEAN-GCC. Sự gia tăng đáng kể về năng lực xuất khẩu này chủ yếu được thúc đẩy bởi sự mở rộng các ngành cạnh tranh chủ lực của ASEAN, bao gồm sản xuất và các sản phẩm halal. Như được thể hiện trong Hình 2, mô hình tăng trưởng thương mại cho thấy mức tăng ổn </w:t>
      </w:r>
      <w:r>
        <w:lastRenderedPageBreak/>
        <w:t>định trong suốt giai đoạn dự báo, với chênh lệch xuất khẩu đạt 7 tỷ USD vào Năm 8 kể từ khi thực hiện FTA.</w:t>
      </w:r>
    </w:p>
    <w:p w14:paraId="790BB329" w14:textId="77777777" w:rsidR="006575CC" w:rsidRDefault="009F2BF5">
      <w:pPr>
        <w:pStyle w:val="Heading1"/>
      </w:pPr>
      <w:bookmarkStart w:id="23" w:name="_heading=h.gp9kt9q1x2rr" w:colFirst="0" w:colLast="0"/>
      <w:bookmarkEnd w:id="23"/>
      <w:r>
        <w:t>Hình 2. Dự báo xuất khẩu của ASEAN sang GCC với và không có việc triển khai FTA (Năm 1 – 8)</w:t>
      </w:r>
    </w:p>
    <w:p w14:paraId="50E52833" w14:textId="77777777" w:rsidR="006575CC" w:rsidRDefault="009F2BF5">
      <w:pPr>
        <w:jc w:val="center"/>
      </w:pPr>
      <w:r>
        <w:rPr>
          <w:rFonts w:ascii="Aptos" w:eastAsia="Aptos" w:hAnsi="Aptos" w:cs="Aptos"/>
          <w:noProof/>
        </w:rPr>
        <w:drawing>
          <wp:inline distT="0" distB="0" distL="0" distR="0" wp14:anchorId="1E57D3A5" wp14:editId="2A5F2D4C">
            <wp:extent cx="4728874" cy="2128818"/>
            <wp:effectExtent l="0" t="0" r="0" b="0"/>
            <wp:docPr id="19" name="image14.png" descr="A graph of a trad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A graph of a trade&#10;&#10;AI-generated content may be incorrect."/>
                    <pic:cNvPicPr preferRelativeResize="0"/>
                  </pic:nvPicPr>
                  <pic:blipFill>
                    <a:blip r:embed="rId51"/>
                    <a:srcRect/>
                    <a:stretch>
                      <a:fillRect/>
                    </a:stretch>
                  </pic:blipFill>
                  <pic:spPr>
                    <a:xfrm>
                      <a:off x="0" y="0"/>
                      <a:ext cx="4728874" cy="2128818"/>
                    </a:xfrm>
                    <a:prstGeom prst="rect">
                      <a:avLst/>
                    </a:prstGeom>
                    <a:ln/>
                  </pic:spPr>
                </pic:pic>
              </a:graphicData>
            </a:graphic>
          </wp:inline>
        </w:drawing>
      </w:r>
    </w:p>
    <w:p w14:paraId="0244138F" w14:textId="77777777" w:rsidR="006575CC" w:rsidRDefault="009F2BF5">
      <w:pPr>
        <w:ind w:left="851" w:right="656"/>
        <w:rPr>
          <w:highlight w:val="yellow"/>
        </w:rPr>
      </w:pPr>
      <w:r>
        <w:rPr>
          <w:sz w:val="20"/>
          <w:szCs w:val="20"/>
        </w:rPr>
        <w:t>Nguồn: Tính toán của tác giả dựa trên dữ liệu từ ASEANStats, Cơ sở dữ liệu Thương mại Liên Hợp Quốc (UN Comtrade) và CEPII.</w:t>
      </w:r>
    </w:p>
    <w:p w14:paraId="08AEFF10" w14:textId="77777777" w:rsidR="006575CC" w:rsidRDefault="009F2BF5">
      <w:pPr>
        <w:numPr>
          <w:ilvl w:val="0"/>
          <w:numId w:val="10"/>
        </w:numPr>
      </w:pPr>
      <w:r>
        <w:rPr>
          <w:b/>
          <w:bCs/>
          <w:u w:val="single"/>
        </w:rPr>
        <w:t xml:space="preserve">Phân bổ theo ngành. </w:t>
      </w:r>
      <w:r>
        <w:t>Phân tích cơ cấu ngành của các lợi ích thương mại dự báo cho thấy đóng góp lớn nhất đến từ các sản phẩm may mặc, giày dép và da (29,6%), tiếp theo là thực phẩm (15,1%), máy móc và thiết bị vận tải (14,6%) và điện tử cùng thiết bị điện (12,1%), như minh họa trong Hình 3. Sự phân bổ này phù hợp với lợi thế cạnh tranh lâu dài của ASEAN trong các ngành này và phản ánh tính bổ sung lẫn nhau trong cơ cấu kinh tế ASEAN-GCC, trong đó sức mạnh sản xuất của ASEAN bổ sung cho sự thống trị về năng lượng và dịch vụ tài chính của GCC.</w:t>
      </w:r>
    </w:p>
    <w:p w14:paraId="3C7BBF70" w14:textId="77777777" w:rsidR="006575CC" w:rsidRDefault="009F2BF5">
      <w:pPr>
        <w:pStyle w:val="Heading1"/>
      </w:pPr>
      <w:bookmarkStart w:id="24" w:name="_heading=h.ya5fm1jncel9" w:colFirst="0" w:colLast="0"/>
      <w:bookmarkEnd w:id="24"/>
      <w:r>
        <w:t>Hình 3. Dự báo dòng vốn FDI từ GCC vào ASEAN với và không có việc triển khai FTA (Năm 1 – 8)</w:t>
      </w:r>
    </w:p>
    <w:p w14:paraId="726C061D" w14:textId="77777777" w:rsidR="006575CC" w:rsidRDefault="009F2BF5">
      <w:pPr>
        <w:jc w:val="center"/>
        <w:rPr>
          <w:highlight w:val="yellow"/>
        </w:rPr>
      </w:pPr>
      <w:r>
        <w:rPr>
          <w:noProof/>
        </w:rPr>
        <w:drawing>
          <wp:inline distT="0" distB="0" distL="0" distR="0" wp14:anchorId="2059739C" wp14:editId="22B4E796">
            <wp:extent cx="5443033" cy="1988219"/>
            <wp:effectExtent l="0" t="0" r="0" b="0"/>
            <wp:docPr id="22" name="image6.png" descr="A group of colored circles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group of colored circles with black text&#10;&#10;AI-generated content may be incorrect."/>
                    <pic:cNvPicPr preferRelativeResize="0"/>
                  </pic:nvPicPr>
                  <pic:blipFill>
                    <a:blip r:embed="rId52"/>
                    <a:srcRect/>
                    <a:stretch>
                      <a:fillRect/>
                    </a:stretch>
                  </pic:blipFill>
                  <pic:spPr>
                    <a:xfrm>
                      <a:off x="0" y="0"/>
                      <a:ext cx="5443033" cy="1988219"/>
                    </a:xfrm>
                    <a:prstGeom prst="rect">
                      <a:avLst/>
                    </a:prstGeom>
                    <a:ln/>
                  </pic:spPr>
                </pic:pic>
              </a:graphicData>
            </a:graphic>
          </wp:inline>
        </w:drawing>
      </w:r>
    </w:p>
    <w:p w14:paraId="353380AB" w14:textId="77777777" w:rsidR="006575CC" w:rsidRDefault="009F2BF5">
      <w:pPr>
        <w:ind w:left="720"/>
        <w:rPr>
          <w:sz w:val="20"/>
          <w:szCs w:val="20"/>
        </w:rPr>
      </w:pPr>
      <w:r>
        <w:rPr>
          <w:sz w:val="20"/>
          <w:szCs w:val="20"/>
        </w:rPr>
        <w:t>Nguồn: Tính toán của tác giả dựa trên dữ liệu từ Cơ sở dữ liệu Thương mại Liên Hợp Quốc (UN Comtrade).</w:t>
      </w:r>
    </w:p>
    <w:p w14:paraId="13DBFCF6" w14:textId="77777777" w:rsidR="006575CC" w:rsidRDefault="006575CC">
      <w:pPr>
        <w:rPr>
          <w:highlight w:val="yellow"/>
        </w:rPr>
      </w:pPr>
    </w:p>
    <w:p w14:paraId="79841EDD" w14:textId="77777777" w:rsidR="006575CC" w:rsidRDefault="009F2BF5">
      <w:pPr>
        <w:numPr>
          <w:ilvl w:val="0"/>
          <w:numId w:val="10"/>
        </w:numPr>
      </w:pPr>
      <w:r>
        <w:rPr>
          <w:b/>
          <w:bCs/>
          <w:u w:val="single"/>
        </w:rPr>
        <w:t>Dòng vốn FDI.</w:t>
      </w:r>
      <w:r>
        <w:t xml:space="preserve"> Một trong những tác động đáng chú ý nhất của FTA ASEAN-GCC đề xuất là sự gia tăng đáng kể dòng vốn đầu tư trực tiếp nước ngoài từ GCC vào ASEAN, với mức tăng ước tính khoảng 2 tỷ USD mỗi năm. Hình 4 cho thấy xu hướng gia tăng này của dòng vốn FDI sẽ xuất phát từ các cải cách đầu tư liên quan đến hiệp định thương mại và tiềm năng tăng trưởng cao của ASEAN. Quan trọng là, FTA sẽ thúc đẩy các dòng đầu tư này khi các nhà đầu tư GCC phản ứng với tiềm năng lợi nhuận cao từ việc đầu tư vào ASEAN và sau đó cung cấp trở lại thị trường GCC thông qua xuất khẩu, từ đó tạo ra một vòng tuần hoàn tích cực giữa đầu tư và tăng trưởng thương mại. Ở mức độ lớn, điều này sẽ được phản ánh trong chênh lệch FDI, đạt 3 tỷ USD vào Năm 8.</w:t>
      </w:r>
    </w:p>
    <w:p w14:paraId="5CA0F8A6" w14:textId="77777777" w:rsidR="006575CC" w:rsidRDefault="009F2BF5">
      <w:pPr>
        <w:pStyle w:val="Heading1"/>
      </w:pPr>
      <w:bookmarkStart w:id="25" w:name="_heading=h.wisvq5c58mbm" w:colFirst="0" w:colLast="0"/>
      <w:bookmarkEnd w:id="25"/>
      <w:r>
        <w:t>Hình 4. Dự báo dòng vốn FDI từ GCC vào ASEAN với và không có việc triển khai FTA (Năm 1 – 8)</w:t>
      </w:r>
    </w:p>
    <w:p w14:paraId="266FD598" w14:textId="77777777" w:rsidR="006575CC" w:rsidRDefault="009F2BF5">
      <w:pPr>
        <w:jc w:val="center"/>
      </w:pPr>
      <w:r>
        <w:rPr>
          <w:rFonts w:ascii="Aptos" w:eastAsia="Aptos" w:hAnsi="Aptos" w:cs="Aptos"/>
          <w:noProof/>
        </w:rPr>
        <w:drawing>
          <wp:inline distT="0" distB="0" distL="0" distR="0" wp14:anchorId="11253D03" wp14:editId="5CA2558F">
            <wp:extent cx="5469248" cy="2449583"/>
            <wp:effectExtent l="0" t="0" r="0" b="0"/>
            <wp:docPr id="21" name="image2.png" descr="A graph of blue and white b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graph of blue and white bars&#10;&#10;AI-generated content may be incorrect."/>
                    <pic:cNvPicPr preferRelativeResize="0"/>
                  </pic:nvPicPr>
                  <pic:blipFill>
                    <a:blip r:embed="rId53"/>
                    <a:srcRect/>
                    <a:stretch>
                      <a:fillRect/>
                    </a:stretch>
                  </pic:blipFill>
                  <pic:spPr>
                    <a:xfrm>
                      <a:off x="0" y="0"/>
                      <a:ext cx="5469248" cy="2449583"/>
                    </a:xfrm>
                    <a:prstGeom prst="rect">
                      <a:avLst/>
                    </a:prstGeom>
                    <a:ln/>
                  </pic:spPr>
                </pic:pic>
              </a:graphicData>
            </a:graphic>
          </wp:inline>
        </w:drawing>
      </w:r>
    </w:p>
    <w:p w14:paraId="2B61E12A" w14:textId="77777777" w:rsidR="006575CC" w:rsidRDefault="009F2BF5">
      <w:pPr>
        <w:rPr>
          <w:highlight w:val="yellow"/>
        </w:rPr>
      </w:pPr>
      <w:r>
        <w:rPr>
          <w:sz w:val="20"/>
          <w:szCs w:val="20"/>
        </w:rPr>
        <w:t>Nguồn: Tính toán của tác giả dựa trên dữ liệu từ ASEANStats, Cơ sở dữ liệu Thương mại Liên Hợp Quốc (UN Comtrade) và CEPII.</w:t>
      </w:r>
    </w:p>
    <w:p w14:paraId="6507E3E5" w14:textId="77777777" w:rsidR="006575CC" w:rsidRDefault="009F2BF5">
      <w:pPr>
        <w:numPr>
          <w:ilvl w:val="0"/>
          <w:numId w:val="10"/>
        </w:numPr>
      </w:pPr>
      <w:r>
        <w:rPr>
          <w:b/>
          <w:bCs/>
          <w:u w:val="single"/>
        </w:rPr>
        <w:t>Tính bổ sung thương mại.</w:t>
      </w:r>
      <w:r>
        <w:t xml:space="preserve"> Các lợi ích dự báo cho thấy FTA ASEAN-GCC sẽ tận dụng hiệu quả cơ cấu kinh tế bổ sung lẫn nhau của cả hai khu vực. ASEAN sẽ hưởng lợi từ việc tiếp cận tốt hơn thị trường GCC đối với các sản phẩm công nghiệp, nông sản và dịch vụ, trong khi GCC sẽ được cải thiện khả năng tiếp cận thị trường tiêu dùng đang tăng trưởng của ASEAN cùng với các cơ hội đầu tư.</w:t>
      </w:r>
    </w:p>
    <w:p w14:paraId="7ABEA7A6" w14:textId="77777777" w:rsidR="006575CC" w:rsidRDefault="009F2BF5">
      <w:pPr>
        <w:numPr>
          <w:ilvl w:val="0"/>
          <w:numId w:val="10"/>
        </w:numPr>
      </w:pPr>
      <w:r>
        <w:t>Cần lưu ý rằng việc hiện thực hóa các lợi ích tiềm năng này sẽ phụ thuộc vào phạm vi và mức độ sâu rộng của FTA cuối cùng, đặc biệt là mức độ xóa bỏ thuế quan, tự do hóa dịch vụ và các biện pháp tạo thuận lợi đầu tư mà cả hai bên đồng thuận. Bên cạnh đó, các cải cách trong nước bổ sung cũng sẽ cần thiết để tối đa hóa lợi ích từ hiệp định và đảm bảo rằng các lợi ích được phân bổ công bằng giữa các Quốc gia Thành viên ASEAN.</w:t>
      </w:r>
    </w:p>
    <w:p w14:paraId="7F3274E0" w14:textId="77777777" w:rsidR="006575CC" w:rsidRDefault="009F2BF5">
      <w:pPr>
        <w:numPr>
          <w:ilvl w:val="0"/>
          <w:numId w:val="13"/>
        </w:numPr>
        <w:rPr>
          <w:b/>
          <w:bCs/>
        </w:rPr>
      </w:pPr>
      <w:bookmarkStart w:id="26" w:name="_heading=h.mqbbjmh68d5x" w:colFirst="0" w:colLast="0"/>
      <w:bookmarkEnd w:id="26"/>
      <w:r>
        <w:rPr>
          <w:b/>
          <w:bCs/>
        </w:rPr>
        <w:t>Chi phí đàm phán FTA với GCC</w:t>
      </w:r>
    </w:p>
    <w:p w14:paraId="4DBAB307" w14:textId="77777777" w:rsidR="006575CC" w:rsidRDefault="009F2BF5">
      <w:pPr>
        <w:numPr>
          <w:ilvl w:val="0"/>
          <w:numId w:val="10"/>
        </w:numPr>
      </w:pPr>
      <w:r>
        <w:lastRenderedPageBreak/>
        <w:t>Không thể phủ nhận rằng việc thúc đẩy quan hệ kinh tế ASEAN-GCC, bao gồm cả khả năng ký kết FTA, sẽ mở ra cơ hội để cả ASEAN và GCC đạt được tăng trưởng và thịnh vượng kinh tế. Tuy nhiên, liệu những lợi ích này có đủ để biện minh cho việc khởi động đàm phán FTA hay không, đặc biệt trong bối cảnh hiện nay và với những thách thức mà các cuộc đàm phán này có thể gặp phải?</w:t>
      </w:r>
    </w:p>
    <w:p w14:paraId="0E7304EA" w14:textId="77777777" w:rsidR="006575CC" w:rsidRDefault="009F2BF5">
      <w:pPr>
        <w:numPr>
          <w:ilvl w:val="0"/>
          <w:numId w:val="10"/>
        </w:numPr>
      </w:pPr>
      <w:r>
        <w:rPr>
          <w:b/>
          <w:bCs/>
          <w:u w:val="single"/>
        </w:rPr>
        <w:t>Nguồn lực.</w:t>
      </w:r>
      <w:r>
        <w:t xml:space="preserve"> Các cuộc đàm phán FTA đòi hỏi một lượng lớn nguồn lực, cả về tài chính lẫn nhân lực. Ở ASEAN, sau khi khởi động đàm phán FTA, điều phối viên quốc gia sẽ phải được xác định và một Ủy ban Đàm phán Thương mại (TNC) sẽ được thành lập. Chỉ riêng đối với các yếu tố truyền thống, TNC sẽ cần 12 nhóm công tác/nhóm công tác phụ để các chuyên gia kỹ thuật hỗ trợ đàm phán. Con số này sẽ tăng lên tùy thuộc vào các yếu tố bổ sung – chẳng hạn như thương mại điện tử, chính sách cạnh tranh, sở hữu trí tuệ và mua sắm công – nhằm đạt được một FTA toàn diện, chất lượng cao và có ý nghĩa thương mại. Với việc ASEAN đang tiến hành đàm phán FTA với Canada và khả năng nâng cấp FTA ASEAN-Ấn Độ và FTA ASEAN-Hàn Quốc, việc khởi động các cuộc đàm phán FTA mới sẽ gây áp lực lên nguồn lực tài chính và nhân lực không chỉ của các quốc gia thành viên ASEAN mà còn của Ban Thư ký ASEAN. Cũng đáng lưu ý rằng GCC vẫn còn ít nhất 10 cuộc đàm phán FTA đang chờ kết thúc.</w:t>
      </w:r>
    </w:p>
    <w:p w14:paraId="6D9031AA" w14:textId="77777777" w:rsidR="006575CC" w:rsidRDefault="009F2BF5">
      <w:pPr>
        <w:numPr>
          <w:ilvl w:val="0"/>
          <w:numId w:val="10"/>
        </w:numPr>
      </w:pPr>
      <w:r>
        <w:rPr>
          <w:b/>
          <w:bCs/>
          <w:u w:val="single"/>
        </w:rPr>
        <w:t>Đàm phán FTA khu vực và song phương song song.</w:t>
      </w:r>
      <w:r>
        <w:t xml:space="preserve"> Là một khối, GCC đang tiến hành đàm phán FTA song phương với hai quốc gia thành viên ASEAN, cụ thể là Indonesia và Malaysia. Khi hoàn tất, GCC sẽ có FTA với ba quốc gia thành viên ASEAN. Các cuộc đàm phán FTA song phương giữa từng quốc gia thành viên GCC và ASEAN cũng đang ở nhiều giai đoạn khác nhau. UAE đã hoàn tất đàm phán CEPA song phương với Malaysia và Việt Nam, và cả hai hiện đang chờ phê chuẩn và có hiệu lực. Các cuộc đàm phán CEPA UAE-Thái Lan và UAE-Philippines vẫn đang tiếp tục. Khi hoàn tất, UAE sẽ có CEPA song phương với sáu quốc gia thành viên ASEAN. Việc đàm phán đồng thời các FTA khu vực và song phương, ví dụ như AJCEP và các hiệp định hợp tác kinh tế song phương của Nhật Bản với một số quốc gia thành viên ASEAN, luôn gặp thách thức vì các quốc gia thành viên có xu hướng thận trọng trong cả hai cuộc đàm phán, không muốn làm ảnh hưởng vị thế của mình trong bất kỳ cuộc đàm phán nào, điều này thường dẫn đến các cuộc đàm phán kéo dài.</w:t>
      </w:r>
    </w:p>
    <w:p w14:paraId="4FCE2A7D" w14:textId="77777777" w:rsidR="006575CC" w:rsidRDefault="009F2BF5">
      <w:pPr>
        <w:numPr>
          <w:ilvl w:val="0"/>
          <w:numId w:val="10"/>
        </w:numPr>
      </w:pPr>
      <w:r>
        <w:rPr>
          <w:b/>
          <w:bCs/>
          <w:u w:val="single"/>
        </w:rPr>
        <w:t>Cơ cấu kinh tế khác biệt</w:t>
      </w:r>
      <w:r>
        <w:t>. Cơ cấu kinh tế của ASEAN và GCC theo một cách nào đó là bổ sung cho nhau. Ví dụ, ASEAN phụ thuộc vào GCC về dầu khí, dịch vụ tài chính và đầu tư vào phát triển cơ sở hạ tầng. Ngược lại, GCC nhập khẩu thực phẩm, nông sản, các sản phẩm công nghiệp cũng như lao động có kỹ năng và không có kỹ năng từ ASEAN. Nếu vậy, việc đàm phán một FTA có lẽ sẽ ít thách thức hơn. Tuy nhiên, GCC là một Liên minh Hải quan và do đó có thể áp dụng một cách tiếp cận thống nhất dựa trên thuế quan bên ngoài chung và chính sách thương mại khi đàm phán FTA. ASEAN không phải là Liên minh Hải quan và mặc dù có thể có quan điểm thống nhất, nhưng điều này thường là mức độ tối thiểu chung đạt được thông qua quá trình xây dựng đồng thuận. Như đã đề cập trước đó, nguyên tắc “nhượng bộ chung” mà ASEAN áp dụng với đối tác FTA tiềm năng có thể khó được GCC hiểu thấu, vì điều này đòi hỏi họ phải áp dụng một lịch trình cam kết duy nhất cho tất cả các quốc gia thành viên ASEAN.</w:t>
      </w:r>
    </w:p>
    <w:p w14:paraId="3340CE42" w14:textId="431013DE" w:rsidR="006575CC" w:rsidRDefault="009F2BF5">
      <w:pPr>
        <w:numPr>
          <w:ilvl w:val="0"/>
          <w:numId w:val="10"/>
        </w:numPr>
      </w:pPr>
      <w:r>
        <w:rPr>
          <w:b/>
          <w:bCs/>
          <w:u w:val="single"/>
        </w:rPr>
        <w:lastRenderedPageBreak/>
        <w:t>Cơ cấu thể chế.</w:t>
      </w:r>
      <w:r>
        <w:t xml:space="preserve"> Yếu tố then chốt trong bất kỳ cuộc đàm phán FTA nào là cơ cấu thể chế, hay cách thức cả hai bên, đặc biệt là trong các cuộc đàm phán giữa các khu vực, tổ chức và triển khai công việc của mình. Việc cả hai bên hiểu rõ cấu trúc của nhau cũng rất quan trọng để tiến hành đàm phán suôn sẻ. Cơ cấu của ASEAN đặc biệt độc đáo ở chỗ, mặc dù chưa phải là một Liên minh Hải quan, nhưng – với danh nghĩa “</w:t>
      </w:r>
      <w:r w:rsidR="00F1697E">
        <w:t xml:space="preserve">Vai trò </w:t>
      </w:r>
      <w:r>
        <w:t xml:space="preserve">trung tâm </w:t>
      </w:r>
      <w:r w:rsidR="00F1697E">
        <w:t xml:space="preserve">của </w:t>
      </w:r>
      <w:r>
        <w:t>ASEAN” – vẫn áp dụng cách tiếp cận thống nhất trong các cuộc đàm phán FTA. Chính vì lý do này mà vai trò của Điều phối viên quốc gia không chỉ là “điều phối viên” mà còn là Trưởng đoàn đàm phán của ASEAN.</w:t>
      </w:r>
    </w:p>
    <w:p w14:paraId="58359371" w14:textId="77777777" w:rsidR="006575CC" w:rsidRDefault="009F2BF5">
      <w:pPr>
        <w:numPr>
          <w:ilvl w:val="0"/>
          <w:numId w:val="10"/>
        </w:numPr>
      </w:pPr>
      <w:r>
        <w:t>Trong trường hợp của GCC, chức vụ chủ tịch đóng vai trò trung tâm, có phần tương tự với vai trò của Điều phối viên quốc gia của ASEAN, chẳng hạn như dẫn dắt các cuộc đàm phán, tổng hợp quan điểm của GCC, tạo điều kiện xây dựng đồng thuận, v.v. Tuy nhiên, khác với ASEAN, nơi Điều phối viên quốc gia có vai trò tương đối cố định, chức chủ tịch của GCC luân phiên hàng năm. Việc này có thể ảnh hưởng như thế nào đến quá trình đàm phán cần được xem xét ngay từ đầu.</w:t>
      </w:r>
    </w:p>
    <w:p w14:paraId="1A662B3F" w14:textId="77777777" w:rsidR="006575CC" w:rsidRDefault="009F2BF5">
      <w:pPr>
        <w:numPr>
          <w:ilvl w:val="0"/>
          <w:numId w:val="10"/>
        </w:numPr>
      </w:pPr>
      <w:r>
        <w:t>Đã được lưu ý rằng, đối với hai FTA hiện có của GCC, cụ thể là với Singapore và EFTA, các hiệp định này được ký bởi Chủ tịch GCC và Tổng Thư ký GCC thay mặt cho các quốc gia GCC. Với việc Tổng Thư ký GCC là một trong những người ký hiệp định FTA, có thể cần tìm hiểu vai trò của Ban Thư ký Tổng hợp trong quá trình đàm phán.</w:t>
      </w:r>
    </w:p>
    <w:p w14:paraId="5C95D784" w14:textId="77777777" w:rsidR="006575CC" w:rsidRDefault="009F2BF5">
      <w:pPr>
        <w:numPr>
          <w:ilvl w:val="0"/>
          <w:numId w:val="10"/>
        </w:numPr>
      </w:pPr>
      <w:r>
        <w:t>Tóm lại, cả GCC và ASEAN cần hiểu cách thức bên kia tiến hành đàm phán FTA, và chính vì lý do này mà có thể cần một giai đoạn xây dựng niềm tin trước khi bắt đầu các cuộc đàm phán chính thức.</w:t>
      </w:r>
    </w:p>
    <w:p w14:paraId="7B79D5AA" w14:textId="77777777" w:rsidR="006575CC" w:rsidRDefault="009F2BF5">
      <w:pPr>
        <w:numPr>
          <w:ilvl w:val="0"/>
          <w:numId w:val="13"/>
        </w:numPr>
        <w:rPr>
          <w:b/>
          <w:bCs/>
        </w:rPr>
      </w:pPr>
      <w:bookmarkStart w:id="27" w:name="_heading=h.bvp2j02jisyq" w:colFirst="0" w:colLast="0"/>
      <w:bookmarkEnd w:id="27"/>
      <w:r>
        <w:rPr>
          <w:b/>
          <w:bCs/>
        </w:rPr>
        <w:t>Các cách tiếp cận khả thi nhằm nâng tầm quan hệ kinh tế ASEAN-GCC</w:t>
      </w:r>
    </w:p>
    <w:p w14:paraId="0C06DE7C" w14:textId="77777777" w:rsidR="006575CC" w:rsidRDefault="009F2BF5">
      <w:pPr>
        <w:numPr>
          <w:ilvl w:val="0"/>
          <w:numId w:val="10"/>
        </w:numPr>
      </w:pPr>
      <w:r>
        <w:t>Bài viết này đề xuất các quan hệ đối tác chiến lược theo ngành, có thể kèm theo hoặc không các cuộc đàm phán thương mại song phương trong các lĩnh vực cùng có lợi. Chúng ta có thể nhắc lại Khuôn khổ Hợp tác ASEAN-GCC (2024-2028) được các Lãnh đạo hai bên thông qua tại Hội nghị Thượng đỉnh ASEAN-GCC lần đầu tiên tại Riyadh. Điều này quan trọng vì trong Khuôn khổ này, hai bên đã đồng ý rằng họ sẽ “tiến hành các cuộc tham vấn thêm để khám phá các cơ hội mới về thương mại, đầu tư và hợp tác kỹ thuật giữa ASEAN và GCC, bao gồm khả năng phát triển một khuôn khổ hợp tác về kinh tế, thương mại, kỹ thuật và đầu tư.” Tuy nhiên, nửa chặng đường thực hiện Khuôn khổ này, công việc phát triển một khuôn khổ hợp tác về kinh tế, thương mại, kỹ thuật và đầu tư vẫn chưa được khởi động.</w:t>
      </w:r>
    </w:p>
    <w:p w14:paraId="7E91FB1B" w14:textId="77777777" w:rsidR="006575CC" w:rsidRDefault="009F2BF5">
      <w:pPr>
        <w:numPr>
          <w:ilvl w:val="0"/>
          <w:numId w:val="10"/>
        </w:numPr>
      </w:pPr>
      <w:r>
        <w:t xml:space="preserve">Các quốc gia thành viên GCC đều có các chiến lược đa dạng hóa kinh tế, và ASEAN cũng vậy với Kế hoạch chiến lược sau 2025. Những chiến lược này có thể mở ra những cơ hội rộng lớn cho các quan hệ đối tác kinh tế theo ngành cùng có lợi, vì – dựa trên đánh giá ban đầu của chúng tôi – hợp tác kinh tế theo ngành trong các lĩnh vực mà cả hai khu vực quan tâm sẽ là một cách tiếp cận thực tiễn hướng tới một FTA ASEAN-GCC. Bài viết này đề xuất bốn lĩnh vực rộng lớn cho các quan hệ đối tác theo ngành: (a) tăng cường hội nhập kinh tế khu vực; (b) chuyển đổi số; (c) phát triển bền vững; và (d) </w:t>
      </w:r>
      <w:proofErr w:type="gramStart"/>
      <w:r>
        <w:t>an</w:t>
      </w:r>
      <w:proofErr w:type="gramEnd"/>
      <w:r>
        <w:t xml:space="preserve"> ninh lương thực/năng lượng.</w:t>
      </w:r>
    </w:p>
    <w:p w14:paraId="415B46A0" w14:textId="77777777" w:rsidR="006575CC" w:rsidRDefault="009F2BF5">
      <w:pPr>
        <w:numPr>
          <w:ilvl w:val="0"/>
          <w:numId w:val="10"/>
        </w:numPr>
      </w:pPr>
      <w:r>
        <w:lastRenderedPageBreak/>
        <w:t>Việc đưa quản lý thương mại chiến lược vào hợp tác ASEAN-GCC có thể được xem xét nhằm bảo vệ các mặt hàng và công nghệ nhạy cảm đồng thời tạo ra cơ hội kinh doanh. Bằng cách thiết lập các chính sách rõ ràng và thúc đẩy tính minh bạch, cách tiếp cận hợp tác này xây dựng niềm tin giữa các quốc gia thành viên, từ đó tạo điều kiện thuận lợi hơn cho thương mại xuyên biên giới. Hơn nữa, nó cũng giảm thiểu rủi ro của các giao dịch bất hợp pháp, khuyến khích nhiều doanh nghiệp tự tin tham gia thương mại quốc tế. Cuối cùng, sự cân bằng giữa an ninh và cơ hội không chỉ bảo vệ lợi ích quốc gia mà còn hỗ trợ tăng trưởng kinh tế và nâng cao vị thế cạnh tranh của các doanh nghiệp trên thị trường toàn cầu thông qua hợp tác trong các lĩnh vực như công nghệ quốc phòng, bán dẫn và điện tử, giúp cân bằng tham vọng kinh tế với các mối quan ngại về an ninh.</w:t>
      </w:r>
    </w:p>
    <w:p w14:paraId="65B13FDD" w14:textId="77777777" w:rsidR="006575CC" w:rsidRDefault="009F2BF5">
      <w:pPr>
        <w:numPr>
          <w:ilvl w:val="0"/>
          <w:numId w:val="10"/>
        </w:numPr>
      </w:pPr>
      <w:r>
        <w:rPr>
          <w:b/>
          <w:bCs/>
          <w:u w:val="single"/>
        </w:rPr>
        <w:t>Tăng cường hội nhập kinh tế khu vực.</w:t>
      </w:r>
      <w:r>
        <w:t xml:space="preserve"> ASEAN và GCC là những đối tác thương mại quan trọng của nhau. Tuy nhiên, thương mại ASEAN-GCC vẫn còn khiêm tốn, điều này tạo ra nhiều dư địa để cải thiện nếu có những can thiệp chính sách phù hợp.</w:t>
      </w:r>
    </w:p>
    <w:tbl>
      <w:tblPr>
        <w:tblStyle w:val="4"/>
        <w:tblW w:w="9702" w:type="dxa"/>
        <w:tblInd w:w="-149" w:type="dxa"/>
        <w:tblLayout w:type="fixed"/>
        <w:tblLook w:val="0000" w:firstRow="0" w:lastRow="0" w:firstColumn="0" w:lastColumn="0" w:noHBand="0" w:noVBand="0"/>
      </w:tblPr>
      <w:tblGrid>
        <w:gridCol w:w="9702"/>
      </w:tblGrid>
      <w:tr w:rsidR="006575CC" w14:paraId="76A8D4F7" w14:textId="77777777">
        <w:trPr>
          <w:trHeight w:val="4309"/>
        </w:trPr>
        <w:tc>
          <w:tcPr>
            <w:tcW w:w="9702" w:type="dxa"/>
          </w:tcPr>
          <w:p w14:paraId="5BEBF606" w14:textId="77777777" w:rsidR="006575CC" w:rsidRDefault="006575CC">
            <w:pPr>
              <w:widowControl w:val="0"/>
            </w:pPr>
          </w:p>
          <w:tbl>
            <w:tblPr>
              <w:tblStyle w:val="3"/>
              <w:tblW w:w="9342" w:type="dxa"/>
              <w:tblInd w:w="144" w:type="dxa"/>
              <w:tblBorders>
                <w:top w:val="nil"/>
                <w:left w:val="nil"/>
                <w:bottom w:val="nil"/>
                <w:right w:val="nil"/>
                <w:insideH w:val="nil"/>
                <w:insideV w:val="nil"/>
              </w:tblBorders>
              <w:tblLayout w:type="fixed"/>
              <w:tblLook w:val="0400" w:firstRow="0" w:lastRow="0" w:firstColumn="0" w:lastColumn="0" w:noHBand="0" w:noVBand="1"/>
            </w:tblPr>
            <w:tblGrid>
              <w:gridCol w:w="4806"/>
              <w:gridCol w:w="4536"/>
            </w:tblGrid>
            <w:tr w:rsidR="006575CC" w14:paraId="205DFC05" w14:textId="77777777">
              <w:tc>
                <w:tcPr>
                  <w:tcW w:w="4806" w:type="dxa"/>
                </w:tcPr>
                <w:p w14:paraId="064A1DDF" w14:textId="77777777" w:rsidR="006575CC" w:rsidRDefault="009F2BF5">
                  <w:pPr>
                    <w:pStyle w:val="Heading1"/>
                  </w:pPr>
                  <w:bookmarkStart w:id="28" w:name="_heading=h.1iyvdzt86ng2" w:colFirst="0" w:colLast="0"/>
                  <w:bookmarkEnd w:id="28"/>
                  <w:r>
                    <w:t>Hình 5. Thương mại của GCC với từng Quốc gia Thành viên ASEAN, 2023 (tỷ USD)</w:t>
                  </w:r>
                </w:p>
              </w:tc>
              <w:tc>
                <w:tcPr>
                  <w:tcW w:w="4536" w:type="dxa"/>
                  <w:tcBorders>
                    <w:left w:val="nil"/>
                  </w:tcBorders>
                </w:tcPr>
                <w:p w14:paraId="6468B7BF" w14:textId="77777777" w:rsidR="006575CC" w:rsidRDefault="009F2BF5">
                  <w:pPr>
                    <w:pStyle w:val="Heading1"/>
                  </w:pPr>
                  <w:bookmarkStart w:id="29" w:name="_heading=h.4l3uxp9fwvlp" w:colFirst="0" w:colLast="0"/>
                  <w:bookmarkEnd w:id="29"/>
                  <w:r>
                    <w:t>Hình 6. Thương mại của ASEAN với từng quốc gia thành viên GCC, 2023 (tỷ USD)</w:t>
                  </w:r>
                </w:p>
              </w:tc>
            </w:tr>
            <w:tr w:rsidR="006575CC" w14:paraId="399EE5D2" w14:textId="77777777">
              <w:tc>
                <w:tcPr>
                  <w:tcW w:w="4806" w:type="dxa"/>
                </w:tcPr>
                <w:p w14:paraId="509A194B" w14:textId="77777777" w:rsidR="006575CC" w:rsidRDefault="009F2BF5">
                  <w:r>
                    <w:rPr>
                      <w:noProof/>
                    </w:rPr>
                    <w:drawing>
                      <wp:inline distT="0" distB="0" distL="0" distR="0" wp14:anchorId="5AB93500" wp14:editId="0E3329FA">
                        <wp:extent cx="2914650" cy="2705553"/>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4"/>
                                <a:srcRect/>
                                <a:stretch>
                                  <a:fillRect/>
                                </a:stretch>
                              </pic:blipFill>
                              <pic:spPr>
                                <a:xfrm>
                                  <a:off x="0" y="0"/>
                                  <a:ext cx="2914650" cy="2705553"/>
                                </a:xfrm>
                                <a:prstGeom prst="rect">
                                  <a:avLst/>
                                </a:prstGeom>
                                <a:ln/>
                              </pic:spPr>
                            </pic:pic>
                          </a:graphicData>
                        </a:graphic>
                      </wp:inline>
                    </w:drawing>
                  </w:r>
                </w:p>
              </w:tc>
              <w:tc>
                <w:tcPr>
                  <w:tcW w:w="4536" w:type="dxa"/>
                  <w:tcBorders>
                    <w:left w:val="nil"/>
                  </w:tcBorders>
                </w:tcPr>
                <w:p w14:paraId="42C9250B" w14:textId="77777777" w:rsidR="006575CC" w:rsidRDefault="009F2BF5">
                  <w:r>
                    <w:rPr>
                      <w:noProof/>
                    </w:rPr>
                    <w:drawing>
                      <wp:inline distT="0" distB="0" distL="0" distR="0" wp14:anchorId="5BDE21A7" wp14:editId="73BDE898">
                        <wp:extent cx="2743200" cy="2705100"/>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5"/>
                                <a:srcRect/>
                                <a:stretch>
                                  <a:fillRect/>
                                </a:stretch>
                              </pic:blipFill>
                              <pic:spPr>
                                <a:xfrm>
                                  <a:off x="0" y="0"/>
                                  <a:ext cx="2743200" cy="2705100"/>
                                </a:xfrm>
                                <a:prstGeom prst="rect">
                                  <a:avLst/>
                                </a:prstGeom>
                                <a:ln/>
                              </pic:spPr>
                            </pic:pic>
                          </a:graphicData>
                        </a:graphic>
                      </wp:inline>
                    </w:drawing>
                  </w:r>
                </w:p>
              </w:tc>
            </w:tr>
          </w:tbl>
          <w:p w14:paraId="1FE3866D" w14:textId="77777777" w:rsidR="006575CC" w:rsidRDefault="006575CC"/>
        </w:tc>
      </w:tr>
    </w:tbl>
    <w:p w14:paraId="45FF11F9" w14:textId="77777777" w:rsidR="006575CC" w:rsidRDefault="006575CC"/>
    <w:p w14:paraId="65615C3D" w14:textId="7AB2D1C3" w:rsidR="006575CC" w:rsidRDefault="00F1697E">
      <w:pPr>
        <w:numPr>
          <w:ilvl w:val="0"/>
          <w:numId w:val="9"/>
        </w:numPr>
        <w:ind w:left="709" w:hanging="436"/>
        <w:rPr>
          <w:b/>
          <w:bCs/>
          <w:u w:val="single"/>
        </w:rPr>
      </w:pPr>
      <w:bookmarkStart w:id="30" w:name="_heading=h.bd55d9rwwli8" w:colFirst="0" w:colLast="0"/>
      <w:bookmarkEnd w:id="30"/>
      <w:r>
        <w:rPr>
          <w:b/>
          <w:bCs/>
          <w:u w:val="single"/>
        </w:rPr>
        <w:t>Tổng hợp c</w:t>
      </w:r>
      <w:r w:rsidR="009F2BF5">
        <w:rPr>
          <w:b/>
          <w:bCs/>
          <w:u w:val="single"/>
        </w:rPr>
        <w:t>ác biện pháp phi thuế quan (NTMs) và tạo thuận lợi thương mại ASEAN-GCC</w:t>
      </w:r>
    </w:p>
    <w:p w14:paraId="631C87BE" w14:textId="77777777" w:rsidR="006575CC" w:rsidRDefault="009F2BF5">
      <w:pPr>
        <w:numPr>
          <w:ilvl w:val="0"/>
          <w:numId w:val="10"/>
        </w:numPr>
      </w:pPr>
      <w:r>
        <w:lastRenderedPageBreak/>
        <w:t>Như được nêu trong “Báo cáo Tiêu chí FTA – Hội đồng Hợp tác vùng Vịnh” trình bày tại Hội nghị Lãnh đạo Cấp cao về Tạo thuận lợi Thương mại và Đầu tư lần thứ 39 (HLTFEI), GCC đã áp đặt một số lượng đáng kể các biện pháp phi thuế quan (NTMs) trong số sáu nền kinh tế được đánh giá theo Báo cáo Tiêu chí FTA. Phần này cung cấp phân tích về việc ASEAN và GCC áp dụng NTMs, bao gồm các sản phẩm thương mại bị áp dụng NTMs. Bên cạnh đó, phần này cũng đưa ra tổng quan về việc triển khai các biện pháp tạo thuận lợi thương mại cho cả ASEAN và GCC, cũng như các sáng kiến và biện pháp được hai khu vực thực hiện. Các lĩnh vực hợp tác tiềm năng cũng được đề xuất nhằm tăng cường sự phối hợp giữa ASEAN và GCC về NTMs và tạo thuận lợi thương mại.</w:t>
      </w:r>
    </w:p>
    <w:p w14:paraId="58908054" w14:textId="77777777" w:rsidR="006575CC" w:rsidRDefault="009F2BF5">
      <w:pPr>
        <w:numPr>
          <w:ilvl w:val="0"/>
          <w:numId w:val="10"/>
        </w:numPr>
      </w:pPr>
      <w:r>
        <w:rPr>
          <w:b/>
          <w:bCs/>
          <w:i/>
          <w:iCs/>
        </w:rPr>
        <w:t>Các biện pháp phi thuế quan (NTMs).</w:t>
      </w:r>
      <w:r>
        <w:t xml:space="preserve"> Biện pháp phi thuế quan (NTMs) là các chính sách, ngoài thuế quan tiêu chuẩn, có thể ảnh hưởng đến thương mại quốc tế về hàng hóa bằng cách thay đổi khối lượng, giá cả hoặc cả hai yếu tố này của hàng hóa được giao dịch. Các yêu cầu về quy định, chính sách hoặc thủ tục của NTMs ảnh hưởng đáng kể đến các hoạt động thương mại quốc tế, bao gồm thương mại giữa các quốc gia ASEAN và GCC, bằng cách hạn chế hoặc tạo thuận lợi cho tiếp cận thị trường. NTMs vẫn là yếu tố quan trọng cần cân nhắc đối với các nhà hoạch định chính sách và doanh nghiệp khi ASEAN và GCC thúc đẩy hội nhập kinh tế, do chúng tác động đến quyền tiếp cận thị trường, chi phí tuân thủ và khả năng cạnh tranh tổng thể.</w:t>
      </w:r>
    </w:p>
    <w:p w14:paraId="3A97FD78" w14:textId="2B600FA8" w:rsidR="006575CC" w:rsidRDefault="009F2BF5">
      <w:pPr>
        <w:numPr>
          <w:ilvl w:val="0"/>
          <w:numId w:val="10"/>
        </w:numPr>
      </w:pPr>
      <w:r>
        <w:t xml:space="preserve">Như được thể hiện ở bảng trên cùng của Hình 7, các quốc gia thành viên GCC áp dụng từ 640 đến 1.204 biện pháp phi thuế quan (NTMs) ảnh hưởng đến thương mại với ASEAN. Tổng cộng, khu vực GCC thực thi 4.991 NTMs độc lập đối với thương mại với ASEAN. Ngược lại, mỗi quốc gia ASEAN áp dụng từ 367 đến 2.893 NTMs ảnh hưởng đến thương mại với GCC. Tổng thể, ASEAN áp dụng 9.397 NTMs độc lập đối với thương mại với GCC. Tất cả các con số được báo cáo ở đây đề cập đến tổng số NTMs mà mỗi quốc gia áp dụng trên tất cả các sản phẩm, thay vì trên các nhóm sản phẩm cụ thể. Cần thận trọng khi giải thích những con số này, đặc biệt khi so sánh trực tiếp giữa các quốc gia. Số lượng NTMs lớn hơn không nhất thiết cho thấy một chế độ thương mại khắt khe hơn, vì từng NTM có mức độ nghiêm ngặt và yêu cầu tuân thủ khác nhau – những yếu tố này không được </w:t>
      </w:r>
      <w:r w:rsidR="00F1697E">
        <w:t xml:space="preserve">Cơ sở dữ liệu </w:t>
      </w:r>
      <w:r>
        <w:t>TRAINS ghi nhận và do đó nằm ngoài phạm vi phân tích này.</w:t>
      </w:r>
    </w:p>
    <w:p w14:paraId="73E3AE18" w14:textId="77777777" w:rsidR="006575CC" w:rsidRDefault="009F2BF5">
      <w:pPr>
        <w:pStyle w:val="Heading1"/>
      </w:pPr>
      <w:bookmarkStart w:id="31" w:name="_heading=h.t5byx5sidr70" w:colFirst="0" w:colLast="0"/>
      <w:bookmarkEnd w:id="31"/>
      <w:r>
        <w:lastRenderedPageBreak/>
        <w:t>Hình 7. Tổng số lượng và phân bổ các biện pháp phi thuế quan (NTMs) mà ASEAN và GCC áp dụng đối với nhau</w:t>
      </w:r>
    </w:p>
    <w:p w14:paraId="009AD631" w14:textId="77777777" w:rsidR="006575CC" w:rsidRDefault="009F2BF5">
      <w:r>
        <w:rPr>
          <w:noProof/>
        </w:rPr>
        <w:drawing>
          <wp:inline distT="0" distB="0" distL="0" distR="0" wp14:anchorId="579102C2" wp14:editId="7123A9E9">
            <wp:extent cx="6057900" cy="2762278"/>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6"/>
                    <a:srcRect/>
                    <a:stretch>
                      <a:fillRect/>
                    </a:stretch>
                  </pic:blipFill>
                  <pic:spPr>
                    <a:xfrm>
                      <a:off x="0" y="0"/>
                      <a:ext cx="6057900" cy="2762278"/>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003A3CE5" wp14:editId="553ECA5F">
            <wp:simplePos x="0" y="0"/>
            <wp:positionH relativeFrom="column">
              <wp:posOffset>-633</wp:posOffset>
            </wp:positionH>
            <wp:positionV relativeFrom="paragraph">
              <wp:posOffset>2796844</wp:posOffset>
            </wp:positionV>
            <wp:extent cx="6057900" cy="2019300"/>
            <wp:effectExtent l="0" t="0" r="0" b="0"/>
            <wp:wrapSquare wrapText="bothSides" distT="0" distB="0" distL="114300" distR="114300"/>
            <wp:docPr id="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
                    <a:srcRect/>
                    <a:stretch>
                      <a:fillRect/>
                    </a:stretch>
                  </pic:blipFill>
                  <pic:spPr>
                    <a:xfrm>
                      <a:off x="0" y="0"/>
                      <a:ext cx="6057900" cy="2019300"/>
                    </a:xfrm>
                    <a:prstGeom prst="rect">
                      <a:avLst/>
                    </a:prstGeom>
                    <a:ln/>
                  </pic:spPr>
                </pic:pic>
              </a:graphicData>
            </a:graphic>
          </wp:anchor>
        </w:drawing>
      </w:r>
    </w:p>
    <w:p w14:paraId="4F17D8DC" w14:textId="77777777" w:rsidR="006575CC" w:rsidRDefault="009F2BF5">
      <w:pPr>
        <w:rPr>
          <w:sz w:val="20"/>
          <w:szCs w:val="20"/>
        </w:rPr>
      </w:pPr>
      <w:r>
        <w:rPr>
          <w:sz w:val="20"/>
          <w:szCs w:val="20"/>
        </w:rPr>
        <w:t>Nguồn: Tính toán của tác giả dựa trên dữ liệu TRAINS của UNCTAD và dữ liệu thương mại mới nhất từ WITS.</w:t>
      </w:r>
    </w:p>
    <w:p w14:paraId="60E75F91" w14:textId="77777777" w:rsidR="006575CC" w:rsidRDefault="006575CC">
      <w:pPr>
        <w:rPr>
          <w:highlight w:val="yellow"/>
        </w:rPr>
      </w:pPr>
    </w:p>
    <w:p w14:paraId="274A1558" w14:textId="1F45778D" w:rsidR="006575CC" w:rsidRDefault="009F2BF5">
      <w:pPr>
        <w:numPr>
          <w:ilvl w:val="0"/>
          <w:numId w:val="10"/>
        </w:numPr>
      </w:pPr>
      <w:r>
        <w:t>Phân tích chi tiết các NTMs theo từng chương trong bảng dưới cùng của Hình 7 cho thấy các Biện pháp Hàng rào Kỹ thuật đối với Thương mại (TBTs) là các biện pháp phổ biến nhất ở cả ASEAN và GCC, chiếm hơn 40% tổng số NTMs ở mỗi khu vực. Tiếp theo là các Biện pháp Vệ sinh và Kiểm dịch Thực vật (SPS), chiếm khoảng một phần tư tổng số NTMs. Một khác biệt đáng chú ý là ASEAN áp dụng tỷ lệ cao hơn các biện pháp cấp phép nhập khẩu không tự động, hạn ngạch, cấm và kiểm soát định lượng, đạt 8,6%, so với 4,7% ở GCC. Cần lưu ý rằng các NTMs thuộc Chương E (cấp phép nhập khẩu không tự động, hạn ngạch, v.v.) thường có mục tiêu chưa rõ ràng và có khả năng hạn chế thương mại hơn so với các biện pháp khác, như SPS và TBT, vốn là các biện pháp kỹ thuật với mục tiêu thường được biện minh rõ ràng hơn. Ngoài ra, ASEAN áp dụng một tỷ lệ nhỏ hơn các biện pháp xuất khẩu, chiếm 17,6% tổng số NTMs so với 14,0% ở GCC.</w:t>
      </w:r>
    </w:p>
    <w:p w14:paraId="60219860" w14:textId="77777777" w:rsidR="006575CC" w:rsidRDefault="009F2BF5">
      <w:pPr>
        <w:numPr>
          <w:ilvl w:val="0"/>
          <w:numId w:val="10"/>
        </w:numPr>
      </w:pPr>
      <w:r>
        <w:lastRenderedPageBreak/>
        <w:t>Trong khi phân tích trước chỉ tập trung vào tổng số NTMs mà từng quốc gia ASEAN và GCC áp dụng, nó chưa đánh giá mức độ ảnh hưởng của các biện pháp này đối với thương mại giữa hai bên. Trong tài liệu về NTMs, khía cạnh này thường được xem xét thông qua khái niệm tỷ lệ xuất hiện NTMs (NTM incidence), được đo lường bằng ba chỉ số chính: (i) Chỉ số Tần suất (Frequency Index – FI), (ii) Tỷ lệ Bao phủ (Coverage Ratio – CR), và (iii) Điểm Phổ biến (Prevalence Score – PS). Lưu ý rằng các chỉ số này phản ánh các khía cạnh khác nhau của việc áp dụng NTMs, và việc sử dụng chúng cùng nhau giúp cung cấp cái nhìn toàn diện và cân bằng hơn về mức độ xuất hiện của NTMs. Ví dụ, chỉ số tần suất thể hiện mức độ phổ biến của NTMs trên các dòng sản phẩm, nhưng không xem xét khối lượng thương mại hay mức độ hạn chế thực tế của các biện pháp. Do đó, tỷ lệ bao phủ quan trọng để làm nổi bật ý nghĩa kinh tế của NTMs bằng cách đo lường tỷ trọng giá trị thương mại của các sản phẩm bị ảnh hưởng, còn điểm phổ biến phản ánh tần suất áp dụng hoặc cường độ quy định trên các ngành, bất kể khối lượng thương mại. Các chỉ số này được tính dựa trên sự kết hợp dữ liệu NTMs mới nhất từ UNCTAD TRAINS và dữ liệu thương mại gần nhất ở mức HS 6 chữ số cho thương mại ASEAN-GCC, lấy từ WITS. Hình 8 trình bày mức độ xuất hiện NTMs do các quốc gia GCC áp dụng đối với nhập khẩu từ ASEAN. Mặc dù có sự khác biệt nhỏ giữa các quốc gia GCC, con số cho thấy NTMs ảnh hưởng đến gần như toàn bộ nhập khẩu từ ASEAN – bao phủ khoảng 95,8% các dòng thuế quan và 96,0% tổng giá trị nhập khẩu. Trung bình, mỗi sản phẩm nhập khẩu từ ASEAN chịu 24,5 NTMs do GCC áp dụng.</w:t>
      </w:r>
    </w:p>
    <w:p w14:paraId="03DF78B0" w14:textId="77777777" w:rsidR="006575CC" w:rsidRDefault="009F2BF5">
      <w:pPr>
        <w:pStyle w:val="Heading1"/>
      </w:pPr>
      <w:bookmarkStart w:id="32" w:name="_heading=h.t0gon81t4ztp" w:colFirst="0" w:colLast="0"/>
      <w:bookmarkEnd w:id="32"/>
      <w:r>
        <w:t>Hình 8. Mức độ xuất hiện của các biện pháp phi thuế quan (NTMs) do các quốc gia GCC áp dụng đối với nhập khẩu từ ASEAN</w:t>
      </w:r>
    </w:p>
    <w:p w14:paraId="2F25BB4D" w14:textId="77777777" w:rsidR="006575CC" w:rsidRDefault="009F2BF5">
      <w:pPr>
        <w:jc w:val="center"/>
      </w:pPr>
      <w:r>
        <w:rPr>
          <w:noProof/>
        </w:rPr>
        <w:drawing>
          <wp:inline distT="0" distB="0" distL="0" distR="0" wp14:anchorId="64E68CA8" wp14:editId="7BAEF1B4">
            <wp:extent cx="5486400" cy="1771831"/>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8"/>
                    <a:srcRect/>
                    <a:stretch>
                      <a:fillRect/>
                    </a:stretch>
                  </pic:blipFill>
                  <pic:spPr>
                    <a:xfrm>
                      <a:off x="0" y="0"/>
                      <a:ext cx="5486400" cy="1771831"/>
                    </a:xfrm>
                    <a:prstGeom prst="rect">
                      <a:avLst/>
                    </a:prstGeom>
                    <a:ln/>
                  </pic:spPr>
                </pic:pic>
              </a:graphicData>
            </a:graphic>
          </wp:inline>
        </w:drawing>
      </w:r>
    </w:p>
    <w:p w14:paraId="558F37C3" w14:textId="77777777" w:rsidR="006575CC" w:rsidRDefault="009F2BF5">
      <w:pPr>
        <w:ind w:left="284" w:right="231"/>
        <w:rPr>
          <w:sz w:val="20"/>
          <w:szCs w:val="20"/>
        </w:rPr>
      </w:pPr>
      <w:r>
        <w:rPr>
          <w:sz w:val="20"/>
          <w:szCs w:val="20"/>
        </w:rPr>
        <w:t>Nguồn: Tính toán của tác giả dựa trên Cơ sở dữ liệu UNCTAD TRAINS và WITS</w:t>
      </w:r>
    </w:p>
    <w:p w14:paraId="725B15EB" w14:textId="77777777" w:rsidR="006575CC" w:rsidRDefault="009F2BF5">
      <w:pPr>
        <w:ind w:left="284" w:right="231"/>
        <w:rPr>
          <w:highlight w:val="yellow"/>
        </w:rPr>
      </w:pPr>
      <w:r>
        <w:rPr>
          <w:sz w:val="20"/>
          <w:szCs w:val="20"/>
        </w:rPr>
        <w:t>Lưu ý: Đối với mỗi quốc gia GCC, các chỉ số FI, CR và PS được tính bằng trung bình có trọng số trên tất cả các quốc gia ASEAN, sử dụng giá trị nhập khẩu từ từng quốc gia làm trọng số. Giá trị trung bình của GCC được tính bằng trung bình cộng của tất cả sáu quốc gia GCC.</w:t>
      </w:r>
    </w:p>
    <w:p w14:paraId="2B64CFA9" w14:textId="77777777" w:rsidR="006575CC" w:rsidRDefault="009F2BF5">
      <w:pPr>
        <w:numPr>
          <w:ilvl w:val="0"/>
          <w:numId w:val="10"/>
        </w:numPr>
        <w:rPr>
          <w:rFonts w:ascii="Aptos" w:eastAsia="Aptos" w:hAnsi="Aptos" w:cs="Aptos"/>
        </w:rPr>
      </w:pPr>
      <w:r>
        <w:t xml:space="preserve">Tương tự, Hình 9 trình bày mức độ xuất hiện của các NTMs mà các quốc gia ASEAN áp dụng đối với nhập khẩu từ GCC, nhấn mạnh tầm quan trọng của NTMs trong quy định thương mại của ASEAN. Các biện pháp này ảnh hưởng đến hơn 90% các dòng thuế nhập khẩu tại tất cả các quốc gia ASEAN, ngoại trừ Brunei, Indonesia và Malaysia. Tuy nhiên, giống như GCC, NTMs do ASEAN áp dụng vẫn bao phủ 95% tổng giá trị nhập khẩu từ GCC. Cuối cùng, NTMs áp dụng bởi ASEAN đối với nhập </w:t>
      </w:r>
      <w:r>
        <w:lastRenderedPageBreak/>
        <w:t>khẩu từ GCC có xu hướng ít phổ biến hơn so với các NTMs mà GCC áp dụng đối với nhập khẩu từ ASEAN. Điều này được phản ánh qua giá trị trung bình PS là 10,0 ở ASEAN, so với 24,5 ở GCC.</w:t>
      </w:r>
    </w:p>
    <w:p w14:paraId="557F4077" w14:textId="77777777" w:rsidR="006575CC" w:rsidRDefault="009F2BF5">
      <w:pPr>
        <w:pStyle w:val="Heading1"/>
      </w:pPr>
      <w:bookmarkStart w:id="33" w:name="_heading=h.ybjrldln9sfv" w:colFirst="0" w:colLast="0"/>
      <w:bookmarkEnd w:id="33"/>
      <w:r>
        <w:t>Hình 9. Mức độ xuất hiện của các biện pháp phi thuế quan (NTMs) do các quốc gia ASEAN áp dụng đối với nhập khẩu từ GCC</w:t>
      </w:r>
    </w:p>
    <w:p w14:paraId="0DD8E64E" w14:textId="77777777" w:rsidR="006575CC" w:rsidRDefault="009F2BF5">
      <w:r>
        <w:rPr>
          <w:noProof/>
        </w:rPr>
        <w:drawing>
          <wp:inline distT="0" distB="0" distL="0" distR="0" wp14:anchorId="017B7D15" wp14:editId="797A3750">
            <wp:extent cx="6057900" cy="1962675"/>
            <wp:effectExtent l="0" t="0" r="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9"/>
                    <a:srcRect/>
                    <a:stretch>
                      <a:fillRect/>
                    </a:stretch>
                  </pic:blipFill>
                  <pic:spPr>
                    <a:xfrm>
                      <a:off x="0" y="0"/>
                      <a:ext cx="6057900" cy="1962675"/>
                    </a:xfrm>
                    <a:prstGeom prst="rect">
                      <a:avLst/>
                    </a:prstGeom>
                    <a:ln/>
                  </pic:spPr>
                </pic:pic>
              </a:graphicData>
            </a:graphic>
          </wp:inline>
        </w:drawing>
      </w:r>
    </w:p>
    <w:p w14:paraId="55080657" w14:textId="77777777" w:rsidR="006575CC" w:rsidRDefault="009F2BF5">
      <w:pPr>
        <w:rPr>
          <w:sz w:val="20"/>
          <w:szCs w:val="20"/>
        </w:rPr>
      </w:pPr>
      <w:r>
        <w:rPr>
          <w:sz w:val="20"/>
          <w:szCs w:val="20"/>
        </w:rPr>
        <w:t>Nguồn: Tính toán của tác giả dựa trên Cơ sở dữ liệu UNCTAD TRAINS và WITS.</w:t>
      </w:r>
    </w:p>
    <w:p w14:paraId="2FE826CD" w14:textId="77777777" w:rsidR="006575CC" w:rsidRDefault="009F2BF5">
      <w:pPr>
        <w:rPr>
          <w:b/>
          <w:bCs/>
        </w:rPr>
      </w:pPr>
      <w:r>
        <w:rPr>
          <w:sz w:val="20"/>
          <w:szCs w:val="20"/>
        </w:rPr>
        <w:t>Lưu ý: Đối với mỗi quốc gia ASEAN, các chỉ số FI, CR và PS được tính bằng trung bình có trọng số trên tất cả các quốc gia GCC, sử dụng giá trị nhập khẩu từ từng quốc gia làm trọng số. Giá trị trung bình của ASEAN được tính bằng trung bình cộng của tất cả mười quốc gia ASEAN. Tất cả dữ liệu thương mại dùng để tính mức độ xuất hiện NTMs trong báo cáo này dựa trên năm 2023, ngoại trừ Việt Nam (2022) và Lào (2021) do dữ liệu sẵn có tại WITS.</w:t>
      </w:r>
    </w:p>
    <w:p w14:paraId="78254F3A" w14:textId="77777777" w:rsidR="006575CC" w:rsidRDefault="009F2BF5">
      <w:pPr>
        <w:pStyle w:val="Heading1"/>
      </w:pPr>
      <w:bookmarkStart w:id="34" w:name="_heading=h.e192g86gupiz" w:colFirst="0" w:colLast="0"/>
      <w:bookmarkEnd w:id="34"/>
      <w:r>
        <w:lastRenderedPageBreak/>
        <w:t>Hình 10. Tỷ lệ bao phủ (Coverage Ratio) của các NTMs ở các quốc gia ASEAN và GCC theo chương NTM và ngành rộng đối với nhập khẩu từ nhau</w:t>
      </w:r>
    </w:p>
    <w:p w14:paraId="4A5D4C38" w14:textId="77777777" w:rsidR="006575CC" w:rsidRDefault="009F2BF5">
      <w:r>
        <w:rPr>
          <w:noProof/>
        </w:rPr>
        <w:drawing>
          <wp:inline distT="0" distB="0" distL="0" distR="0" wp14:anchorId="60A8EA1A" wp14:editId="4B29DE5B">
            <wp:extent cx="6061947" cy="4408689"/>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0"/>
                    <a:srcRect/>
                    <a:stretch>
                      <a:fillRect/>
                    </a:stretch>
                  </pic:blipFill>
                  <pic:spPr>
                    <a:xfrm>
                      <a:off x="0" y="0"/>
                      <a:ext cx="6061947" cy="4408689"/>
                    </a:xfrm>
                    <a:prstGeom prst="rect">
                      <a:avLst/>
                    </a:prstGeom>
                    <a:ln/>
                  </pic:spPr>
                </pic:pic>
              </a:graphicData>
            </a:graphic>
          </wp:inline>
        </w:drawing>
      </w:r>
    </w:p>
    <w:p w14:paraId="7841ECC3" w14:textId="77777777" w:rsidR="006575CC" w:rsidRDefault="009F2BF5">
      <w:pPr>
        <w:rPr>
          <w:sz w:val="20"/>
          <w:szCs w:val="20"/>
        </w:rPr>
      </w:pPr>
      <w:r>
        <w:rPr>
          <w:sz w:val="20"/>
          <w:szCs w:val="20"/>
        </w:rPr>
        <w:t>Nguồn: Tính toán của tác giả dựa trên Cơ sở dữ liệu UNCTAD TRAINS và WITS</w:t>
      </w:r>
    </w:p>
    <w:p w14:paraId="1424EEAD" w14:textId="77777777" w:rsidR="006575CC" w:rsidRDefault="009F2BF5">
      <w:pPr>
        <w:rPr>
          <w:sz w:val="20"/>
          <w:szCs w:val="20"/>
        </w:rPr>
      </w:pPr>
      <w:r>
        <w:rPr>
          <w:sz w:val="20"/>
          <w:szCs w:val="20"/>
        </w:rPr>
        <w:t>Lưu ý: Pre-ship = kiểm tra trước khi xuất hàng (Chương C), Non-auto = cấp phép nhập khẩu không tự động, hạn ngạch và các hạn chế định lượng khác (Chương E), Price = kiểm soát giá (Chương F)</w:t>
      </w:r>
    </w:p>
    <w:p w14:paraId="67E523CF" w14:textId="77777777" w:rsidR="006575CC" w:rsidRDefault="009F2BF5">
      <w:pPr>
        <w:numPr>
          <w:ilvl w:val="0"/>
          <w:numId w:val="10"/>
        </w:numPr>
      </w:pPr>
      <w:r>
        <w:t>Hình 10 so sánh tỷ lệ bao phủ NTMs (Coverage Ratios) đối với nhập khẩu giữa các quốc gia ASEAN và GCC theo ba ngành rộng—Nông nghiệp, Chế tạo và Khai khoáng—theo các chương NTM, áp dụng cho nhập khẩu từ nhau. Nhìn chung, ngành nông nghiệp chịu mức bao phủ NTMs cao nhất, với cả ASEAN và GCC đều áp dụng rộng rãi, trong đó kiểm tra trước khi xuất hàng và cấp phép nhập khẩu không tự động đối với sản phẩm nông nghiệp nhập khẩu phổ biến hơn ở GCC so với ASEAN. Trong ngành chế tạo, các quốc gia GCC thường có tỷ lệ bao phủ NTMs cao hơn trên tất cả các chương (ngoại trừ SPS) so với ASEAN, nghĩa là phần lớn sản phẩm chế tạo của ASEAN nhập khẩu vào GCC chịu NTMs nhiều hơn so với sản phẩm chế tạo của GCC nhập khẩu vào ASEAN, đặc biệt là TBT, kiểm tra trước khi xuất hàng, cấp phép không tự động và kiểm soát giá. Ngành khai khoáng cũng cho thấy xu hướng tương tự, với GCC liên tục có tỷ lệ bao phủ NTMs nhập khẩu cao hơn hoặc bằng ASEAN, nhấn mạnh môi trường quy định nghiêm ngặt hơn của GCC.</w:t>
      </w:r>
    </w:p>
    <w:p w14:paraId="5C9BA88B" w14:textId="77777777" w:rsidR="006575CC" w:rsidRDefault="009F2BF5">
      <w:pPr>
        <w:pStyle w:val="Heading1"/>
        <w:spacing w:after="120"/>
      </w:pPr>
      <w:bookmarkStart w:id="35" w:name="_heading=h.qi2ye6mplgf1" w:colFirst="0" w:colLast="0"/>
      <w:bookmarkEnd w:id="35"/>
      <w:r>
        <w:lastRenderedPageBreak/>
        <w:t>Hình 11. Mức độ xuất hiện NTMs của GCC đối với nhập khẩu từ ASEAN và các đối tác thương mại chính khác</w:t>
      </w:r>
    </w:p>
    <w:p w14:paraId="5A9DCF5C" w14:textId="77777777" w:rsidR="006575CC" w:rsidRDefault="009F2BF5">
      <w:pPr>
        <w:rPr>
          <w:b/>
          <w:bCs/>
        </w:rPr>
      </w:pPr>
      <w:r>
        <w:rPr>
          <w:noProof/>
        </w:rPr>
        <w:drawing>
          <wp:inline distT="0" distB="0" distL="0" distR="0" wp14:anchorId="20442D04" wp14:editId="727FB1C4">
            <wp:extent cx="5727700" cy="2937882"/>
            <wp:effectExtent l="0" t="0" r="0" b="0"/>
            <wp:docPr id="29" name="image4.png" descr="A graph of coverage ratio and prevalence sco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graph of coverage ratio and prevalence score&#10;&#10;AI-generated content may be incorrect."/>
                    <pic:cNvPicPr preferRelativeResize="0"/>
                  </pic:nvPicPr>
                  <pic:blipFill>
                    <a:blip r:embed="rId61"/>
                    <a:srcRect/>
                    <a:stretch>
                      <a:fillRect/>
                    </a:stretch>
                  </pic:blipFill>
                  <pic:spPr>
                    <a:xfrm>
                      <a:off x="0" y="0"/>
                      <a:ext cx="5727700" cy="2937882"/>
                    </a:xfrm>
                    <a:prstGeom prst="rect">
                      <a:avLst/>
                    </a:prstGeom>
                    <a:ln/>
                  </pic:spPr>
                </pic:pic>
              </a:graphicData>
            </a:graphic>
          </wp:inline>
        </w:drawing>
      </w:r>
    </w:p>
    <w:p w14:paraId="7328E7B7" w14:textId="77777777" w:rsidR="006575CC" w:rsidRDefault="009F2BF5">
      <w:pPr>
        <w:rPr>
          <w:sz w:val="20"/>
          <w:szCs w:val="20"/>
        </w:rPr>
      </w:pPr>
      <w:r>
        <w:rPr>
          <w:sz w:val="20"/>
          <w:szCs w:val="20"/>
        </w:rPr>
        <w:t>Nguồn: Tính toán của tác giả dựa trên Cơ sở dữ liệu UNCTAD TRAINS và WITS</w:t>
      </w:r>
    </w:p>
    <w:p w14:paraId="034E5BE2" w14:textId="77777777" w:rsidR="006575CC" w:rsidRDefault="009F2BF5">
      <w:pPr>
        <w:rPr>
          <w:sz w:val="20"/>
          <w:szCs w:val="20"/>
        </w:rPr>
      </w:pPr>
      <w:r>
        <w:rPr>
          <w:sz w:val="20"/>
          <w:szCs w:val="20"/>
        </w:rPr>
        <w:t>Lưu ý: Đối với mỗi quốc gia GCC, các chỉ số FI, CR và PS của EU được tính bằng trung bình có trọng số trên tất cả 27 quốc gia EU, sử dụng giá trị nhập khẩu từ từng quốc gia làm trọng số. Các con số được báo cáo trong hình này là giá trị trung bình của sáu quốc gia GCC.</w:t>
      </w:r>
    </w:p>
    <w:p w14:paraId="70279F13" w14:textId="77777777" w:rsidR="006575CC" w:rsidRDefault="009F2BF5">
      <w:pPr>
        <w:numPr>
          <w:ilvl w:val="0"/>
          <w:numId w:val="10"/>
        </w:numPr>
      </w:pPr>
      <w:r>
        <w:t>Hình 11 so sánh mức độ xuất hiện NTMs mà các quốc gia GCC áp dụng đối với nhập khẩu từ ASEAN so với các đối tác thương mại chính khác—Trung Quốc, Liên minh Châu Âu, Hoa Kỳ, Ấn Độ và Nhật Bản—sử dụng tỷ lệ bao phủ (CR) và điểm phổ biến (PS) làm chỉ số. Kết quả cho thấy NTMs ở các quốc gia GCC: (a) ảnh hưởng đến phần lớn sản phẩm nhập khẩu từ ASEAN (96%), cao hơn so với các đối tác khác (79%-94%), và (b) số lượng NTMs áp dụng đối với nhập khẩu từ ASEAN lớn hơn, với PS đạt 24,5, so với các đối tác khác có PS dao động từ 18,3 (Trung Quốc) đến 21,4 (Nhật Bản). Mô hình tương tự cũng quan sát được ở ASEAN, như thể hiện trong Hình 12. ASEAN áp dụng NTMs đối với 95% nhập khẩu từ GCC, cao hơn so với các đối tác khác (88,3–91,3%). Trung bình, nhập khẩu của ASEAN từ GCC chịu 10 NTMs, cao hơn một chút so với nhập khẩu từ các đối tác thương mại chính khác, có PS dao động từ 8,6 (Trung Quốc) đến 9,8 (EU).</w:t>
      </w:r>
    </w:p>
    <w:p w14:paraId="3B0EA207" w14:textId="77777777" w:rsidR="006575CC" w:rsidRDefault="006575CC">
      <w:pPr>
        <w:spacing w:after="120"/>
        <w:jc w:val="center"/>
        <w:rPr>
          <w:b/>
          <w:bCs/>
        </w:rPr>
      </w:pPr>
    </w:p>
    <w:p w14:paraId="3B6AB658" w14:textId="77777777" w:rsidR="006575CC" w:rsidRDefault="009F2BF5">
      <w:pPr>
        <w:pStyle w:val="Heading1"/>
        <w:spacing w:after="120"/>
      </w:pPr>
      <w:bookmarkStart w:id="36" w:name="_heading=h.1mt3bd35hx46" w:colFirst="0" w:colLast="0"/>
      <w:bookmarkEnd w:id="36"/>
      <w:r>
        <w:lastRenderedPageBreak/>
        <w:t>Hình 12. Mức độ xuất hiện NTMs của ASEAN đối với nhập khẩu từ GCC và các đối tác thương mại chính khác</w:t>
      </w:r>
    </w:p>
    <w:p w14:paraId="07E2129B" w14:textId="77777777" w:rsidR="006575CC" w:rsidRDefault="009F2BF5">
      <w:pPr>
        <w:spacing w:after="120"/>
      </w:pPr>
      <w:r>
        <w:rPr>
          <w:b/>
          <w:bCs/>
          <w:noProof/>
        </w:rPr>
        <w:drawing>
          <wp:inline distT="0" distB="0" distL="0" distR="0" wp14:anchorId="27D398B3" wp14:editId="7B95E576">
            <wp:extent cx="5727700" cy="3063683"/>
            <wp:effectExtent l="0" t="0" r="0" b="0"/>
            <wp:docPr id="30" name="image7.png" descr="A graph of coverage ratio and prevalence sco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graph of coverage ratio and prevalence score&#10;&#10;AI-generated content may be incorrect."/>
                    <pic:cNvPicPr preferRelativeResize="0"/>
                  </pic:nvPicPr>
                  <pic:blipFill>
                    <a:blip r:embed="rId62"/>
                    <a:srcRect/>
                    <a:stretch>
                      <a:fillRect/>
                    </a:stretch>
                  </pic:blipFill>
                  <pic:spPr>
                    <a:xfrm>
                      <a:off x="0" y="0"/>
                      <a:ext cx="5727700" cy="3063683"/>
                    </a:xfrm>
                    <a:prstGeom prst="rect">
                      <a:avLst/>
                    </a:prstGeom>
                    <a:ln/>
                  </pic:spPr>
                </pic:pic>
              </a:graphicData>
            </a:graphic>
          </wp:inline>
        </w:drawing>
      </w:r>
    </w:p>
    <w:p w14:paraId="06F08679" w14:textId="77777777" w:rsidR="006575CC" w:rsidRDefault="009F2BF5">
      <w:pPr>
        <w:spacing w:after="120"/>
        <w:rPr>
          <w:sz w:val="20"/>
          <w:szCs w:val="20"/>
        </w:rPr>
      </w:pPr>
      <w:r>
        <w:rPr>
          <w:sz w:val="20"/>
          <w:szCs w:val="20"/>
        </w:rPr>
        <w:t>Nguồn: Tính toán của tác giả dựa trên Cơ sở dữ liệu UNCTAD TRAINS và WITS.</w:t>
      </w:r>
    </w:p>
    <w:p w14:paraId="54639258" w14:textId="77777777" w:rsidR="006575CC" w:rsidRDefault="009F2BF5">
      <w:pPr>
        <w:spacing w:after="120"/>
        <w:rPr>
          <w:b/>
          <w:bCs/>
        </w:rPr>
      </w:pPr>
      <w:r>
        <w:rPr>
          <w:sz w:val="20"/>
          <w:szCs w:val="20"/>
        </w:rPr>
        <w:t>Lưu ý: Đối với mỗi quốc gia ASEAN, các chỉ số FI, CR và PS của EU được tính bằng trung bình có trọng số trên tất cả 27 quốc gia EU, sử dụng giá trị nhập khẩu từ từng quốc gia làm trọng số. Các con số trong hình này là giá trị trung bình của mười quốc gia ASEAN.</w:t>
      </w:r>
    </w:p>
    <w:p w14:paraId="0AF21144" w14:textId="77777777" w:rsidR="006575CC" w:rsidRDefault="009F2BF5">
      <w:pPr>
        <w:numPr>
          <w:ilvl w:val="0"/>
          <w:numId w:val="10"/>
        </w:numPr>
      </w:pPr>
      <w:r>
        <w:rPr>
          <w:b/>
          <w:bCs/>
          <w:i/>
          <w:iCs/>
        </w:rPr>
        <w:t xml:space="preserve">Các Lĩnh vực Hợp tác Tiềm năng. </w:t>
      </w:r>
      <w:r>
        <w:t>Phân tích của chúng tôi nhấn mạnh tầm quan trọng ngày càng tăng của các biện pháp phi thuế quan (NTMs) so với thuế quan truyền thống như một rào cản trong việc thúc đẩy luồng thương mại quốc tế liền mạch giữa ASEAN và GCC. Phần trước cho thấy ASEAN áp dụng 9.397 NTMs đối với nhập khẩu từ GCC, trong khi GCC áp dụng 4.991 NTMs đối với ASEAN, trong đó khoảng hai phần ba liên quan đến các biện pháp SPS hoặc TBT. Tuy nhiên, các con số này cần được giải thích thận trọng, vì số lượng NTMs cao hơn không nhất thiết đồng nghĩa với một chế độ thương mại hạn chế hơn. Thực tế, phân tích mức độ xuất hiện NTMs cho thấy các NTMs do mỗi bên áp dụng đều ảnh hưởng đến gần 96% nhập khẩu từ bên kia, với các quốc gia GCC áp dụng trung bình gần 25 NTMs cho mỗi sản phẩm nhập khẩu từ ASEAN, so với 10 NTMs của ASEAN đối với nhập khẩu từ GCC. Với tầm quan trọng ngày càng tăng của NTMs trong định hình thương mại giữa hai bên, việc triển khai các chiến lược NTMs chủ động và phối hợp tốt trở nên quan trọng hơn bao giờ hết, đặc biệt nếu ASEAN và GCC muốn theo đuổi hội nhập kinh tế sâu hơn.</w:t>
      </w:r>
    </w:p>
    <w:p w14:paraId="038D0246" w14:textId="77777777" w:rsidR="006575CC" w:rsidRDefault="009F2BF5">
      <w:pPr>
        <w:numPr>
          <w:ilvl w:val="0"/>
          <w:numId w:val="10"/>
        </w:numPr>
      </w:pPr>
      <w:r>
        <w:t xml:space="preserve">Tăng cường minh bạch thông qua việc thành lập hoặc cải thiện các kho dữ liệu thương mại, đóng vai trò như một cơ sở dữ liệu tập trung về NTMs, cho phép doanh nghiệp tiếp cận thông tin cập nhật về các quy định, biện pháp và thủ tục liên quan. Việc chỉ định các đầu mối liên lạc quốc gia và khu vực là điều quan trọng để cải thiện </w:t>
      </w:r>
      <w:r>
        <w:lastRenderedPageBreak/>
        <w:t>giao tiếp giữa các cơ quan quản lý nhà nước và doanh nghiệp, đảm bảo các vấn đề liên quan đến NTMs được giải quyết kịp thời. Đồng thời, cần cung cấp một bộ thông tin toàn diện (ví dụ: mức độ chi tiết tương tự giữa các bên) và đảm bảo rằng các quy định, biện pháp được cập nhật thường xuyên.</w:t>
      </w:r>
    </w:p>
    <w:p w14:paraId="539CDD1E" w14:textId="77777777" w:rsidR="006575CC" w:rsidRDefault="009F2BF5">
      <w:pPr>
        <w:numPr>
          <w:ilvl w:val="0"/>
          <w:numId w:val="10"/>
        </w:numPr>
      </w:pPr>
      <w:r>
        <w:t>Tăng cường chia sẻ dữ liệu có thể giúp các bên liên quan xác định các mặt hàng chịu ảnh hưởng nhiều nhất từ NTMs. Việc phát triển các hệ thống chia sẻ dữ liệu sẽ hỗ trợ cả ASEAN và GCC trong việc giám sát và phân tích tác động của NTMs đến luồng thương mại. Sự hợp tác này có thể giúp các nhà hoạch định chính sách tại ASEAN và GCC nhận diện những NTMs không cần thiết hoặc quá hạn chế, từ đó thực hiện các bước cần thiết để điều chỉnh, đơn giản hóa các biện pháp hoặc quy định.</w:t>
      </w:r>
    </w:p>
    <w:p w14:paraId="43DBAFC0" w14:textId="77777777" w:rsidR="006575CC" w:rsidRDefault="009F2BF5">
      <w:pPr>
        <w:numPr>
          <w:ilvl w:val="0"/>
          <w:numId w:val="10"/>
        </w:numPr>
      </w:pPr>
      <w:r>
        <w:t>Hợp tác trong các lĩnh vực như Thỏa thuận Công nhận Lẫn nhau (MRAs), đánh giá sự phù hợp, thủ tục công nhận, tiêu chuẩn và quy định kỹ thuật giúp đơn giản hóa các quy trình thương mại bằng cách giảm bớt các kiểm tra và thủ tục trùng lặp.</w:t>
      </w:r>
    </w:p>
    <w:p w14:paraId="5DF22926" w14:textId="77777777" w:rsidR="006575CC" w:rsidRDefault="009F2BF5">
      <w:pPr>
        <w:numPr>
          <w:ilvl w:val="0"/>
          <w:numId w:val="10"/>
        </w:numPr>
      </w:pPr>
      <w:r>
        <w:t>Cuối cùng, việc tiến hành các nghiên cứu và khảo sát có mục tiêu về NTMs không chỉ cung cấp thông tin cho các nhà hoạch định chính sách và doanh nghiệp mà còn hướng dẫn việc xây dựng các chiến lược hiệu quả nhằm giảm thiểu tác động hạn chế thương mại của NTMs, từ đó hỗ trợ tăng trưởng kinh tế bền vững ở cả hai khu vực.</w:t>
      </w:r>
    </w:p>
    <w:p w14:paraId="2E216CD3" w14:textId="53623B78" w:rsidR="006575CC" w:rsidRDefault="009F2BF5">
      <w:pPr>
        <w:numPr>
          <w:ilvl w:val="0"/>
          <w:numId w:val="10"/>
        </w:numPr>
      </w:pPr>
      <w:r>
        <w:rPr>
          <w:b/>
          <w:bCs/>
          <w:i/>
          <w:iCs/>
        </w:rPr>
        <w:t xml:space="preserve">Tạo </w:t>
      </w:r>
      <w:r w:rsidR="00F1697E">
        <w:rPr>
          <w:b/>
          <w:bCs/>
          <w:i/>
          <w:iCs/>
        </w:rPr>
        <w:t xml:space="preserve">thuận lợi </w:t>
      </w:r>
      <w:r>
        <w:rPr>
          <w:b/>
          <w:bCs/>
          <w:i/>
          <w:iCs/>
        </w:rPr>
        <w:t xml:space="preserve">thương mại (Trade Facilitation). </w:t>
      </w:r>
      <w:r>
        <w:t xml:space="preserve">Trong thập kỷ qua, việc tạo </w:t>
      </w:r>
      <w:r w:rsidR="00F1697E">
        <w:t>thuận lợi</w:t>
      </w:r>
      <w:r>
        <w:t xml:space="preserve"> thương mại ngày càng trở nên quan trọng trong các hiệp định thương mại quốc tế. Yếu tố chính thúc đẩy điều này là Hoàn tất đàm phán Hiệp định Tạo </w:t>
      </w:r>
      <w:r w:rsidR="00F1697E">
        <w:t xml:space="preserve">thuận lợi </w:t>
      </w:r>
      <w:r>
        <w:t xml:space="preserve">Thương mại (TFA) của WTO năm 2013. Sau khi TFA có hiệu lực vào năm 2017, các thành viên WTO được yêu cầu triển khai các biện pháp nhằm đơn giản hóa thủ tục thương mại và hải quan cũng như giảm các rào cản liên quan đến thương mại. Nhiều FTA khác, bao gồm các FTA ASEAN Plus, cũng nâng cấp các quy định về tạo điều kiện thương mại, đặc biệt là trong các chương hải quan và tạo </w:t>
      </w:r>
      <w:r w:rsidR="00F1697E">
        <w:t>thuận lợi</w:t>
      </w:r>
      <w:r>
        <w:t xml:space="preserve"> thương mại, thậm chí có hiệp định còn vượt qua các cam kết của WTO-TFA</w:t>
      </w:r>
      <w:r>
        <w:rPr>
          <w:b/>
          <w:bCs/>
          <w:i/>
          <w:iCs/>
        </w:rPr>
        <w:t>.</w:t>
      </w:r>
      <w:r>
        <w:rPr>
          <w:vertAlign w:val="superscript"/>
        </w:rPr>
        <w:footnoteReference w:id="4"/>
      </w:r>
    </w:p>
    <w:p w14:paraId="5358A235" w14:textId="3BE12E8F" w:rsidR="006575CC" w:rsidRDefault="009F2BF5">
      <w:pPr>
        <w:numPr>
          <w:ilvl w:val="0"/>
          <w:numId w:val="10"/>
        </w:numPr>
      </w:pPr>
      <w:r>
        <w:t xml:space="preserve">Trong khu vực ASEAN, Kế hoạch hành động Cộng đồng Kinh tế ASEAN (AEC Blueprint 2015) đề ra các sáng kiến hợp tác ở cấp quốc gia và khu vực nhằm nâng cao việc tạo </w:t>
      </w:r>
      <w:r w:rsidR="00F1697E">
        <w:t xml:space="preserve">thuận lợi </w:t>
      </w:r>
      <w:r>
        <w:t xml:space="preserve">thương mại. Các quốc gia thành viên ASEAN cam kết đồng bộ hóa và tiêu chuẩn hóa các quy trình hải quan, thủ tục thương mại và luồng thông tin để giảm chi phí giao dịch trên toàn khu vực. Các biện pháp tạo điều kiện chủ chốt, được nhấn mạnh cả trong AEC Blueprint và WTO-TFA, bao gồm: tăng cường minh bạch (ví dụ: công bố thông tin liên quan đến thương mại thông qua National Trade Repository và ASEAN Trade Repository), đơn giản hóa thủ tục hải quan (bao gồm tự chứng nhận quy tắc xuất xứ và chương trình authorized economic operator), chuyển đổi sang thương mại không giấy tờ (qua các hệ thống như ASEAN Single Window và </w:t>
      </w:r>
      <w:r>
        <w:lastRenderedPageBreak/>
        <w:t>National Single Window), và cải thiện tạo điều kiện vận chuyển hàng hóa qua biên giới thông qua việc triển khai ASEAN Customs Transit System (ACTS).</w:t>
      </w:r>
    </w:p>
    <w:p w14:paraId="0A53B701" w14:textId="77777777" w:rsidR="006575CC" w:rsidRDefault="006575CC">
      <w:pPr>
        <w:ind w:left="720"/>
      </w:pPr>
    </w:p>
    <w:p w14:paraId="48A05C7B" w14:textId="7AAB5C6A" w:rsidR="006575CC" w:rsidRDefault="009F2BF5">
      <w:pPr>
        <w:numPr>
          <w:ilvl w:val="0"/>
          <w:numId w:val="10"/>
        </w:numPr>
      </w:pPr>
      <w:r>
        <w:t xml:space="preserve">Việc triển khai các biện pháp tạo </w:t>
      </w:r>
      <w:r w:rsidR="00F1697E">
        <w:t xml:space="preserve">thuận lợi </w:t>
      </w:r>
      <w:r>
        <w:t xml:space="preserve">thương mại của ASEAN đã đạt được tiến bộ đáng kể nhờ các sáng kiến khu vực có mục tiêu. Đến năm 2023, các quốc gia thành viên ASEAN đã cải thiện đáng kể việc thực hiện các biện pháp tạo </w:t>
      </w:r>
      <w:r w:rsidR="00F1697E">
        <w:t>thuận lợi</w:t>
      </w:r>
      <w:r>
        <w:t xml:space="preserve"> thương mại, với tiến triển nổi bật ở các lĩnh vực minh bạch, thương mại không giấy tờ và thương mại không giấy tờ xuyên biên giới, như minh họa trong Hình 13 về việc triển khai các biện pháp tạo </w:t>
      </w:r>
      <w:r w:rsidR="00F1697E">
        <w:t xml:space="preserve">thuận lợi </w:t>
      </w:r>
      <w:r>
        <w:t xml:space="preserve">thương mại theo thời gian. Khu vực này đạt tỷ lệ triển khai chung là 80,5% (Hình 14). Trong đó, minh bạch đạt 94,7%, nhờ vào việc thành lập ASEAN Trade Repository và National Trade Repositories (ATR/NTRs), nơi thông tin liên quan đến thương mại, bao gồm các quy định về NTMs, được cập nhật. Hệ thống thương mại không giấy tờ cũng tiến triển mạnh, đạt khoảng 81,4%, được hỗ trợ bởi các công cụ như ASEAN Single Window và National Single Windows (ASW/NSW), giúp đơn giản hóa thủ tục hải quan thông qua trao đổi điện tử các tài liệu thương mại giữa các quốc gia thành viên ASEAN. Thương mại không giấy tờ xuyên biên giới đạt mức triển khai khoảng 60%, thể hiện nỗ lực tích hợp các hệ thống hải quan và thương mại số giữa các nước ASEAN. Bên cạnh đó, tiến bộ cũng được ghi nhận trong hiện đại hóa và đơn giản hóa thủ tục hải quan, bao gồm việc triển khai chương trình </w:t>
      </w:r>
      <w:r w:rsidR="00F1697E">
        <w:t>doanh nghiệp được chứng nhận (</w:t>
      </w:r>
      <w:r>
        <w:t xml:space="preserve">authorized economic operator </w:t>
      </w:r>
      <w:r w:rsidR="00F1697E">
        <w:t xml:space="preserve">- </w:t>
      </w:r>
      <w:r>
        <w:t>AEO) và cơ chế tự chứng nhận quy tắc xuất xứ thông qua trao đổi các tài liệu điện tử như e-ATIGA Form D, ACDD, e-Phyto cho các thương nhân.</w:t>
      </w:r>
    </w:p>
    <w:p w14:paraId="4B08C096" w14:textId="451DC1D3" w:rsidR="006575CC" w:rsidRDefault="009F2BF5">
      <w:pPr>
        <w:pStyle w:val="Heading1"/>
      </w:pPr>
      <w:bookmarkStart w:id="37" w:name="_heading=h.g6fnr81wgoqo" w:colFirst="0" w:colLast="0"/>
      <w:bookmarkEnd w:id="37"/>
      <w:r>
        <w:t xml:space="preserve">Hình 13. Mức độ triển khai các biện pháp tạo </w:t>
      </w:r>
      <w:r w:rsidR="00F1697E">
        <w:t xml:space="preserve">thuận lợi </w:t>
      </w:r>
      <w:r>
        <w:t>thương mại theo thời gian tại ASEAN</w:t>
      </w:r>
    </w:p>
    <w:p w14:paraId="29D11588" w14:textId="77777777" w:rsidR="006575CC" w:rsidRDefault="009F2BF5">
      <w:pPr>
        <w:spacing w:line="276" w:lineRule="auto"/>
        <w:rPr>
          <w:sz w:val="20"/>
          <w:szCs w:val="20"/>
        </w:rPr>
      </w:pPr>
      <w:r>
        <w:rPr>
          <w:noProof/>
        </w:rPr>
        <w:drawing>
          <wp:inline distT="0" distB="0" distL="0" distR="0" wp14:anchorId="4090E949" wp14:editId="12527475">
            <wp:extent cx="5734050" cy="3410507"/>
            <wp:effectExtent l="0" t="0" r="0" b="0"/>
            <wp:docPr id="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3"/>
                    <a:srcRect/>
                    <a:stretch>
                      <a:fillRect/>
                    </a:stretch>
                  </pic:blipFill>
                  <pic:spPr>
                    <a:xfrm>
                      <a:off x="0" y="0"/>
                      <a:ext cx="5734050" cy="3410507"/>
                    </a:xfrm>
                    <a:prstGeom prst="rect">
                      <a:avLst/>
                    </a:prstGeom>
                    <a:ln/>
                  </pic:spPr>
                </pic:pic>
              </a:graphicData>
            </a:graphic>
          </wp:inline>
        </w:drawing>
      </w:r>
    </w:p>
    <w:p w14:paraId="5533D07B" w14:textId="498A0E39" w:rsidR="006575CC" w:rsidRDefault="009F2BF5">
      <w:pPr>
        <w:spacing w:line="276" w:lineRule="auto"/>
        <w:rPr>
          <w:sz w:val="20"/>
          <w:szCs w:val="20"/>
        </w:rPr>
      </w:pPr>
      <w:r>
        <w:rPr>
          <w:sz w:val="20"/>
          <w:szCs w:val="20"/>
        </w:rPr>
        <w:lastRenderedPageBreak/>
        <w:t xml:space="preserve">Nguồn: Khảo sát Tạo </w:t>
      </w:r>
      <w:r w:rsidR="00F1697E">
        <w:rPr>
          <w:sz w:val="20"/>
          <w:szCs w:val="20"/>
        </w:rPr>
        <w:t xml:space="preserve">thuận lợi </w:t>
      </w:r>
      <w:r>
        <w:rPr>
          <w:sz w:val="20"/>
          <w:szCs w:val="20"/>
        </w:rPr>
        <w:t>Thương mại của Liên Hợp Quốc 2023</w:t>
      </w:r>
    </w:p>
    <w:p w14:paraId="3FD1E2DD" w14:textId="5B83BA2A" w:rsidR="006575CC" w:rsidRDefault="009F2BF5">
      <w:pPr>
        <w:numPr>
          <w:ilvl w:val="0"/>
          <w:numId w:val="10"/>
        </w:numPr>
        <w:spacing w:line="276" w:lineRule="auto"/>
      </w:pPr>
      <w:r>
        <w:t xml:space="preserve">Ngoài ra, việc thành lập Ủy ban Tạo </w:t>
      </w:r>
      <w:r w:rsidR="00F1697E">
        <w:t xml:space="preserve">thuận lợi </w:t>
      </w:r>
      <w:r>
        <w:t xml:space="preserve">Thương mại Quốc gia (NTFCs) cùng với các sáng kiến phối hợp ở cấp khu vực, như tiến hành Các nghiên cứu Thời gian Thông quan (Time Release Studies - TRS), phản ánh trọng tâm của ASEAN vào các </w:t>
      </w:r>
      <w:r w:rsidR="00F1697E">
        <w:t xml:space="preserve">hợp tác về </w:t>
      </w:r>
      <w:r>
        <w:t xml:space="preserve">thực hành tạo </w:t>
      </w:r>
      <w:r w:rsidR="00F1697E">
        <w:t>thuận lợi</w:t>
      </w:r>
      <w:r>
        <w:t xml:space="preserve"> thương mại, thể hiện cam kết cải thiện liên tục môi trường thương mại. Tóm lại, các cải cách này đã góp phần nâng cao môi trường tạo điều kiện thương mại và giảm chi phí giao dịch thương mại trong khu vực.</w:t>
      </w:r>
    </w:p>
    <w:p w14:paraId="71F90C80" w14:textId="3A166088" w:rsidR="006575CC" w:rsidRDefault="009F2BF5">
      <w:pPr>
        <w:pStyle w:val="Heading1"/>
      </w:pPr>
      <w:bookmarkStart w:id="38" w:name="_heading=h.bkhdj6f8ye11" w:colFirst="0" w:colLast="0"/>
      <w:bookmarkEnd w:id="38"/>
      <w:r>
        <w:t xml:space="preserve">Hình 14. Điểm trung bình về Tạo </w:t>
      </w:r>
      <w:r w:rsidR="00F1697E">
        <w:t>thuận lợi</w:t>
      </w:r>
      <w:r>
        <w:t xml:space="preserve"> Thương mại của ASEAN và GCC năm 2023 (%)</w:t>
      </w:r>
    </w:p>
    <w:p w14:paraId="7A6190FE" w14:textId="77777777" w:rsidR="006575CC" w:rsidRDefault="009F2BF5">
      <w:pPr>
        <w:spacing w:line="276" w:lineRule="auto"/>
        <w:jc w:val="center"/>
      </w:pPr>
      <w:r>
        <w:rPr>
          <w:noProof/>
        </w:rPr>
        <w:drawing>
          <wp:inline distT="0" distB="0" distL="0" distR="0" wp14:anchorId="004A654E" wp14:editId="411D08AC">
            <wp:extent cx="3714750" cy="2914753"/>
            <wp:effectExtent l="0" t="0" r="0" b="0"/>
            <wp:docPr id="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4"/>
                    <a:srcRect/>
                    <a:stretch>
                      <a:fillRect/>
                    </a:stretch>
                  </pic:blipFill>
                  <pic:spPr>
                    <a:xfrm>
                      <a:off x="0" y="0"/>
                      <a:ext cx="3714750" cy="2914753"/>
                    </a:xfrm>
                    <a:prstGeom prst="rect">
                      <a:avLst/>
                    </a:prstGeom>
                    <a:ln/>
                  </pic:spPr>
                </pic:pic>
              </a:graphicData>
            </a:graphic>
          </wp:inline>
        </w:drawing>
      </w:r>
    </w:p>
    <w:p w14:paraId="0C046247" w14:textId="5FFD8FDD" w:rsidR="006575CC" w:rsidRDefault="009F2BF5">
      <w:pPr>
        <w:spacing w:line="276" w:lineRule="auto"/>
      </w:pPr>
      <w:r>
        <w:rPr>
          <w:sz w:val="20"/>
          <w:szCs w:val="20"/>
        </w:rPr>
        <w:t xml:space="preserve">Nguồn: Khảo sát Tạo </w:t>
      </w:r>
      <w:r w:rsidR="00F1697E">
        <w:rPr>
          <w:sz w:val="20"/>
          <w:szCs w:val="20"/>
        </w:rPr>
        <w:t xml:space="preserve">thuận lợi </w:t>
      </w:r>
      <w:r>
        <w:rPr>
          <w:sz w:val="20"/>
          <w:szCs w:val="20"/>
        </w:rPr>
        <w:t>Thương mại của Liên Hợp Quốc 2023</w:t>
      </w:r>
    </w:p>
    <w:p w14:paraId="1F3AF6F7" w14:textId="12BB7259" w:rsidR="006575CC" w:rsidRDefault="009F2BF5">
      <w:pPr>
        <w:numPr>
          <w:ilvl w:val="0"/>
          <w:numId w:val="10"/>
        </w:numPr>
      </w:pPr>
      <w:r>
        <w:t xml:space="preserve">Khi so sánh hai khu vực, vào năm 2023, điểm trung bình về tạo </w:t>
      </w:r>
      <w:r w:rsidR="00F1697E">
        <w:t>thuận lợi</w:t>
      </w:r>
      <w:r>
        <w:t xml:space="preserve"> thương mại của ASEAN đạt 80,5%, thấp hơn một chút so với trung bình 82,4% của GCC. Cần lưu ý rằng việc so sánh ASEAN và GCC phải tính đến sự khác biệt về cấu trúc và mức độ phát triển giữa hai khu vực. Điểm trung bình thấp hơn của ASEAN có thể bị ảnh hưởng bởi sự đa dạng đáng kể của khu vực này, cả về phát triển kinh tế lẫn mức độ triển khai các biện pháp tạo </w:t>
      </w:r>
      <w:r w:rsidR="00F1697E">
        <w:t xml:space="preserve">thuận lợi </w:t>
      </w:r>
      <w:r>
        <w:t xml:space="preserve">thương mại giữa các quốc gia thành viên. Các nước như Singapore, Malaysia và Indonesia đạt kết quả xuất sắc, với điểm trên 85%, phản ánh hệ thống và năng lực thể chế tiên tiến. Ngược lại, các quốc gia kém phát triển như Myanmar và Lào có điểm thấp hơn đáng kể, cho thấy khoảng cách về năng lực và sẵn sàng về </w:t>
      </w:r>
      <w:r w:rsidR="001425FF">
        <w:t>số</w:t>
      </w:r>
      <w:r>
        <w:t xml:space="preserve">. So với đó, GCC chỉ bao gồm sáu quốc gia với mức phát triển kinh tế và năng lực thể chế tương đối đồng đều, góp phần vào điểm số cao và ổn định hơn. Việc ASEAN có số lượng thành viên lớn hơn và sự khác biệt kinh tế trong khu vực, mặc dù là một nguồn sức mạnh, cũng tạo ra thách thức trong việc đạt được kết quả tạo </w:t>
      </w:r>
      <w:r w:rsidR="00F1697E">
        <w:t xml:space="preserve">thuận lợi </w:t>
      </w:r>
      <w:r>
        <w:t xml:space="preserve">thương mại đồng đều. Những quan sát này nhấn mạnh </w:t>
      </w:r>
      <w:r>
        <w:lastRenderedPageBreak/>
        <w:t>tầm quan trọng của các chiến lược cải cách được thiết kế phù hợp, nhạy bén với bối cảnh, vừa đáp ứng nhu cầu từng quốc gia vừa thúc đẩy mục tiêu hội nhập khu vực.</w:t>
      </w:r>
    </w:p>
    <w:p w14:paraId="34212BE9" w14:textId="3888A863" w:rsidR="006575CC" w:rsidRDefault="009F2BF5">
      <w:pPr>
        <w:numPr>
          <w:ilvl w:val="0"/>
          <w:numId w:val="10"/>
        </w:numPr>
      </w:pPr>
      <w:r>
        <w:t xml:space="preserve">So sánh chi tiết về điểm tạo </w:t>
      </w:r>
      <w:r w:rsidR="00F1697E">
        <w:t xml:space="preserve">thuận lợi </w:t>
      </w:r>
      <w:r>
        <w:t>thương mại giữa ASEAN và GCC cho thấy hiệu quả trong năm lĩnh vực chính: Minh bạch (Transparency), Thủ tục (Formalities), Cơ chế thể chế (Institutions), Thương mại không giấy tờ (Paperless Trade) và Thương mại không giấy tờ xuyên biên giới (Cross-Border Paperless Trade). GCC thể hiện hiệu quả cao hơn tổng thể, đặc biệt trong Thương mại không giấy tờ và Thương mại không giấy tờ xuyên biên giới, đồng thời vượt trội ASEAN về Cơ chế thể chế và Hợp tác liên cơ quan, phản ánh thế mạnh về quản trị và phối hợp giữa các cơ quan. Cả hai khu vực có nỗ lực tương đương về Minh bạch (ASEAN nhỉnh hơn một chút) và Thủ tục (GCC nhỉnh hơn một chút), cho thấy cả hai đều chú trọng tới quy định rõ ràng và thủ tục được đơn giản hóa.</w:t>
      </w:r>
    </w:p>
    <w:p w14:paraId="779E5CBD" w14:textId="057047E4" w:rsidR="006575CC" w:rsidRDefault="009F2BF5">
      <w:pPr>
        <w:keepNext/>
        <w:spacing w:after="200"/>
        <w:jc w:val="center"/>
        <w:rPr>
          <w:b/>
          <w:bCs/>
        </w:rPr>
      </w:pPr>
      <w:bookmarkStart w:id="39" w:name="_heading=h.ognwc57jio5a" w:colFirst="0" w:colLast="0"/>
      <w:bookmarkEnd w:id="39"/>
      <w:r>
        <w:rPr>
          <w:b/>
          <w:bCs/>
        </w:rPr>
        <w:t xml:space="preserve">Hình 15. Mức độ triển khai các biện pháp tạo </w:t>
      </w:r>
      <w:r w:rsidR="00F1697E">
        <w:rPr>
          <w:b/>
          <w:bCs/>
        </w:rPr>
        <w:t>thuận lợi</w:t>
      </w:r>
      <w:r>
        <w:rPr>
          <w:b/>
          <w:bCs/>
        </w:rPr>
        <w:t xml:space="preserve"> thương mại của ASEAN và GCC năm 2023 (%)</w:t>
      </w:r>
    </w:p>
    <w:p w14:paraId="1158A95C" w14:textId="77777777" w:rsidR="006575CC" w:rsidRDefault="009F2BF5">
      <w:pPr>
        <w:spacing w:line="276" w:lineRule="auto"/>
        <w:rPr>
          <w:b/>
          <w:bCs/>
        </w:rPr>
      </w:pPr>
      <w:r>
        <w:rPr>
          <w:noProof/>
        </w:rPr>
        <w:drawing>
          <wp:inline distT="0" distB="0" distL="0" distR="0" wp14:anchorId="11E29631" wp14:editId="3CA88049">
            <wp:extent cx="5772700" cy="3429525"/>
            <wp:effectExtent l="0" t="0" r="0" b="0"/>
            <wp:docPr id="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5"/>
                    <a:srcRect/>
                    <a:stretch>
                      <a:fillRect/>
                    </a:stretch>
                  </pic:blipFill>
                  <pic:spPr>
                    <a:xfrm>
                      <a:off x="0" y="0"/>
                      <a:ext cx="5772700" cy="3429525"/>
                    </a:xfrm>
                    <a:prstGeom prst="rect">
                      <a:avLst/>
                    </a:prstGeom>
                    <a:ln/>
                  </pic:spPr>
                </pic:pic>
              </a:graphicData>
            </a:graphic>
          </wp:inline>
        </w:drawing>
      </w:r>
    </w:p>
    <w:p w14:paraId="1165FB14" w14:textId="1DC5DB48" w:rsidR="006575CC" w:rsidRDefault="009F2BF5">
      <w:pPr>
        <w:spacing w:line="276" w:lineRule="auto"/>
      </w:pPr>
      <w:r>
        <w:rPr>
          <w:sz w:val="20"/>
          <w:szCs w:val="20"/>
        </w:rPr>
        <w:t xml:space="preserve">Nguồn: Khảo sát Tạo </w:t>
      </w:r>
      <w:r w:rsidR="00F1697E">
        <w:rPr>
          <w:sz w:val="20"/>
          <w:szCs w:val="20"/>
        </w:rPr>
        <w:t>thuận lợi</w:t>
      </w:r>
      <w:r>
        <w:rPr>
          <w:sz w:val="20"/>
          <w:szCs w:val="20"/>
        </w:rPr>
        <w:t xml:space="preserve"> Thương mại của Liên Hợp Quốc 2023</w:t>
      </w:r>
    </w:p>
    <w:p w14:paraId="105DDAC7" w14:textId="44CD36B8" w:rsidR="006575CC" w:rsidRDefault="009F2BF5">
      <w:pPr>
        <w:numPr>
          <w:ilvl w:val="0"/>
          <w:numId w:val="10"/>
        </w:numPr>
      </w:pPr>
      <w:r>
        <w:t xml:space="preserve">Như thể hiện trong Bảng 9, trong số các quốc gia ASEAN, Singapore dẫn đầu với tổng điểm xuất sắc 96,7%, nhờ đạt điểm tối đa ở cả năm lĩnh vực, phản ánh hệ thống tạo </w:t>
      </w:r>
      <w:r w:rsidR="00F1697E">
        <w:t xml:space="preserve">thuận lợi </w:t>
      </w:r>
      <w:r>
        <w:t xml:space="preserve">thương mại tiên tiến. Malaysia và Philippines theo sát với 85,9%, thể hiện hiệu quả mạnh mẽ ở hầu hết các lĩnh vực, đặc biệt là thủ tục và thương mại không giấy tờ. Indonesia cũng nổi bật với tổng điểm 84,9%, vượt trội trong thương mại không giấy tờ và duy trì tính minh bạch cao. Ngược lại, Myanmar có điểm thấp </w:t>
      </w:r>
      <w:r>
        <w:lastRenderedPageBreak/>
        <w:t>nhất trong ASEAN với 58,3%, do yếu kém về cơ chế thể chế và thương mại không giấy tờ xuyên biên giới.</w:t>
      </w:r>
    </w:p>
    <w:p w14:paraId="7B9EB3B8" w14:textId="77777777" w:rsidR="006575CC" w:rsidRDefault="006575CC"/>
    <w:p w14:paraId="1261993A" w14:textId="004D12A4" w:rsidR="006575CC" w:rsidRDefault="009F2BF5">
      <w:pPr>
        <w:numPr>
          <w:ilvl w:val="0"/>
          <w:numId w:val="10"/>
        </w:numPr>
      </w:pPr>
      <w:r>
        <w:t>Đối với khu vực GCC, Ả Rập Xê Út và UAE là những quốc gia dẫn đầu, đạt điểm lần lượt 93,3% và 89,8%, nhờ hệ thống vững chắc về thủ tục, cơ chế thể chế và thương mại không giấy tờ. Các quốc gia này áp dụng cơ chế cửa một cửa (single window) và hệ thống hải quan số hóa, như Mirsal 2 của UAE</w:t>
      </w:r>
      <w:r>
        <w:rPr>
          <w:vertAlign w:val="superscript"/>
        </w:rPr>
        <w:footnoteReference w:id="5"/>
      </w:r>
      <w:r>
        <w:t>, giúp đơn giản hóa và rút ngắn thời gian cho các hoạt động xuất nhập khẩu, và hệ thống tích hợp FASAH của Ả Rập Xê Út</w:t>
      </w:r>
      <w:r>
        <w:rPr>
          <w:vertAlign w:val="superscript"/>
        </w:rPr>
        <w:footnoteReference w:id="6"/>
      </w:r>
      <w:r>
        <w:t xml:space="preserve">,cho phép thương nhân thực hiện nhập khẩu và xuất khẩu một cách liền mạch, từ đó nâng cao môi trường tạo </w:t>
      </w:r>
      <w:r w:rsidR="00F1697E">
        <w:t xml:space="preserve">thuận lợi </w:t>
      </w:r>
      <w:r>
        <w:t>thương mại. Bahrain và Qatar cũng đạt kết quả tốt với điểm trên 85%, nhờ minh bạch cao và tích hợp thương mại số; Qatar sử dụng hệ thống Al-Nadeeb single window với công nghệ hiện đại để hỗ trợ các hoạt động thương mại và hải quan</w:t>
      </w:r>
      <w:r>
        <w:rPr>
          <w:vertAlign w:val="superscript"/>
        </w:rPr>
        <w:footnoteReference w:id="7"/>
      </w:r>
      <w:r>
        <w:t>. Oman và Kuwait, mặc dù điểm thấp hơn một chút, vẫn duy trì mức trung bình đáng kể nhờ cơ chế thể chế vững chắc và hiệu quả ổn định ở các lĩnh vực. Thêm vào đó, các quốc gia GCC cũng đang phát triển hoặc triển khai chương trình doanh nghiệp ưu tiên (authorized economic operators - AEO) nhằm tăng cường an ninh và hiệu quả chuỗi cung ứng.</w:t>
      </w:r>
    </w:p>
    <w:p w14:paraId="453FF174" w14:textId="6CCB4BC8" w:rsidR="006575CC" w:rsidRDefault="009F2BF5">
      <w:pPr>
        <w:spacing w:after="200"/>
        <w:jc w:val="center"/>
        <w:rPr>
          <w:b/>
          <w:bCs/>
          <w:i/>
          <w:iCs/>
          <w:color w:val="0E2841"/>
        </w:rPr>
      </w:pPr>
      <w:bookmarkStart w:id="40" w:name="_heading=h.9ffznahuqyfk" w:colFirst="0" w:colLast="0"/>
      <w:bookmarkEnd w:id="40"/>
      <w:r>
        <w:rPr>
          <w:b/>
          <w:bCs/>
        </w:rPr>
        <w:t xml:space="preserve">Bảng 9. Tỷ lệ triển khai các biện pháp tạo </w:t>
      </w:r>
      <w:r w:rsidR="00F1697E">
        <w:rPr>
          <w:b/>
          <w:bCs/>
        </w:rPr>
        <w:t xml:space="preserve">thuận lợi </w:t>
      </w:r>
      <w:r>
        <w:rPr>
          <w:b/>
          <w:bCs/>
        </w:rPr>
        <w:t>thương mại của các quốc gia ASEAN và GCC năm 2023</w:t>
      </w:r>
    </w:p>
    <w:tbl>
      <w:tblPr>
        <w:tblStyle w:val="2"/>
        <w:tblW w:w="9010" w:type="dxa"/>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Layout w:type="fixed"/>
        <w:tblLook w:val="04A0" w:firstRow="1" w:lastRow="0" w:firstColumn="1" w:lastColumn="0" w:noHBand="0" w:noVBand="1"/>
      </w:tblPr>
      <w:tblGrid>
        <w:gridCol w:w="1271"/>
        <w:gridCol w:w="1291"/>
        <w:gridCol w:w="1292"/>
        <w:gridCol w:w="1290"/>
        <w:gridCol w:w="1288"/>
        <w:gridCol w:w="1290"/>
        <w:gridCol w:w="1288"/>
      </w:tblGrid>
      <w:tr w:rsidR="006575CC" w14:paraId="644FE34E" w14:textId="77777777" w:rsidTr="006575C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11ECF80" w14:textId="77777777" w:rsidR="006575CC" w:rsidRDefault="009F2BF5">
            <w:pPr>
              <w:jc w:val="center"/>
              <w:rPr>
                <w:sz w:val="18"/>
                <w:szCs w:val="18"/>
              </w:rPr>
            </w:pPr>
            <w:r>
              <w:rPr>
                <w:sz w:val="18"/>
                <w:szCs w:val="18"/>
              </w:rPr>
              <w:t>Quốc gia</w:t>
            </w:r>
          </w:p>
        </w:tc>
        <w:tc>
          <w:tcPr>
            <w:tcW w:w="1291" w:type="dxa"/>
            <w:vAlign w:val="center"/>
          </w:tcPr>
          <w:p w14:paraId="560B2B9A" w14:textId="77777777" w:rsidR="006575CC" w:rsidRDefault="009F2BF5">
            <w:pPr>
              <w:ind w:left="-108" w:right="-82"/>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Minh bạch</w:t>
            </w:r>
          </w:p>
        </w:tc>
        <w:tc>
          <w:tcPr>
            <w:tcW w:w="1292" w:type="dxa"/>
            <w:vAlign w:val="center"/>
          </w:tcPr>
          <w:p w14:paraId="0594A571" w14:textId="77777777" w:rsidR="006575CC" w:rsidRDefault="009F2BF5">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Thủ tục</w:t>
            </w:r>
          </w:p>
        </w:tc>
        <w:tc>
          <w:tcPr>
            <w:tcW w:w="1290" w:type="dxa"/>
            <w:vAlign w:val="center"/>
          </w:tcPr>
          <w:p w14:paraId="329B8225" w14:textId="77777777" w:rsidR="006575CC" w:rsidRDefault="009F2BF5">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Cơ chế thể chế</w:t>
            </w:r>
          </w:p>
        </w:tc>
        <w:tc>
          <w:tcPr>
            <w:tcW w:w="1288" w:type="dxa"/>
            <w:vAlign w:val="center"/>
          </w:tcPr>
          <w:p w14:paraId="12DC91B9" w14:textId="77777777" w:rsidR="006575CC" w:rsidRDefault="009F2BF5">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Thương mại không giấy tờ</w:t>
            </w:r>
          </w:p>
        </w:tc>
        <w:tc>
          <w:tcPr>
            <w:tcW w:w="1290" w:type="dxa"/>
            <w:vAlign w:val="center"/>
          </w:tcPr>
          <w:p w14:paraId="32CF163D" w14:textId="77777777" w:rsidR="006575CC" w:rsidRDefault="009F2BF5">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Thương mại không giấy tờ xuyên biên giới</w:t>
            </w:r>
          </w:p>
        </w:tc>
        <w:tc>
          <w:tcPr>
            <w:tcW w:w="1288" w:type="dxa"/>
            <w:vAlign w:val="center"/>
          </w:tcPr>
          <w:p w14:paraId="4D94E632" w14:textId="77777777" w:rsidR="006575CC" w:rsidRDefault="009F2BF5">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Điểm trung bình về tạo điều kiện thương mại</w:t>
            </w:r>
          </w:p>
        </w:tc>
      </w:tr>
      <w:tr w:rsidR="006575CC" w14:paraId="16A3F256" w14:textId="77777777" w:rsidTr="006575C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7D00AB0" w14:textId="77777777" w:rsidR="006575CC" w:rsidRDefault="009F2BF5">
            <w:pPr>
              <w:rPr>
                <w:sz w:val="18"/>
                <w:szCs w:val="18"/>
              </w:rPr>
            </w:pPr>
            <w:r>
              <w:rPr>
                <w:sz w:val="18"/>
                <w:szCs w:val="18"/>
              </w:rPr>
              <w:t>Bru-nây</w:t>
            </w:r>
          </w:p>
        </w:tc>
        <w:tc>
          <w:tcPr>
            <w:tcW w:w="1291" w:type="dxa"/>
          </w:tcPr>
          <w:p w14:paraId="3336FC99"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93.3%</w:t>
            </w:r>
          </w:p>
        </w:tc>
        <w:tc>
          <w:tcPr>
            <w:tcW w:w="1292" w:type="dxa"/>
          </w:tcPr>
          <w:p w14:paraId="5F853A52"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90" w:type="dxa"/>
          </w:tcPr>
          <w:p w14:paraId="151B333C"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66.7%</w:t>
            </w:r>
          </w:p>
        </w:tc>
        <w:tc>
          <w:tcPr>
            <w:tcW w:w="1288" w:type="dxa"/>
          </w:tcPr>
          <w:p w14:paraId="4F89374C"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77.8%</w:t>
            </w:r>
          </w:p>
        </w:tc>
        <w:tc>
          <w:tcPr>
            <w:tcW w:w="1290" w:type="dxa"/>
          </w:tcPr>
          <w:p w14:paraId="5E1B48C8"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44.4%</w:t>
            </w:r>
          </w:p>
        </w:tc>
        <w:tc>
          <w:tcPr>
            <w:tcW w:w="1288" w:type="dxa"/>
          </w:tcPr>
          <w:p w14:paraId="57C40941"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76.4%</w:t>
            </w:r>
          </w:p>
        </w:tc>
      </w:tr>
      <w:tr w:rsidR="006575CC" w14:paraId="67646657" w14:textId="77777777" w:rsidTr="006575C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2A947A0D" w14:textId="77777777" w:rsidR="006575CC" w:rsidRDefault="009F2BF5">
            <w:pPr>
              <w:rPr>
                <w:sz w:val="18"/>
                <w:szCs w:val="18"/>
              </w:rPr>
            </w:pPr>
            <w:r>
              <w:rPr>
                <w:sz w:val="18"/>
                <w:szCs w:val="18"/>
              </w:rPr>
              <w:t xml:space="preserve">Campuchia </w:t>
            </w:r>
          </w:p>
        </w:tc>
        <w:tc>
          <w:tcPr>
            <w:tcW w:w="1291" w:type="dxa"/>
          </w:tcPr>
          <w:p w14:paraId="1D1B1007"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92" w:type="dxa"/>
          </w:tcPr>
          <w:p w14:paraId="3242A513"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91.7%</w:t>
            </w:r>
          </w:p>
        </w:tc>
        <w:tc>
          <w:tcPr>
            <w:tcW w:w="1290" w:type="dxa"/>
          </w:tcPr>
          <w:p w14:paraId="41C39D26"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88.9%</w:t>
            </w:r>
          </w:p>
        </w:tc>
        <w:tc>
          <w:tcPr>
            <w:tcW w:w="1288" w:type="dxa"/>
          </w:tcPr>
          <w:p w14:paraId="08708D14"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74.1%</w:t>
            </w:r>
          </w:p>
        </w:tc>
        <w:tc>
          <w:tcPr>
            <w:tcW w:w="1290" w:type="dxa"/>
          </w:tcPr>
          <w:p w14:paraId="60E0FCAC"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55.6%</w:t>
            </w:r>
          </w:p>
        </w:tc>
        <w:tc>
          <w:tcPr>
            <w:tcW w:w="1288" w:type="dxa"/>
          </w:tcPr>
          <w:p w14:paraId="324A4C78"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82.0%</w:t>
            </w:r>
          </w:p>
        </w:tc>
      </w:tr>
      <w:tr w:rsidR="006575CC" w14:paraId="5B5ABCEF" w14:textId="77777777" w:rsidTr="006575C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11B71424" w14:textId="77777777" w:rsidR="006575CC" w:rsidRDefault="009F2BF5">
            <w:pPr>
              <w:rPr>
                <w:sz w:val="18"/>
                <w:szCs w:val="18"/>
              </w:rPr>
            </w:pPr>
            <w:r>
              <w:rPr>
                <w:sz w:val="18"/>
                <w:szCs w:val="18"/>
              </w:rPr>
              <w:t xml:space="preserve">Indonesia </w:t>
            </w:r>
          </w:p>
        </w:tc>
        <w:tc>
          <w:tcPr>
            <w:tcW w:w="1291" w:type="dxa"/>
          </w:tcPr>
          <w:p w14:paraId="378C5835"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93.3%</w:t>
            </w:r>
          </w:p>
        </w:tc>
        <w:tc>
          <w:tcPr>
            <w:tcW w:w="1292" w:type="dxa"/>
          </w:tcPr>
          <w:p w14:paraId="1E20CCC3"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95.8%</w:t>
            </w:r>
          </w:p>
        </w:tc>
        <w:tc>
          <w:tcPr>
            <w:tcW w:w="1290" w:type="dxa"/>
          </w:tcPr>
          <w:p w14:paraId="6B5C10B5"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77.8%</w:t>
            </w:r>
          </w:p>
        </w:tc>
        <w:tc>
          <w:tcPr>
            <w:tcW w:w="1288" w:type="dxa"/>
          </w:tcPr>
          <w:p w14:paraId="45F9CE9D"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96.3%</w:t>
            </w:r>
          </w:p>
        </w:tc>
        <w:tc>
          <w:tcPr>
            <w:tcW w:w="1290" w:type="dxa"/>
          </w:tcPr>
          <w:p w14:paraId="1B783561"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61.1%</w:t>
            </w:r>
          </w:p>
        </w:tc>
        <w:tc>
          <w:tcPr>
            <w:tcW w:w="1288" w:type="dxa"/>
          </w:tcPr>
          <w:p w14:paraId="6DA483A2"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84.9%</w:t>
            </w:r>
          </w:p>
        </w:tc>
      </w:tr>
      <w:tr w:rsidR="006575CC" w14:paraId="1B5B8F68" w14:textId="77777777" w:rsidTr="006575C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430F09FF" w14:textId="77777777" w:rsidR="006575CC" w:rsidRDefault="009F2BF5">
            <w:pPr>
              <w:rPr>
                <w:sz w:val="18"/>
                <w:szCs w:val="18"/>
              </w:rPr>
            </w:pPr>
            <w:r>
              <w:rPr>
                <w:sz w:val="18"/>
                <w:szCs w:val="18"/>
              </w:rPr>
              <w:t>Lào</w:t>
            </w:r>
          </w:p>
        </w:tc>
        <w:tc>
          <w:tcPr>
            <w:tcW w:w="1291" w:type="dxa"/>
          </w:tcPr>
          <w:p w14:paraId="32FF4811"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92" w:type="dxa"/>
          </w:tcPr>
          <w:p w14:paraId="067C7225"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70.8%</w:t>
            </w:r>
          </w:p>
        </w:tc>
        <w:tc>
          <w:tcPr>
            <w:tcW w:w="1290" w:type="dxa"/>
          </w:tcPr>
          <w:p w14:paraId="6F33B13B"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77.8%</w:t>
            </w:r>
          </w:p>
        </w:tc>
        <w:tc>
          <w:tcPr>
            <w:tcW w:w="1288" w:type="dxa"/>
          </w:tcPr>
          <w:p w14:paraId="2D2322B0"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63.0%</w:t>
            </w:r>
          </w:p>
        </w:tc>
        <w:tc>
          <w:tcPr>
            <w:tcW w:w="1290" w:type="dxa"/>
          </w:tcPr>
          <w:p w14:paraId="37F69653"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38.9%</w:t>
            </w:r>
          </w:p>
        </w:tc>
        <w:tc>
          <w:tcPr>
            <w:tcW w:w="1288" w:type="dxa"/>
          </w:tcPr>
          <w:p w14:paraId="09F1C692"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70.1%</w:t>
            </w:r>
          </w:p>
        </w:tc>
      </w:tr>
      <w:tr w:rsidR="006575CC" w14:paraId="13059EAB" w14:textId="77777777" w:rsidTr="006575C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22993D62" w14:textId="77777777" w:rsidR="006575CC" w:rsidRDefault="009F2BF5">
            <w:pPr>
              <w:rPr>
                <w:sz w:val="18"/>
                <w:szCs w:val="18"/>
              </w:rPr>
            </w:pPr>
            <w:r>
              <w:rPr>
                <w:sz w:val="18"/>
                <w:szCs w:val="18"/>
              </w:rPr>
              <w:lastRenderedPageBreak/>
              <w:t xml:space="preserve">Malaysia </w:t>
            </w:r>
          </w:p>
        </w:tc>
        <w:tc>
          <w:tcPr>
            <w:tcW w:w="1291" w:type="dxa"/>
          </w:tcPr>
          <w:p w14:paraId="6BD49FB5"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92" w:type="dxa"/>
          </w:tcPr>
          <w:p w14:paraId="56FFCB0E"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90" w:type="dxa"/>
          </w:tcPr>
          <w:p w14:paraId="2E1DABEF"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77.8%</w:t>
            </w:r>
          </w:p>
        </w:tc>
        <w:tc>
          <w:tcPr>
            <w:tcW w:w="1288" w:type="dxa"/>
          </w:tcPr>
          <w:p w14:paraId="4359AD1E"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85.2%</w:t>
            </w:r>
          </w:p>
        </w:tc>
        <w:tc>
          <w:tcPr>
            <w:tcW w:w="1290" w:type="dxa"/>
          </w:tcPr>
          <w:p w14:paraId="625321B3"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66.7%</w:t>
            </w:r>
          </w:p>
        </w:tc>
        <w:tc>
          <w:tcPr>
            <w:tcW w:w="1288" w:type="dxa"/>
          </w:tcPr>
          <w:p w14:paraId="2A40CD02"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85.9%</w:t>
            </w:r>
          </w:p>
        </w:tc>
      </w:tr>
      <w:tr w:rsidR="006575CC" w14:paraId="63D464B1" w14:textId="77777777" w:rsidTr="006575C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9A4D0E6" w14:textId="77777777" w:rsidR="006575CC" w:rsidRDefault="009F2BF5">
            <w:pPr>
              <w:rPr>
                <w:sz w:val="18"/>
                <w:szCs w:val="18"/>
              </w:rPr>
            </w:pPr>
            <w:r>
              <w:rPr>
                <w:sz w:val="18"/>
                <w:szCs w:val="18"/>
              </w:rPr>
              <w:t xml:space="preserve">Myanmar </w:t>
            </w:r>
          </w:p>
        </w:tc>
        <w:tc>
          <w:tcPr>
            <w:tcW w:w="1291" w:type="dxa"/>
          </w:tcPr>
          <w:p w14:paraId="22EEEC09"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73.3%</w:t>
            </w:r>
          </w:p>
        </w:tc>
        <w:tc>
          <w:tcPr>
            <w:tcW w:w="1292" w:type="dxa"/>
          </w:tcPr>
          <w:p w14:paraId="42E1DF00"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62.5%</w:t>
            </w:r>
          </w:p>
        </w:tc>
        <w:tc>
          <w:tcPr>
            <w:tcW w:w="1290" w:type="dxa"/>
          </w:tcPr>
          <w:p w14:paraId="6E34D2A5"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33.3%</w:t>
            </w:r>
          </w:p>
        </w:tc>
        <w:tc>
          <w:tcPr>
            <w:tcW w:w="1288" w:type="dxa"/>
          </w:tcPr>
          <w:p w14:paraId="7B82075D"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66.7%</w:t>
            </w:r>
          </w:p>
        </w:tc>
        <w:tc>
          <w:tcPr>
            <w:tcW w:w="1290" w:type="dxa"/>
          </w:tcPr>
          <w:p w14:paraId="46616BB4"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55.6%</w:t>
            </w:r>
          </w:p>
        </w:tc>
        <w:tc>
          <w:tcPr>
            <w:tcW w:w="1288" w:type="dxa"/>
          </w:tcPr>
          <w:p w14:paraId="226DA80B"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58.3%</w:t>
            </w:r>
          </w:p>
        </w:tc>
      </w:tr>
      <w:tr w:rsidR="006575CC" w14:paraId="78CC2CB7" w14:textId="77777777" w:rsidTr="006575C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627CB11" w14:textId="77777777" w:rsidR="006575CC" w:rsidRDefault="009F2BF5">
            <w:pPr>
              <w:rPr>
                <w:sz w:val="18"/>
                <w:szCs w:val="18"/>
              </w:rPr>
            </w:pPr>
            <w:r>
              <w:rPr>
                <w:sz w:val="18"/>
                <w:szCs w:val="18"/>
              </w:rPr>
              <w:t xml:space="preserve">Philippines </w:t>
            </w:r>
          </w:p>
        </w:tc>
        <w:tc>
          <w:tcPr>
            <w:tcW w:w="1291" w:type="dxa"/>
          </w:tcPr>
          <w:p w14:paraId="1FA6332E"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92" w:type="dxa"/>
          </w:tcPr>
          <w:p w14:paraId="460623AF"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90" w:type="dxa"/>
          </w:tcPr>
          <w:p w14:paraId="7493BE59"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77.8%</w:t>
            </w:r>
          </w:p>
        </w:tc>
        <w:tc>
          <w:tcPr>
            <w:tcW w:w="1288" w:type="dxa"/>
          </w:tcPr>
          <w:p w14:paraId="62FA4B00"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85.2%</w:t>
            </w:r>
          </w:p>
        </w:tc>
        <w:tc>
          <w:tcPr>
            <w:tcW w:w="1290" w:type="dxa"/>
          </w:tcPr>
          <w:p w14:paraId="371C23C8"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66.7%</w:t>
            </w:r>
          </w:p>
        </w:tc>
        <w:tc>
          <w:tcPr>
            <w:tcW w:w="1288" w:type="dxa"/>
          </w:tcPr>
          <w:p w14:paraId="4D956EE5"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85.9%</w:t>
            </w:r>
          </w:p>
        </w:tc>
      </w:tr>
      <w:tr w:rsidR="006575CC" w14:paraId="64D7D339" w14:textId="77777777" w:rsidTr="006575C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4BDC6D67" w14:textId="77777777" w:rsidR="006575CC" w:rsidRDefault="009F2BF5">
            <w:pPr>
              <w:rPr>
                <w:sz w:val="18"/>
                <w:szCs w:val="18"/>
              </w:rPr>
            </w:pPr>
            <w:r>
              <w:rPr>
                <w:sz w:val="18"/>
                <w:szCs w:val="18"/>
              </w:rPr>
              <w:t xml:space="preserve">Singapore </w:t>
            </w:r>
          </w:p>
        </w:tc>
        <w:tc>
          <w:tcPr>
            <w:tcW w:w="1291" w:type="dxa"/>
          </w:tcPr>
          <w:p w14:paraId="625DEB3F"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92" w:type="dxa"/>
          </w:tcPr>
          <w:p w14:paraId="4816C021"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90" w:type="dxa"/>
          </w:tcPr>
          <w:p w14:paraId="2BD58F93"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88" w:type="dxa"/>
          </w:tcPr>
          <w:p w14:paraId="3AF1CF39"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90" w:type="dxa"/>
          </w:tcPr>
          <w:p w14:paraId="69A788DC"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83.3%</w:t>
            </w:r>
          </w:p>
        </w:tc>
        <w:tc>
          <w:tcPr>
            <w:tcW w:w="1288" w:type="dxa"/>
          </w:tcPr>
          <w:p w14:paraId="5B3A40E1"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96.7%</w:t>
            </w:r>
          </w:p>
        </w:tc>
      </w:tr>
      <w:tr w:rsidR="006575CC" w14:paraId="530D11ED" w14:textId="77777777" w:rsidTr="006575C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46CF2998" w14:textId="77777777" w:rsidR="006575CC" w:rsidRDefault="009F2BF5">
            <w:pPr>
              <w:rPr>
                <w:sz w:val="18"/>
                <w:szCs w:val="18"/>
              </w:rPr>
            </w:pPr>
            <w:r>
              <w:rPr>
                <w:sz w:val="18"/>
                <w:szCs w:val="18"/>
              </w:rPr>
              <w:t>Thái Lan</w:t>
            </w:r>
          </w:p>
        </w:tc>
        <w:tc>
          <w:tcPr>
            <w:tcW w:w="1291" w:type="dxa"/>
          </w:tcPr>
          <w:p w14:paraId="147B77AD"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93.3%</w:t>
            </w:r>
          </w:p>
        </w:tc>
        <w:tc>
          <w:tcPr>
            <w:tcW w:w="1292" w:type="dxa"/>
          </w:tcPr>
          <w:p w14:paraId="5FAAD7F3"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90" w:type="dxa"/>
          </w:tcPr>
          <w:p w14:paraId="382B76A5"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44.4%</w:t>
            </w:r>
          </w:p>
        </w:tc>
        <w:tc>
          <w:tcPr>
            <w:tcW w:w="1288" w:type="dxa"/>
          </w:tcPr>
          <w:p w14:paraId="76736AF5"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88.9%</w:t>
            </w:r>
          </w:p>
        </w:tc>
        <w:tc>
          <w:tcPr>
            <w:tcW w:w="1290" w:type="dxa"/>
          </w:tcPr>
          <w:p w14:paraId="44DB4319"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72.2%</w:t>
            </w:r>
          </w:p>
        </w:tc>
        <w:tc>
          <w:tcPr>
            <w:tcW w:w="1288" w:type="dxa"/>
          </w:tcPr>
          <w:p w14:paraId="2AA9E6EE"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79.8%</w:t>
            </w:r>
          </w:p>
        </w:tc>
      </w:tr>
      <w:tr w:rsidR="006575CC" w14:paraId="66A8C1DC" w14:textId="77777777" w:rsidTr="006575C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3775864B" w14:textId="77777777" w:rsidR="006575CC" w:rsidRDefault="009F2BF5">
            <w:pPr>
              <w:rPr>
                <w:sz w:val="18"/>
                <w:szCs w:val="18"/>
              </w:rPr>
            </w:pPr>
            <w:r>
              <w:rPr>
                <w:sz w:val="18"/>
                <w:szCs w:val="18"/>
              </w:rPr>
              <w:t xml:space="preserve">Việt Nam </w:t>
            </w:r>
          </w:p>
        </w:tc>
        <w:tc>
          <w:tcPr>
            <w:tcW w:w="1291" w:type="dxa"/>
          </w:tcPr>
          <w:p w14:paraId="32ADB2E1"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93.3%</w:t>
            </w:r>
          </w:p>
        </w:tc>
        <w:tc>
          <w:tcPr>
            <w:tcW w:w="1292" w:type="dxa"/>
          </w:tcPr>
          <w:p w14:paraId="4CB42E17"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75.0%</w:t>
            </w:r>
          </w:p>
        </w:tc>
        <w:tc>
          <w:tcPr>
            <w:tcW w:w="1290" w:type="dxa"/>
          </w:tcPr>
          <w:p w14:paraId="375905B8"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66.7%</w:t>
            </w:r>
          </w:p>
        </w:tc>
        <w:tc>
          <w:tcPr>
            <w:tcW w:w="1288" w:type="dxa"/>
          </w:tcPr>
          <w:p w14:paraId="6D3D23C1"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77.8%</w:t>
            </w:r>
          </w:p>
        </w:tc>
        <w:tc>
          <w:tcPr>
            <w:tcW w:w="1290" w:type="dxa"/>
          </w:tcPr>
          <w:p w14:paraId="5D91A0FE"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55.6%</w:t>
            </w:r>
          </w:p>
        </w:tc>
        <w:tc>
          <w:tcPr>
            <w:tcW w:w="1288" w:type="dxa"/>
          </w:tcPr>
          <w:p w14:paraId="36DA101C"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73.7%</w:t>
            </w:r>
          </w:p>
        </w:tc>
      </w:tr>
      <w:tr w:rsidR="006575CC" w14:paraId="21E6513E" w14:textId="77777777" w:rsidTr="006575CC">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F1CEEE"/>
          </w:tcPr>
          <w:p w14:paraId="7321FDE5" w14:textId="77777777" w:rsidR="006575CC" w:rsidRDefault="009F2BF5">
            <w:pPr>
              <w:rPr>
                <w:sz w:val="18"/>
                <w:szCs w:val="18"/>
              </w:rPr>
            </w:pPr>
            <w:r>
              <w:rPr>
                <w:sz w:val="18"/>
                <w:szCs w:val="18"/>
              </w:rPr>
              <w:t xml:space="preserve">ASEAN </w:t>
            </w:r>
          </w:p>
        </w:tc>
        <w:tc>
          <w:tcPr>
            <w:tcW w:w="1291" w:type="dxa"/>
            <w:shd w:val="clear" w:color="auto" w:fill="F1CEEE"/>
            <w:vAlign w:val="bottom"/>
          </w:tcPr>
          <w:p w14:paraId="7A162662"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94.7%</w:t>
            </w:r>
          </w:p>
        </w:tc>
        <w:tc>
          <w:tcPr>
            <w:tcW w:w="1292" w:type="dxa"/>
            <w:shd w:val="clear" w:color="auto" w:fill="F1CEEE"/>
            <w:vAlign w:val="bottom"/>
          </w:tcPr>
          <w:p w14:paraId="3ECB88E5"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85.6%</w:t>
            </w:r>
          </w:p>
        </w:tc>
        <w:tc>
          <w:tcPr>
            <w:tcW w:w="1290" w:type="dxa"/>
            <w:shd w:val="clear" w:color="auto" w:fill="F1CEEE"/>
            <w:vAlign w:val="bottom"/>
          </w:tcPr>
          <w:p w14:paraId="214F8672"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71.1%</w:t>
            </w:r>
          </w:p>
        </w:tc>
        <w:tc>
          <w:tcPr>
            <w:tcW w:w="1288" w:type="dxa"/>
            <w:shd w:val="clear" w:color="auto" w:fill="F1CEEE"/>
            <w:vAlign w:val="bottom"/>
          </w:tcPr>
          <w:p w14:paraId="02E5814F"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81.5%</w:t>
            </w:r>
          </w:p>
        </w:tc>
        <w:tc>
          <w:tcPr>
            <w:tcW w:w="1290" w:type="dxa"/>
            <w:shd w:val="clear" w:color="auto" w:fill="F1CEEE"/>
            <w:vAlign w:val="bottom"/>
          </w:tcPr>
          <w:p w14:paraId="399E6886"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60.0%</w:t>
            </w:r>
          </w:p>
        </w:tc>
        <w:tc>
          <w:tcPr>
            <w:tcW w:w="1288" w:type="dxa"/>
            <w:shd w:val="clear" w:color="auto" w:fill="F1CEEE"/>
            <w:vAlign w:val="bottom"/>
          </w:tcPr>
          <w:p w14:paraId="0D1CB8B3"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80.5%</w:t>
            </w:r>
          </w:p>
        </w:tc>
      </w:tr>
      <w:tr w:rsidR="006575CC" w14:paraId="4147296A" w14:textId="77777777" w:rsidTr="006575C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1BC7836E" w14:textId="77777777" w:rsidR="006575CC" w:rsidRDefault="009F2BF5">
            <w:pPr>
              <w:rPr>
                <w:sz w:val="18"/>
                <w:szCs w:val="18"/>
              </w:rPr>
            </w:pPr>
            <w:r>
              <w:rPr>
                <w:sz w:val="18"/>
                <w:szCs w:val="18"/>
              </w:rPr>
              <w:t>Bahrain</w:t>
            </w:r>
          </w:p>
        </w:tc>
        <w:tc>
          <w:tcPr>
            <w:tcW w:w="1291" w:type="dxa"/>
          </w:tcPr>
          <w:p w14:paraId="5009C683"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92" w:type="dxa"/>
          </w:tcPr>
          <w:p w14:paraId="2211683B"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95.8%</w:t>
            </w:r>
          </w:p>
        </w:tc>
        <w:tc>
          <w:tcPr>
            <w:tcW w:w="1290" w:type="dxa"/>
          </w:tcPr>
          <w:p w14:paraId="10D874B5"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88" w:type="dxa"/>
          </w:tcPr>
          <w:p w14:paraId="5B01EBFD"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85.2%</w:t>
            </w:r>
          </w:p>
        </w:tc>
        <w:tc>
          <w:tcPr>
            <w:tcW w:w="1290" w:type="dxa"/>
          </w:tcPr>
          <w:p w14:paraId="73C73780"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44.4%</w:t>
            </w:r>
          </w:p>
        </w:tc>
        <w:tc>
          <w:tcPr>
            <w:tcW w:w="1288" w:type="dxa"/>
          </w:tcPr>
          <w:p w14:paraId="3CA92D99"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85.1%</w:t>
            </w:r>
          </w:p>
        </w:tc>
      </w:tr>
      <w:tr w:rsidR="006575CC" w14:paraId="74E5DB25" w14:textId="77777777" w:rsidTr="006575C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20C9163" w14:textId="77777777" w:rsidR="006575CC" w:rsidRDefault="009F2BF5">
            <w:pPr>
              <w:rPr>
                <w:sz w:val="18"/>
                <w:szCs w:val="18"/>
              </w:rPr>
            </w:pPr>
            <w:r>
              <w:rPr>
                <w:sz w:val="18"/>
                <w:szCs w:val="18"/>
              </w:rPr>
              <w:t>Kuwait</w:t>
            </w:r>
          </w:p>
        </w:tc>
        <w:tc>
          <w:tcPr>
            <w:tcW w:w="1291" w:type="dxa"/>
          </w:tcPr>
          <w:p w14:paraId="1732608E"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80.0%</w:t>
            </w:r>
          </w:p>
        </w:tc>
        <w:tc>
          <w:tcPr>
            <w:tcW w:w="1292" w:type="dxa"/>
          </w:tcPr>
          <w:p w14:paraId="02AED60C"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75.0%</w:t>
            </w:r>
          </w:p>
        </w:tc>
        <w:tc>
          <w:tcPr>
            <w:tcW w:w="1290" w:type="dxa"/>
          </w:tcPr>
          <w:p w14:paraId="08562F27"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88.9%</w:t>
            </w:r>
          </w:p>
        </w:tc>
        <w:tc>
          <w:tcPr>
            <w:tcW w:w="1288" w:type="dxa"/>
          </w:tcPr>
          <w:p w14:paraId="6D5BA5C3"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51.9%</w:t>
            </w:r>
          </w:p>
        </w:tc>
        <w:tc>
          <w:tcPr>
            <w:tcW w:w="1290" w:type="dxa"/>
          </w:tcPr>
          <w:p w14:paraId="6FF31C51"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66.7%</w:t>
            </w:r>
          </w:p>
        </w:tc>
        <w:tc>
          <w:tcPr>
            <w:tcW w:w="1288" w:type="dxa"/>
          </w:tcPr>
          <w:p w14:paraId="5C925579"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72.5%</w:t>
            </w:r>
          </w:p>
        </w:tc>
      </w:tr>
      <w:tr w:rsidR="006575CC" w14:paraId="4723515F" w14:textId="77777777" w:rsidTr="006575C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311512A1" w14:textId="77777777" w:rsidR="006575CC" w:rsidRDefault="009F2BF5">
            <w:pPr>
              <w:rPr>
                <w:sz w:val="18"/>
                <w:szCs w:val="18"/>
              </w:rPr>
            </w:pPr>
            <w:r>
              <w:rPr>
                <w:sz w:val="18"/>
                <w:szCs w:val="18"/>
              </w:rPr>
              <w:t>Oman</w:t>
            </w:r>
          </w:p>
        </w:tc>
        <w:tc>
          <w:tcPr>
            <w:tcW w:w="1291" w:type="dxa"/>
          </w:tcPr>
          <w:p w14:paraId="10786B74"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86.7%</w:t>
            </w:r>
          </w:p>
        </w:tc>
        <w:tc>
          <w:tcPr>
            <w:tcW w:w="1292" w:type="dxa"/>
          </w:tcPr>
          <w:p w14:paraId="76BF071F"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75.0%</w:t>
            </w:r>
          </w:p>
        </w:tc>
        <w:tc>
          <w:tcPr>
            <w:tcW w:w="1290" w:type="dxa"/>
          </w:tcPr>
          <w:p w14:paraId="19812321"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88" w:type="dxa"/>
          </w:tcPr>
          <w:p w14:paraId="0A2D6E00"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66.7%</w:t>
            </w:r>
          </w:p>
        </w:tc>
        <w:tc>
          <w:tcPr>
            <w:tcW w:w="1290" w:type="dxa"/>
          </w:tcPr>
          <w:p w14:paraId="0BE1B4A5"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66.7%</w:t>
            </w:r>
          </w:p>
        </w:tc>
        <w:tc>
          <w:tcPr>
            <w:tcW w:w="1288" w:type="dxa"/>
          </w:tcPr>
          <w:p w14:paraId="6CDBCBB8"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79.0%</w:t>
            </w:r>
          </w:p>
        </w:tc>
      </w:tr>
      <w:tr w:rsidR="006575CC" w14:paraId="2D888361" w14:textId="77777777" w:rsidTr="006575C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30F58959" w14:textId="77777777" w:rsidR="006575CC" w:rsidRDefault="009F2BF5">
            <w:pPr>
              <w:rPr>
                <w:sz w:val="18"/>
                <w:szCs w:val="18"/>
              </w:rPr>
            </w:pPr>
            <w:r>
              <w:rPr>
                <w:sz w:val="18"/>
                <w:szCs w:val="18"/>
              </w:rPr>
              <w:t>Qatar</w:t>
            </w:r>
          </w:p>
        </w:tc>
        <w:tc>
          <w:tcPr>
            <w:tcW w:w="1291" w:type="dxa"/>
          </w:tcPr>
          <w:p w14:paraId="56A2DB05"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80.0%</w:t>
            </w:r>
          </w:p>
        </w:tc>
        <w:tc>
          <w:tcPr>
            <w:tcW w:w="1292" w:type="dxa"/>
          </w:tcPr>
          <w:p w14:paraId="40B937CB"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95.8%</w:t>
            </w:r>
          </w:p>
        </w:tc>
        <w:tc>
          <w:tcPr>
            <w:tcW w:w="1290" w:type="dxa"/>
          </w:tcPr>
          <w:p w14:paraId="1C9E2C95"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88.9%</w:t>
            </w:r>
          </w:p>
        </w:tc>
        <w:tc>
          <w:tcPr>
            <w:tcW w:w="1288" w:type="dxa"/>
          </w:tcPr>
          <w:p w14:paraId="7B210EB1"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96.3%</w:t>
            </w:r>
          </w:p>
        </w:tc>
        <w:tc>
          <w:tcPr>
            <w:tcW w:w="1290" w:type="dxa"/>
          </w:tcPr>
          <w:p w14:paraId="3E3D8FD7"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77.8%</w:t>
            </w:r>
          </w:p>
        </w:tc>
        <w:tc>
          <w:tcPr>
            <w:tcW w:w="1288" w:type="dxa"/>
          </w:tcPr>
          <w:p w14:paraId="5AC4088A"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87.8%</w:t>
            </w:r>
          </w:p>
        </w:tc>
      </w:tr>
      <w:tr w:rsidR="006575CC" w14:paraId="69E0C5A8" w14:textId="77777777" w:rsidTr="006575C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924F3A2" w14:textId="77777777" w:rsidR="006575CC" w:rsidRDefault="009F2BF5">
            <w:pPr>
              <w:ind w:right="-111"/>
              <w:rPr>
                <w:sz w:val="18"/>
                <w:szCs w:val="18"/>
              </w:rPr>
            </w:pPr>
            <w:r>
              <w:rPr>
                <w:sz w:val="18"/>
                <w:szCs w:val="18"/>
              </w:rPr>
              <w:t>Saudi Arabia</w:t>
            </w:r>
          </w:p>
        </w:tc>
        <w:tc>
          <w:tcPr>
            <w:tcW w:w="1291" w:type="dxa"/>
          </w:tcPr>
          <w:p w14:paraId="49A36E0F"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92" w:type="dxa"/>
          </w:tcPr>
          <w:p w14:paraId="1DC217FB"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90" w:type="dxa"/>
          </w:tcPr>
          <w:p w14:paraId="3A1ECC8E"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88.9%</w:t>
            </w:r>
          </w:p>
        </w:tc>
        <w:tc>
          <w:tcPr>
            <w:tcW w:w="1288" w:type="dxa"/>
          </w:tcPr>
          <w:p w14:paraId="4A9A2B4B"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90" w:type="dxa"/>
          </w:tcPr>
          <w:p w14:paraId="177BAF92"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77.8%</w:t>
            </w:r>
          </w:p>
        </w:tc>
        <w:tc>
          <w:tcPr>
            <w:tcW w:w="1288" w:type="dxa"/>
          </w:tcPr>
          <w:p w14:paraId="7F0B26E9"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93.3%</w:t>
            </w:r>
          </w:p>
        </w:tc>
      </w:tr>
      <w:tr w:rsidR="006575CC" w14:paraId="17C07BFD" w14:textId="77777777" w:rsidTr="006575C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F0BB889" w14:textId="77777777" w:rsidR="006575CC" w:rsidRDefault="009F2BF5">
            <w:pPr>
              <w:rPr>
                <w:sz w:val="18"/>
                <w:szCs w:val="18"/>
              </w:rPr>
            </w:pPr>
            <w:r>
              <w:rPr>
                <w:sz w:val="18"/>
                <w:szCs w:val="18"/>
              </w:rPr>
              <w:t>UAE</w:t>
            </w:r>
          </w:p>
        </w:tc>
        <w:tc>
          <w:tcPr>
            <w:tcW w:w="1291" w:type="dxa"/>
          </w:tcPr>
          <w:p w14:paraId="2FB35F4C"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86.7%</w:t>
            </w:r>
          </w:p>
        </w:tc>
        <w:tc>
          <w:tcPr>
            <w:tcW w:w="1292" w:type="dxa"/>
          </w:tcPr>
          <w:p w14:paraId="0F5BC672"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95.8%</w:t>
            </w:r>
          </w:p>
        </w:tc>
        <w:tc>
          <w:tcPr>
            <w:tcW w:w="1290" w:type="dxa"/>
          </w:tcPr>
          <w:p w14:paraId="4ED8C31A"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88.9%</w:t>
            </w:r>
          </w:p>
        </w:tc>
        <w:tc>
          <w:tcPr>
            <w:tcW w:w="1288" w:type="dxa"/>
          </w:tcPr>
          <w:p w14:paraId="6CC1A56B"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290" w:type="dxa"/>
          </w:tcPr>
          <w:p w14:paraId="5BF3E611"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77.8%</w:t>
            </w:r>
          </w:p>
        </w:tc>
        <w:tc>
          <w:tcPr>
            <w:tcW w:w="1288" w:type="dxa"/>
          </w:tcPr>
          <w:p w14:paraId="36CDFF1B"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89.8%</w:t>
            </w:r>
          </w:p>
        </w:tc>
      </w:tr>
      <w:tr w:rsidR="006575CC" w14:paraId="5E6D7136" w14:textId="77777777" w:rsidTr="006575CC">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F1CEEE"/>
          </w:tcPr>
          <w:p w14:paraId="4E614FD5" w14:textId="77777777" w:rsidR="006575CC" w:rsidRDefault="009F2BF5">
            <w:pPr>
              <w:rPr>
                <w:sz w:val="18"/>
                <w:szCs w:val="18"/>
              </w:rPr>
            </w:pPr>
            <w:r>
              <w:rPr>
                <w:sz w:val="18"/>
                <w:szCs w:val="18"/>
              </w:rPr>
              <w:t xml:space="preserve">GCC </w:t>
            </w:r>
          </w:p>
        </w:tc>
        <w:tc>
          <w:tcPr>
            <w:tcW w:w="1291" w:type="dxa"/>
            <w:shd w:val="clear" w:color="auto" w:fill="F1CEEE"/>
            <w:vAlign w:val="bottom"/>
          </w:tcPr>
          <w:p w14:paraId="06407DB1"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89.3%</w:t>
            </w:r>
          </w:p>
        </w:tc>
        <w:tc>
          <w:tcPr>
            <w:tcW w:w="1292" w:type="dxa"/>
            <w:shd w:val="clear" w:color="auto" w:fill="F1CEEE"/>
            <w:vAlign w:val="bottom"/>
          </w:tcPr>
          <w:p w14:paraId="7322A492"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88.3%</w:t>
            </w:r>
          </w:p>
        </w:tc>
        <w:tc>
          <w:tcPr>
            <w:tcW w:w="1290" w:type="dxa"/>
            <w:shd w:val="clear" w:color="auto" w:fill="F1CEEE"/>
            <w:vAlign w:val="bottom"/>
          </w:tcPr>
          <w:p w14:paraId="13107ADD"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93.3%</w:t>
            </w:r>
          </w:p>
        </w:tc>
        <w:tc>
          <w:tcPr>
            <w:tcW w:w="1288" w:type="dxa"/>
            <w:shd w:val="clear" w:color="auto" w:fill="F1CEEE"/>
            <w:vAlign w:val="bottom"/>
          </w:tcPr>
          <w:p w14:paraId="7A4633A4"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80.0%</w:t>
            </w:r>
          </w:p>
        </w:tc>
        <w:tc>
          <w:tcPr>
            <w:tcW w:w="1290" w:type="dxa"/>
            <w:shd w:val="clear" w:color="auto" w:fill="F1CEEE"/>
            <w:vAlign w:val="bottom"/>
          </w:tcPr>
          <w:p w14:paraId="72382618"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66.7%</w:t>
            </w:r>
          </w:p>
        </w:tc>
        <w:tc>
          <w:tcPr>
            <w:tcW w:w="1288" w:type="dxa"/>
            <w:shd w:val="clear" w:color="auto" w:fill="F1CEEE"/>
            <w:vAlign w:val="bottom"/>
          </w:tcPr>
          <w:p w14:paraId="6F1A48F2" w14:textId="77777777" w:rsidR="006575CC" w:rsidRDefault="009F2BF5">
            <w:pPr>
              <w:jc w:val="right"/>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82.4%</w:t>
            </w:r>
          </w:p>
        </w:tc>
      </w:tr>
    </w:tbl>
    <w:p w14:paraId="279D03DA" w14:textId="77777777" w:rsidR="006575CC" w:rsidRDefault="009F2BF5">
      <w:pPr>
        <w:rPr>
          <w:sz w:val="20"/>
          <w:szCs w:val="20"/>
        </w:rPr>
      </w:pPr>
      <w:r>
        <w:rPr>
          <w:sz w:val="20"/>
          <w:szCs w:val="20"/>
        </w:rPr>
        <w:t>Nguồn: Khảo sát Tạo thuận lợi Thương mại của Liên Hợp Quốc, 2023.</w:t>
      </w:r>
    </w:p>
    <w:p w14:paraId="4DA996DD" w14:textId="77777777" w:rsidR="006575CC" w:rsidRDefault="009F2BF5">
      <w:r>
        <w:rPr>
          <w:sz w:val="20"/>
          <w:szCs w:val="20"/>
        </w:rPr>
        <w:t>Lưu ý: Dữ liệu của UAE là từ năm 2017, dữ liệu mới nhất hiện có.</w:t>
      </w:r>
    </w:p>
    <w:p w14:paraId="7E0D7FDD" w14:textId="77777777" w:rsidR="006575CC" w:rsidRDefault="009F2BF5">
      <w:pPr>
        <w:numPr>
          <w:ilvl w:val="0"/>
          <w:numId w:val="10"/>
        </w:numPr>
      </w:pPr>
      <w:r>
        <w:t xml:space="preserve">Tuy nhiên, ASEAN thể hiện hiệu quả hơi nhỉnh hơn trong việc tích hợp thương mại không giấy tờ (81,5% so với 80% của GCC), phản ánh sự tập trung vào kết nối khu vực, đặc biệt thông qua các sáng kiến như Cửa sổ Một cửa ASEAN (ASW). Cần lưu </w:t>
      </w:r>
      <w:r>
        <w:lastRenderedPageBreak/>
        <w:t>ý rằng điểm trung bình về tạo thuận lợi thương mại thấp hơn của ASEAN nhiều khả năng bị ảnh hưởng bởi sự đa dạng đáng kể và mức độ triển khai khác nhau của các biện pháp tạo thuận lợi thương mại trong khu vực. Các quốc gia như Singapore, Malaysia và Indonesia đạt kết quả nổi bật, với điểm số vượt 85%, phản ánh hệ thống tạo thuận lợi thương mại tiên tiến của họ. Ngược lại, các nước kém phát triển nhất (LDCs) như Myanmar và Lào đạt điểm thấp hơn đáng kể, làm nổi bật sự chênh lệch về năng lực thể chế và sẵn sàng thương mại số trong khu vực. Trong khi đó, GCC chỉ gồm sáu quốc gia có sự phát triển kinh tế và năng lực thể chế tương đối đồng đều, góp phần tạo ra điểm trung bình cao hơn. Việc ASEAN có số lượng thành viên lớn hơn và tính đa dạng kinh tế, mặc dù làm giàu tiềm năng khu vực, cũng tạo ra thách thức trong việc đạt được kết quả đồng đều về tạo thuận lợi thương mại. Những quan sát này nhấn mạnh tầm quan trọng của các phương pháp tiếp cận được điều chỉnh phù hợp trong cải cách tạo thuận lợi thương mại để vừa giải quyết sự chênh lệch trong khu vực, vừa đạt được các mục tiêu chung.</w:t>
      </w:r>
    </w:p>
    <w:p w14:paraId="2E94A462" w14:textId="776A8334" w:rsidR="00F1697E" w:rsidRPr="00F1697E" w:rsidRDefault="00F1697E" w:rsidP="00F1697E">
      <w:pPr>
        <w:pStyle w:val="ListParagraph"/>
        <w:numPr>
          <w:ilvl w:val="0"/>
          <w:numId w:val="10"/>
        </w:numPr>
      </w:pPr>
      <w:r w:rsidRPr="00F1697E">
        <w:t>Mặc dù khu vực ASEAN và Hội đồng Hợp tác vùng Vịnh (GCC) đã đạt được những tiến bộ đáng kể trong việc triển khai các biện pháp tạo thuận lợi thương mại, ba lĩnh vực then chốt sẽ tiếp tục đóng vai trò quan trọng cho sự phát triển bền vững của cả hai khu vực</w:t>
      </w:r>
      <w:r>
        <w:t xml:space="preserve"> là</w:t>
      </w:r>
      <w:r w:rsidRPr="00F1697E">
        <w:t>: (i) minh bạch; (ii) số hóa, tức là cải thiện Cơ chế một cửa ASEAN (ASW), và (iii) một cơ chế thể chế rõ ràng để tăng cường hợp tác và cộng tác. Dựa trên phân tích so sánh, những nhận định sau đây làm nổi bật những cải tiến tiềm năng và cơ hội học hỏi.</w:t>
      </w:r>
    </w:p>
    <w:p w14:paraId="003DB1CA" w14:textId="4743A45B" w:rsidR="006575CC" w:rsidRPr="00F1697E" w:rsidRDefault="00F1697E">
      <w:pPr>
        <w:numPr>
          <w:ilvl w:val="0"/>
          <w:numId w:val="10"/>
        </w:numPr>
      </w:pPr>
      <w:r w:rsidRPr="00F1697E">
        <w:t>Minh bạch</w:t>
      </w:r>
      <w:r>
        <w:t xml:space="preserve"> hóa</w:t>
      </w:r>
      <w:r w:rsidRPr="00F1697E">
        <w:t xml:space="preserve">. ASEAN đã có những bước tiến đáng kể về minh bạch, đạt điểm trung bình cao 94,7%, phần lớn là nhờ việc triển khai hiệu quả các </w:t>
      </w:r>
      <w:r>
        <w:t xml:space="preserve">Cơ sở dữ liệu thương mại ASEAN (ATR)/Cơ sở dữ liệu thương mại quốc gia </w:t>
      </w:r>
      <w:r w:rsidRPr="00F1697E">
        <w:t>(NTR). Các NTR này đóng vai trò là nền tảng tập trung, nơi các quy định, thủ tục và yêu cầu về hồ sơ liên quan đến thương mại được công bố và cập nhật thường xuyên, qua đó đảm bảo công chúng tiếp cận được thông tin thương mại quan trọng. Mức độ minh bạch này không chỉ nâng cao khả năng dự đoán và tuân thủ cho các thương nhân mà còn củng cố trách nhiệm giải trình của các tổ chức. Ngược lại, mặc dù hiệu suất của GCC đã đáng khen ngợi ở mức 89,3%, kinh nghiệm của ASEAN là một minh chứng mạnh mẽ cho giá trị của các cơ chế minh bạch được thể chế hóa như một nền tảng cho việc tạo thuận lợi thương mại hiệu quả. Nhận thấy mức độ khác nhau về thông tin giữa ASEAN và GCC, lĩnh vực hợp tác có thể bao gồm việc chia sẻ thông tin về các quy định khác nhau và xác định các yếu tố dữ liệu có thể được hài hòa hóa bởi cả hai khu vực và tải lên các cổng thông tin thương mại.</w:t>
      </w:r>
    </w:p>
    <w:p w14:paraId="59DA4495" w14:textId="77777777" w:rsidR="006575CC" w:rsidRDefault="009F2BF5">
      <w:pPr>
        <w:numPr>
          <w:ilvl w:val="0"/>
          <w:numId w:val="10"/>
        </w:numPr>
      </w:pPr>
      <w:r>
        <w:rPr>
          <w:b/>
          <w:bCs/>
          <w:i/>
          <w:iCs/>
        </w:rPr>
        <w:t xml:space="preserve">Số hóa (triển khai hệ thống một cửa). </w:t>
      </w:r>
      <w:r>
        <w:t xml:space="preserve">ASW (Cửa sổ Một cửa ASEAN) là một trong những sáng kiến quan trọng nhất của khu vực trong việc tích hợp hải quan số. Hệ thống này cho phép trao đổi điện tử các chứng từ thương mại như ATIGA e-Form D, Chứng thư e-Phyto và Tài liệu khai báo hải quan ASEAN, từ đó tạo điều kiện cho thủ tục hải quan nhanh hơn, giảm giấy tờ, và cải thiện khả năng kết nối giữa các Quốc gia Thành viên ASEAN. Với tỷ lệ triển khai trung bình đạt 81,5% trong thương mại không giấy tờ và 60,0% trong thương mại xuyên biên giới không giấy tờ, ASEAN cho thấy cam kết bền vững đối với chuyển đổi số trong thủ tục hải quan. Trong khi GCC đạt tỷ lệ tương tự 80,0% trong thương mại không giấy tờ, điểm số của khu vực này </w:t>
      </w:r>
      <w:r>
        <w:lastRenderedPageBreak/>
        <w:t>về thương mại xuyên biên giới không giấy tờ cao hơn ASEAN một chút, đạt 66,7%, mặc dù cả hai khu vực vẫn còn đối mặt với những thách thức trong lĩnh vực này. Để nâng cao hiệu quả triển khai thương mại xuyên biên giới không giấy tờ, cả hai khu vực nên cam kết tiếp tục phát triển và củng cố các nền tảng số hóa hải quan để trao đổi chứng từ, chẳng hạn như hệ thống một cửa. Điều này có thể cải thiện đáng kể khả năng tương tác giữa các hệ thống hải quan quốc gia, rút ngắn thời gian thông quan, và tăng cường hiệu quả tổng thể trên toàn khối. Một số quốc gia thành viên ASEAN đã bắt đầu triển khai hệ thống một cửa theo cơ chế song phương với các quốc gia không thuộc ASEAN trong việc trao đổi chứng từ liên quan đến thương mại, và ASEAN thông qua Ủy ban Tư vấn Chung về Tạo thuận lợi Thương mại ASEAN (ATFJCC) đã thảo luận và nghiên cứu khả năng triển khai hệ thống một cửa với các đối tác đối thoại. Đây là một lĩnh vực mà ASEAN và GCC có thể cùng khám phá và triển khai trong tương lai.</w:t>
      </w:r>
    </w:p>
    <w:p w14:paraId="2585FCCC" w14:textId="77777777" w:rsidR="006575CC" w:rsidRDefault="009F2BF5">
      <w:pPr>
        <w:numPr>
          <w:ilvl w:val="0"/>
          <w:numId w:val="10"/>
        </w:numPr>
      </w:pPr>
      <w:r>
        <w:rPr>
          <w:b/>
          <w:bCs/>
          <w:i/>
          <w:iCs/>
        </w:rPr>
        <w:t xml:space="preserve">Cơ chế thể chế. </w:t>
      </w:r>
      <w:r>
        <w:t>Dữ liệu so sánh cho thấy một lĩnh vực then chốt mà ASEAN vẫn còn thua kém GCC: cơ cấu thể chế và hợp tác liên cơ quan. Trong khi GCC đạt điểm cao 93,3% ở lĩnh vực này, ASEAN chỉ đạt trung bình khu vực 71,1%, chủ yếu do sự chênh lệch về năng lực thể chế giữa các quốc gia thành viên. Khoảng cách này chỉ ra nhu cầu về một cơ chế phối hợp khu vực có cấu trúc hơn và củng cố các thể chế quốc gia nhằm đảm bảo thực hiện nhất quán các cải cách tạo thuận lợi thương mại. Đồng thời, đây cũng là cơ hội để ASEAN và GCC hợp tác chặt chẽ hơn, tìm hiểu lẫn nhau về các khuôn khổ thể chế. Thông qua tăng cường đối thoại, các chương trình chia sẻ nâng cao năng lực và học hỏi lẫn nhau, các bên có thể hiểu rõ hơn về cơ chế thể chế và thúc đẩy nỗ lực hài hòa hóa. Hợp tác như vậy cũng có thể giúp thu hẹp khoảng cách thực hiện giữa các quốc gia ASEAN, đặc biệt là các thành viên kém phát triển, bằng cách tận dụng những điểm mạnh thể chế của GCC. Các Ủy ban Tạo thuận lợi Thương mại Quốc gia (NTFCs), chịu trách nhiệm phối hợp chính sách quốc gia về tạo thuận lợi thương mại để đảm bảo sự áp dụng nhất quán giữa các cơ quan chính phủ, đóng vai trò then chốt trong việc củng cố thể chế. Thông qua NTFCs, ASEAN và GCC có thể xây dựng cơ chế hợp tác và tăng cường thể chế hiệu quả.</w:t>
      </w:r>
    </w:p>
    <w:p w14:paraId="203FD8DB" w14:textId="77777777" w:rsidR="006575CC" w:rsidRDefault="009F2BF5">
      <w:pPr>
        <w:numPr>
          <w:ilvl w:val="0"/>
          <w:numId w:val="9"/>
        </w:numPr>
        <w:ind w:left="709" w:hanging="436"/>
        <w:rPr>
          <w:b/>
          <w:bCs/>
        </w:rPr>
      </w:pPr>
      <w:bookmarkStart w:id="41" w:name="_heading=h.y4fexvnswup3" w:colFirst="0" w:colLast="0"/>
      <w:bookmarkEnd w:id="41"/>
      <w:r>
        <w:rPr>
          <w:b/>
          <w:bCs/>
        </w:rPr>
        <w:t>Thương mại dịch vụ</w:t>
      </w:r>
    </w:p>
    <w:p w14:paraId="4C6F0C9E" w14:textId="77777777" w:rsidR="006575CC" w:rsidRDefault="009F2BF5">
      <w:pPr>
        <w:numPr>
          <w:ilvl w:val="0"/>
          <w:numId w:val="10"/>
        </w:numPr>
      </w:pPr>
      <w:r>
        <w:t>Thương mại dịch vụ là một lĩnh vực mà ASEAN và GCC có thể tăng cường hợp tác sâu rộng hơn. Từ nghiên cứu này, có thể đưa ra hai khuyến nghị:</w:t>
      </w:r>
    </w:p>
    <w:p w14:paraId="5B43F90A" w14:textId="77777777" w:rsidR="006575CC" w:rsidRDefault="009F2BF5">
      <w:pPr>
        <w:numPr>
          <w:ilvl w:val="0"/>
          <w:numId w:val="16"/>
        </w:numPr>
      </w:pPr>
      <w:r>
        <w:t xml:space="preserve">Để tăng cường và tạo thuận lợi cho thương mại dịch vụ, bao gồm việc di chuyển liền mạch của con người, giữa ASEAN và GCC, một lĩnh vực khác có thể được xem xét như một phần của việc thắt chặt quan hệ kinh tế ASEAN-GCC là thiết lập một khuôn khổ tạo thuận lợi thương mại dịch vụ ASEAN-GCC. Khuôn khổ được đề xuất không nhằm bao gồm việc tự do hóa hay bất kỳ điều khoản nào có tác dụng tương tự như việc loại bỏ rào cản thương mại dịch vụ, mà tập trung vào hợp tác kinh tế với các mục tiêu như tăng cường tính minh bạch đối với các quy định liên quan đến dịch vụ; thúc đẩy và tạo thuận lợi cho sự di chuyển của doanh nhân, chuyên gia, lao động có kỹ năng và các đối tượng tương tự, thông qua việc công nhận </w:t>
      </w:r>
      <w:r>
        <w:lastRenderedPageBreak/>
        <w:t>lẫn nhau; hợp tác về dịch vụ số; chia sẻ kiến thức, đặc biệt trong việc phát triển các khuôn khổ pháp lý; và nâng cao năng lực.</w:t>
      </w:r>
    </w:p>
    <w:p w14:paraId="59B5E732" w14:textId="77777777" w:rsidR="006575CC" w:rsidRDefault="009F2BF5">
      <w:pPr>
        <w:numPr>
          <w:ilvl w:val="0"/>
          <w:numId w:val="16"/>
        </w:numPr>
      </w:pPr>
      <w:r>
        <w:t>Cũng nên khuyến nghị hợp tác trong các lĩnh vực dịch vụ mang lại lợi ích chung, chẳng hạn như ngân hàng và dịch vụ tài chính, du lịch halal, chăm sóc sức khỏe, xây dựng, logistics và giáo dục – dựa trên lợi thế so sánh và nhu cầu kinh tế riêng của GCC và ASEAN. Các lĩnh vực dịch vụ này được xác định dựa trên các ưu tiên mà cả GCC và ASEAN đã đề ra trong các chiến lược đa dạng hóa và giai đoạn hậu 2025 của từng bên.</w:t>
      </w:r>
    </w:p>
    <w:p w14:paraId="32735EF4" w14:textId="77777777" w:rsidR="006575CC" w:rsidRDefault="009F2BF5">
      <w:pPr>
        <w:ind w:left="1440"/>
      </w:pPr>
      <w:r>
        <w:t>Về ngân hàng và dịch vụ tài chính, các nỗ lực hợp tác có thể bao gồm xây dựng một hệ sinh thái cho dịch vụ tài chính tích hợp hơn bằng cách thúc đẩy và tạo thuận lợi cho thanh toán số xuyên biên giới, xem xét các khuôn khổ pháp lý cho fintech, và nghiên cứu các giải pháp dựa trên blockchain.</w:t>
      </w:r>
    </w:p>
    <w:p w14:paraId="0F0E7ECD" w14:textId="77777777" w:rsidR="006575CC" w:rsidRDefault="009F2BF5">
      <w:pPr>
        <w:ind w:left="1440"/>
      </w:pPr>
      <w:r>
        <w:t>Du lịch halal là một lĩnh vực dịch vụ khác mà ASEAN và GCC có thể cùng có lợi, dựa trên số lượng lớn dân số Hồi giáo. Hợp tác có thể bao gồm chia sẻ các thực tiễn tốt nhất về chứng nhận halal, phát triển chung các tiêu chuẩn chứng nhận halal, công nhận lẫn nhau và thực hiện các chiến dịch quảng bá chung.</w:t>
      </w:r>
    </w:p>
    <w:p w14:paraId="3A232EE1" w14:textId="77777777" w:rsidR="006575CC" w:rsidRDefault="009F2BF5">
      <w:pPr>
        <w:numPr>
          <w:ilvl w:val="0"/>
          <w:numId w:val="16"/>
        </w:numPr>
      </w:pPr>
      <w:r>
        <w:t>Nâng cấp và mở rộng các kết nối hàng không thông qua một thỏa thuận vận tải hàng không khu vực sẽ không chỉ tăng cường kết nối, đặc biệt là kết nối con người, mà còn thúc đẩy hợp tác kinh tế và gia tăng các hoạt động thương mại, chẳng hạn như tạo thuận lợi cho việc vận chuyển hàng hóa và dịch vụ, tăng lượng khách du lịch. Cả hai bên có thể hướng tới việc áp dụng chính sách “bầu trời mở” để khuyến khích các hãng hàng không mở rộng tuyến bay, tăng công suất cũng như tần suất chuyến bay, từ đó thúc đẩy cạnh tranh, mang lại lợi ích cho cả doanh nghiệp và người tiêu dùng.</w:t>
      </w:r>
    </w:p>
    <w:p w14:paraId="72CA2E40" w14:textId="73CF3E95" w:rsidR="006575CC" w:rsidRDefault="009F2BF5">
      <w:pPr>
        <w:numPr>
          <w:ilvl w:val="0"/>
          <w:numId w:val="10"/>
        </w:numPr>
      </w:pPr>
      <w:r>
        <w:rPr>
          <w:b/>
          <w:bCs/>
          <w:u w:val="single"/>
        </w:rPr>
        <w:t xml:space="preserve">Chuyển đổi số. </w:t>
      </w:r>
      <w:r>
        <w:t xml:space="preserve">Tính đến thời điểm hiện tại, ASEAN đang đàm phán Hiệp định Khung </w:t>
      </w:r>
      <w:r w:rsidR="001425FF">
        <w:t xml:space="preserve">về Kinh tế </w:t>
      </w:r>
      <w:r>
        <w:t>số ASEAN (DEFA), mà theo nghiên cứu của Boston Consulting Group</w:t>
      </w:r>
      <w:r>
        <w:rPr>
          <w:vertAlign w:val="superscript"/>
        </w:rPr>
        <w:footnoteReference w:id="8"/>
      </w:r>
      <w:r>
        <w:t xml:space="preserve"> - “nhằm thúc đẩy ASEAN chuyển đổi trở thành một nền kinh tế số dẫn đầu, tăng cường hợp tác số và mở đường cho tích hợp số khu vực cũng như tăng trưởng và phát triển toàn diện.” Nghiên cứu đã xác định chín yếu tố cốt lõi và sau đó được các Bộ trưởng thông qua trên cơ sở không làm ảnh hưởng đến các quyền lợi khác: (i) thương mại số; (ii) thương mại điện tử xuyên biên giới; (iii) thanh toán; (iv) nhận dạng và xác thực số; (v) luồng dữ liệu xuyên biên giới và bảo vệ dữ liệu; (vi) an toàn trực tuyến và an ninh mạng; (vii) di chuyển và hợp tác nhân lực; (viii) hợp tác về các vấn đề mới nổi; và (ix) chính sách cạnh tranh.</w:t>
      </w:r>
    </w:p>
    <w:p w14:paraId="515D3626" w14:textId="738B51D1" w:rsidR="006575CC" w:rsidRDefault="009F2BF5">
      <w:pPr>
        <w:numPr>
          <w:ilvl w:val="0"/>
          <w:numId w:val="10"/>
        </w:numPr>
      </w:pPr>
      <w:r>
        <w:t xml:space="preserve">Các quốc gia thành viên GCC, cả </w:t>
      </w:r>
      <w:r w:rsidR="00F1697E">
        <w:t>Hội đồng</w:t>
      </w:r>
      <w:r>
        <w:t xml:space="preserve"> và từng nước riêng lẻ, cũng đang ưu tiên chuyển đổi số như một phần trong chiến lược đa dạng hóa kinh tế của mình. </w:t>
      </w:r>
      <w:r>
        <w:lastRenderedPageBreak/>
        <w:t>Chẳng hạn, UAE dẫn đầu GCC về các sáng kiến chuyển đổi số thông qua chương trình Smart Dubai của mình</w:t>
      </w:r>
      <w:r>
        <w:rPr>
          <w:vertAlign w:val="superscript"/>
        </w:rPr>
        <w:footnoteReference w:id="9"/>
      </w:r>
      <w:r>
        <w:t>, UAE đang nỗ lực tận dụng đổi mới số để trở thành “thành phố thông minh nhất thế giới” với các sáng kiến bao gồm robot, ứng dụng Trí tuệ Nhân tạo (AI), hệ thống Internet vạn vật (IoT), công nghệ blockchain, cùng nhiều lĩnh vực khác. GCC cũng đang trở nên đặc biệt mạnh mẽ trong việc thúc đẩy các hệ thống chính phủ điện tử, ví dụ, Bahrain có Cổng chính phủ điện tử (https://services.bahrain.bh/wps/portal/en), cho phép người dân Bahrain truy cập các dịch vụ chính phủ trực tuyến.</w:t>
      </w:r>
    </w:p>
    <w:p w14:paraId="7FF33507" w14:textId="77777777" w:rsidR="006575CC" w:rsidRDefault="009F2BF5">
      <w:pPr>
        <w:numPr>
          <w:ilvl w:val="0"/>
          <w:numId w:val="10"/>
        </w:numPr>
      </w:pPr>
      <w:r>
        <w:t>ASEAN và GCC có thể tận dụng các sáng kiến chuyển đổi số của từng bên trong nỗ lực thắt chặt quan hệ kinh tế. Hợp tác có thể bắt đầu bằng việc chia sẻ kinh nghiệm và các thực tiễn tốt nhất trong quá trình chuyển đổi số, đặc biệt ở những lĩnh vực được đánh giá là quan trọng để tăng cường thương mại và đầu tư ASEAN-GCC, chẳng hạn như tạo thuận lợi thương mại xuyên biên giới, thương mại điện tử, thanh toán số, v.v. Hợp tác cũng có thể bao gồm thúc đẩy việc sử dụng công nghệ số trong các quy trình hải quan, bao gồm cả Cửa sổ Một cửa ASEAN (ASW), tạo thuận lợi cho thương mại điện tử và thanh toán số, hợp tác trong các lĩnh vực liên quan đến số hóa như thành phố thông minh, Internet vạn vật (IoT), Trí tuệ Nhân tạo (AI), chính phủ điện tử, và thu hẹp khoảng cách số như những con đường để thúc đẩy và tiến tới tích hợp số ASEAN-GCC.</w:t>
      </w:r>
    </w:p>
    <w:p w14:paraId="30465CF5" w14:textId="77777777" w:rsidR="006575CC" w:rsidRDefault="009F2BF5">
      <w:pPr>
        <w:numPr>
          <w:ilvl w:val="0"/>
          <w:numId w:val="10"/>
        </w:numPr>
      </w:pPr>
      <w:r>
        <w:rPr>
          <w:b/>
          <w:bCs/>
          <w:u w:val="single"/>
        </w:rPr>
        <w:t>Phát triển bền vững.</w:t>
      </w:r>
      <w:r>
        <w:t xml:space="preserve"> Thông qua các “tầm nhìn” riêng của từng bên, chẳng hạn như Abu Dhabi Vision 2030, Qatar National Vision 2030, Oman’s Vision 2040, Bahrain’s The Economic Vision, Saudi Vision 2030, Kuwait’s Vision 2035 cũng như Kế hoạch Chiến lược Cộng đồng Kinh tế ASEAN (AEC) 2026-2030, ASEAN và GCC đang đạt được những bước tiến đáng kể trong nỗ lực hướng tới nền kinh tế xanh và bền vững. Các khía cạnh then chốt trong quá trình chuyển đổi xanh của họ bao gồm năng lượng tái tạo; giảm phát thải carbon; các sáng kiến kinh tế tuần hoàn; công nghệ thu, sử dụng và lưu trữ carbon (CCUS), cùng nhiều lĩnh vực khác.</w:t>
      </w:r>
    </w:p>
    <w:p w14:paraId="1668EFF5" w14:textId="77777777" w:rsidR="006575CC" w:rsidRDefault="009F2BF5">
      <w:pPr>
        <w:numPr>
          <w:ilvl w:val="0"/>
          <w:numId w:val="10"/>
        </w:numPr>
      </w:pPr>
      <w:r>
        <w:t>Giải pháp dựa trên tự nhiên (Nature-Based Solutions – NbS) có thể được xem là một lĩnh vực đầu tư mang lại nhiều lợi ích. Các quốc gia thành viên ASEAN đã tích hợp NbS vào các khuôn khổ cấp quốc gia. Ở cấp độ quốc tế, Tuyên bố Chung của ASEAN về Biến đổi Khí hậu gửi đến UNFCCC COP28 đã kêu gọi các quốc gia cải thiện khả năng thích ứng và giảm tính dễ tổn thương thông qua việc triển khai các giải pháp NbS và các phương pháp tiếp cận dựa trên hệ sinh thái.</w:t>
      </w:r>
    </w:p>
    <w:p w14:paraId="52CA5262" w14:textId="77777777" w:rsidR="006575CC" w:rsidRDefault="009F2BF5">
      <w:pPr>
        <w:numPr>
          <w:ilvl w:val="0"/>
          <w:numId w:val="10"/>
        </w:numPr>
      </w:pPr>
      <w:r>
        <w:t>Không giống như ASEAN, nơi quá trình chuyển đổi sang nền kinh tế xanh được thực hiện cả ở cấp khu vực và quốc gia, các quốc gia thành viên GCC đang đa dạng hóa nền kinh tế nhằm giảm sự phụ thuộc vào khí đốt và dầu mỏ, khi thế giới đang tăng cường nỗ lực chuyển đổi khỏi nhiên liệu hóa thạch. Một số sáng kiến đáng chú ý của một số quốc gia GCC được tóm tắt dưới đây:</w:t>
      </w:r>
    </w:p>
    <w:p w14:paraId="36C76546" w14:textId="77777777" w:rsidR="006575CC" w:rsidRDefault="009F2BF5">
      <w:pPr>
        <w:numPr>
          <w:ilvl w:val="0"/>
          <w:numId w:val="8"/>
        </w:numPr>
      </w:pPr>
      <w:r>
        <w:lastRenderedPageBreak/>
        <w:t>Saudi Arabia có Sáng kiến Xanh Saudi (Saudi Green Initiative – SGI) với ba mục tiêu chính: (i) giảm phát thải; (ii) trồng rừng; và (iii) bảo vệ đất liền và biển. Kể từ khi ra mắt, khoảng 77 dự án với tổng vốn đầu tư hơn 186 tỷ USD đã được khởi động. SGI cũng đặt mục tiêu đạt mức phát thải ròng bằng 0 vào năm 2060, chủ yếu thông qua phương pháp Kinh tế Carbon Tuần hoàn (Circular Carbon Economy).</w:t>
      </w:r>
    </w:p>
    <w:p w14:paraId="1A8508F2" w14:textId="77777777" w:rsidR="006575CC" w:rsidRDefault="009F2BF5">
      <w:pPr>
        <w:numPr>
          <w:ilvl w:val="0"/>
          <w:numId w:val="8"/>
        </w:numPr>
      </w:pPr>
      <w:r>
        <w:t>UAE đã ra mắt Chiến lược Năng lượng UAE</w:t>
      </w:r>
      <w:r>
        <w:rPr>
          <w:vertAlign w:val="superscript"/>
        </w:rPr>
        <w:footnoteReference w:id="10"/>
      </w:r>
      <w:r>
        <w:t xml:space="preserve"> vào năm 2017 và sau đó được cập nhật vào năm 2022. Mục tiêu chính của Chiến lược Năng lượng UAE 2050 là thúc đẩy triển khai năng lượng tái tạo và năng lượng hạt nhân nhằm tăng công suất năng lượng sạch trong nước và nâng cao hiệu quả năng lượng. Chiến lược cũng nhằm khuyến khích đầu tư vào ngành năng lượng sạch và tái tạo của UAE để đạt được mục tiêu cuối cùng là phát thải carbon ròng bằng 0 vào năm 2050.</w:t>
      </w:r>
    </w:p>
    <w:p w14:paraId="7CB4EF92" w14:textId="77777777" w:rsidR="006575CC" w:rsidRDefault="009F2BF5">
      <w:pPr>
        <w:numPr>
          <w:ilvl w:val="0"/>
          <w:numId w:val="8"/>
        </w:numPr>
      </w:pPr>
      <w:r>
        <w:t>Qatar đã ra mắt Chiến lược Môi trường và Biến đổi Khí hậu Quốc gia (QNE) vào năm 2021 với mục tiêu triển khai các sáng kiến thực tiễn liên quan đến các ưu tiên về môi trường của nước này, chẳng hạn như phát thải khí nhà kính, đa dạng sinh học và kinh tế tuần hoàn, nhằm hiện thực hóa trụ cột môi trường trong Tầm nhìn Quốc gia Qatar 2030.</w:t>
      </w:r>
    </w:p>
    <w:p w14:paraId="4457B511" w14:textId="77777777" w:rsidR="006575CC" w:rsidRDefault="009F2BF5">
      <w:pPr>
        <w:numPr>
          <w:ilvl w:val="0"/>
          <w:numId w:val="8"/>
        </w:numPr>
      </w:pPr>
      <w:r>
        <w:t>Chuyển đổi xanh của Oman tập trung vào Chiến lược Hydro Xanh 2022</w:t>
      </w:r>
      <w:r>
        <w:rPr>
          <w:vertAlign w:val="superscript"/>
        </w:rPr>
        <w:footnoteReference w:id="11"/>
      </w:r>
      <w:r>
        <w:t>, trong đó Oman không chỉ nhằm chuyển đổi nền kinh tế sang nền kinh tế hydro mà còn hướng tới việc được công nhận là một nhà lãnh đạo toàn cầu. Để đạt được mục tiêu này, Oman tập trung vào các lĩnh vực như giảm phát thải carbon, nội địa hóa chuỗi cung ứng nhằm đa dạng hóa kinh tế, và thu hút đầu tư trực tiếp nước ngoài (FDI) nhằm phát triển ngành hydro xanh có chi phí cạnh tranh.</w:t>
      </w:r>
      <w:r>
        <w:rPr>
          <w:vertAlign w:val="superscript"/>
        </w:rPr>
        <w:footnoteReference w:id="12"/>
      </w:r>
      <w:r>
        <w:t xml:space="preserve"> </w:t>
      </w:r>
    </w:p>
    <w:p w14:paraId="73CA1EEB" w14:textId="77777777" w:rsidR="006575CC" w:rsidRDefault="009F2BF5">
      <w:pPr>
        <w:numPr>
          <w:ilvl w:val="0"/>
          <w:numId w:val="10"/>
        </w:numPr>
      </w:pPr>
      <w:r>
        <w:t>Đối với ASEAN, các sáng kiến nhằm thúc đẩy quá trình chuyển đổi sang nền kinh tế xanh bao gồm:</w:t>
      </w:r>
    </w:p>
    <w:p w14:paraId="2C112418" w14:textId="77777777" w:rsidR="006575CC" w:rsidRDefault="009F2BF5">
      <w:pPr>
        <w:numPr>
          <w:ilvl w:val="0"/>
          <w:numId w:val="3"/>
        </w:numPr>
      </w:pPr>
      <w:r>
        <w:t>Chiến lược ASEAN về Trung hòa Carbon</w:t>
      </w:r>
      <w:r>
        <w:rPr>
          <w:vertAlign w:val="superscript"/>
        </w:rPr>
        <w:footnoteReference w:id="13"/>
      </w:r>
      <w:r>
        <w:t xml:space="preserve">, được các Bộ trưởng Kinh tế ASEAN thông qua vào tháng 8 năm 2023, nhằm “thúc đẩy quá trình chuyển đổi bao trùm sang nền kinh tế xanh bằng cách thúc đẩy tăng trưởng bền vững và bổ sung cho các chính sách quốc gia của các quốc gia thành viên </w:t>
      </w:r>
      <w:r>
        <w:lastRenderedPageBreak/>
        <w:t>ASEAN trong việc đạt các mục tiêu Đóng góp do Quốc gia tự quyết định (NDC) tương ứng.” Chiến lược xác định tám hướng đi về trung hòa carbon:</w:t>
      </w:r>
    </w:p>
    <w:p w14:paraId="7BBB0884" w14:textId="77777777" w:rsidR="006575CC" w:rsidRDefault="009F2BF5">
      <w:pPr>
        <w:numPr>
          <w:ilvl w:val="1"/>
          <w:numId w:val="16"/>
        </w:numPr>
        <w:ind w:left="2127" w:hanging="686"/>
      </w:pPr>
      <w:r>
        <w:t>Thiết lập các khung hợp tác để thúc đẩy tích hợp chuỗi giá trị xanh;</w:t>
      </w:r>
    </w:p>
    <w:p w14:paraId="5142BCE4" w14:textId="77777777" w:rsidR="006575CC" w:rsidRDefault="009F2BF5">
      <w:pPr>
        <w:numPr>
          <w:ilvl w:val="1"/>
          <w:numId w:val="16"/>
        </w:numPr>
        <w:ind w:left="2127" w:hanging="686"/>
      </w:pPr>
      <w:r>
        <w:t>Phát triển hệ thống phân loại rác thải và tạo điều kiện cho các thỏa thuận thương mại hỗ trợ kinh tế tuần hoàn nhằm củng cố các chuỗi cung ứng kinh tế tuần hoàn khu vực;</w:t>
      </w:r>
    </w:p>
    <w:p w14:paraId="08556A4C" w14:textId="77777777" w:rsidR="006575CC" w:rsidRDefault="009F2BF5">
      <w:pPr>
        <w:numPr>
          <w:ilvl w:val="1"/>
          <w:numId w:val="16"/>
        </w:numPr>
        <w:ind w:left="2127" w:hanging="686"/>
      </w:pPr>
      <w:r>
        <w:t>Xây dựng khả năng kết nối cho các công nghệ xanh và các giải pháp giảm phát thải;</w:t>
      </w:r>
    </w:p>
    <w:p w14:paraId="4FDB9590" w14:textId="77777777" w:rsidR="006575CC" w:rsidRDefault="009F2BF5">
      <w:pPr>
        <w:numPr>
          <w:ilvl w:val="1"/>
          <w:numId w:val="16"/>
        </w:numPr>
        <w:ind w:left="2127" w:hanging="686"/>
      </w:pPr>
      <w:r>
        <w:t>Phát triển các thị trường carbon có khả năng tương tác lẫn nhau;</w:t>
      </w:r>
    </w:p>
    <w:p w14:paraId="360598BE" w14:textId="77777777" w:rsidR="006575CC" w:rsidRDefault="009F2BF5">
      <w:pPr>
        <w:numPr>
          <w:ilvl w:val="1"/>
          <w:numId w:val="16"/>
        </w:numPr>
        <w:ind w:left="2127" w:hanging="686"/>
      </w:pPr>
      <w:r>
        <w:t>Xây dựng các hệ thống phân loại và định nghĩa về báo cáo khí nhà kính, tín chỉ carbon và hiệu quả năng lượng;</w:t>
      </w:r>
    </w:p>
    <w:p w14:paraId="0FC18C4A" w14:textId="77777777" w:rsidR="006575CC" w:rsidRDefault="009F2BF5">
      <w:pPr>
        <w:numPr>
          <w:ilvl w:val="1"/>
          <w:numId w:val="16"/>
        </w:numPr>
        <w:ind w:left="2127" w:hanging="686"/>
      </w:pPr>
      <w:r>
        <w:t>Xây dựng các con đường hiệu quả để thu hút và triển khai vốn xanh;</w:t>
      </w:r>
    </w:p>
    <w:p w14:paraId="0F2FAF81" w14:textId="77777777" w:rsidR="006575CC" w:rsidRDefault="009F2BF5">
      <w:pPr>
        <w:numPr>
          <w:ilvl w:val="1"/>
          <w:numId w:val="16"/>
        </w:numPr>
        <w:ind w:left="2127" w:hanging="686"/>
      </w:pPr>
      <w:r>
        <w:t>Đảm bảo quyền tiếp cận khu vực đối với các kỹ năng cần thiết để thực hiện các mục tiêu trung hòa carbon của khu vực; và</w:t>
      </w:r>
    </w:p>
    <w:p w14:paraId="336C9951" w14:textId="77777777" w:rsidR="006575CC" w:rsidRDefault="009F2BF5">
      <w:pPr>
        <w:numPr>
          <w:ilvl w:val="1"/>
          <w:numId w:val="16"/>
        </w:numPr>
        <w:ind w:left="2127" w:hanging="686"/>
      </w:pPr>
      <w:r>
        <w:t>Chia sẻ các thực tiễn tốt nhất trong nghiên cứu và phát triển, công nghệ, và quá trình chuyển đổi xanh.</w:t>
      </w:r>
    </w:p>
    <w:p w14:paraId="68428DC4" w14:textId="1B8A0C44" w:rsidR="006575CC" w:rsidRDefault="009F2BF5">
      <w:pPr>
        <w:numPr>
          <w:ilvl w:val="0"/>
          <w:numId w:val="3"/>
        </w:numPr>
      </w:pPr>
      <w:r>
        <w:t>Khu</w:t>
      </w:r>
      <w:r w:rsidR="00F1697E">
        <w:t>ng</w:t>
      </w:r>
      <w:r>
        <w:t xml:space="preserve"> Kinh tế Tuần hoàn ASEAN cho Cộng đồng Kinh tế ASEAN</w:t>
      </w:r>
      <w:r>
        <w:rPr>
          <w:vertAlign w:val="superscript"/>
        </w:rPr>
        <w:footnoteReference w:id="14"/>
      </w:r>
      <w:r>
        <w:t xml:space="preserve"> được Hội đồng AEC thông qua vào tháng 10 năm 2021. Khu</w:t>
      </w:r>
      <w:r w:rsidR="00F1697E">
        <w:t>ng</w:t>
      </w:r>
      <w:r>
        <w:t xml:space="preserve"> này phục vụ như một hướng dẫn cho hành trình của ASEAN hướng tới việc đạt được tầm nhìn dài hạn về một nền kinh tế tuần hoàn bền vững, hiệu quả về tài nguyên và có khả năng phục hồi, dựa trên các ưu tiên chiến lược sau:</w:t>
      </w:r>
    </w:p>
    <w:p w14:paraId="5C459422" w14:textId="77777777" w:rsidR="006575CC" w:rsidRDefault="009F2BF5">
      <w:pPr>
        <w:numPr>
          <w:ilvl w:val="0"/>
          <w:numId w:val="5"/>
        </w:numPr>
        <w:ind w:left="2127" w:hanging="686"/>
      </w:pPr>
      <w:r>
        <w:t>Hài hòa hóa và công nhận lẫn nhau các tiêu chuẩn;</w:t>
      </w:r>
    </w:p>
    <w:p w14:paraId="7450C6D2" w14:textId="77777777" w:rsidR="006575CC" w:rsidRDefault="009F2BF5">
      <w:pPr>
        <w:numPr>
          <w:ilvl w:val="0"/>
          <w:numId w:val="5"/>
        </w:numPr>
        <w:ind w:left="2127" w:hanging="686"/>
      </w:pPr>
      <w:r>
        <w:t>Mở cửa thương mại và tạo thuận lợi thương mại;</w:t>
      </w:r>
    </w:p>
    <w:p w14:paraId="59E86AC3" w14:textId="77777777" w:rsidR="006575CC" w:rsidRDefault="009F2BF5">
      <w:pPr>
        <w:numPr>
          <w:ilvl w:val="0"/>
          <w:numId w:val="5"/>
        </w:numPr>
        <w:ind w:left="2127" w:hanging="686"/>
      </w:pPr>
      <w:r>
        <w:t>Đổi mới, số hóa và các công nghệ mới nổi;</w:t>
      </w:r>
    </w:p>
    <w:p w14:paraId="44549A13" w14:textId="77777777" w:rsidR="006575CC" w:rsidRDefault="009F2BF5">
      <w:pPr>
        <w:numPr>
          <w:ilvl w:val="0"/>
          <w:numId w:val="5"/>
        </w:numPr>
        <w:ind w:left="2127" w:hanging="686"/>
      </w:pPr>
      <w:r>
        <w:t>Tài chính bền vững và đầu tư sáng tạo; và</w:t>
      </w:r>
    </w:p>
    <w:p w14:paraId="7CA79F91" w14:textId="77777777" w:rsidR="006575CC" w:rsidRDefault="009F2BF5">
      <w:pPr>
        <w:numPr>
          <w:ilvl w:val="0"/>
          <w:numId w:val="5"/>
        </w:numPr>
        <w:ind w:left="2127" w:hanging="686"/>
      </w:pPr>
      <w:r>
        <w:t>Sử dụng hiệu quả năng lượng và các nguồn lực khác.</w:t>
      </w:r>
    </w:p>
    <w:p w14:paraId="45A1879E" w14:textId="77777777" w:rsidR="006575CC" w:rsidRDefault="009F2BF5">
      <w:pPr>
        <w:numPr>
          <w:ilvl w:val="0"/>
          <w:numId w:val="10"/>
        </w:numPr>
      </w:pPr>
      <w:r>
        <w:t xml:space="preserve">ASEAN và GCC rõ ràng đang tiến triển trong quá trình hướng tới nền kinh tế xanh của riêng mình. Các sáng kiến mà hai bên đang triển khai hiện nay cung cấp cơ sở tốt để ASEAN và GCC đưa vấn đề phát triển bền vững và chuyển đổi sang nền kinh tế xanh vào trong việc thắt chặt quan hệ kinh tế. Trong tiến trình này, ASEAN và GCC có thể cân nhắc ưu tiên và tập trung hợp tác ban đầu vào các lĩnh vực: (i) năng lượng </w:t>
      </w:r>
      <w:r>
        <w:lastRenderedPageBreak/>
        <w:t>tái tạo và hiệu quả năng lượng; (ii) kinh tế tuần hoàn; (iii) biến đổi khí hậu; và (iv) tài chính xanh. Cụ thể, đề xuất rằng hai bên cân nhắc các hướng sau:</w:t>
      </w:r>
    </w:p>
    <w:p w14:paraId="60DCA1AC" w14:textId="77777777" w:rsidR="006575CC" w:rsidRDefault="009F2BF5">
      <w:pPr>
        <w:numPr>
          <w:ilvl w:val="0"/>
          <w:numId w:val="6"/>
        </w:numPr>
        <w:ind w:left="1418" w:hanging="698"/>
      </w:pPr>
      <w:r>
        <w:t>Trao đổi kinh nghiệm và các thực tiễn tốt nhất về chuyển đổi xanh;</w:t>
      </w:r>
    </w:p>
    <w:p w14:paraId="0B332532" w14:textId="77777777" w:rsidR="006575CC" w:rsidRDefault="009F2BF5">
      <w:pPr>
        <w:numPr>
          <w:ilvl w:val="0"/>
          <w:numId w:val="6"/>
        </w:numPr>
        <w:ind w:left="1418" w:hanging="698"/>
      </w:pPr>
      <w:r>
        <w:t>Tăng cường hợp tác trong các lĩnh vực liên quan đến tác động của biến đổi khí hậu, bao gồm công nghệ thu, sử dụng và lưu trữ carbon (CCUS);</w:t>
      </w:r>
    </w:p>
    <w:p w14:paraId="44269D3F" w14:textId="77777777" w:rsidR="006575CC" w:rsidRDefault="009F2BF5">
      <w:pPr>
        <w:numPr>
          <w:ilvl w:val="0"/>
          <w:numId w:val="6"/>
        </w:numPr>
        <w:ind w:left="1418" w:hanging="698"/>
      </w:pPr>
      <w:r>
        <w:t>Tận dụng Chiến lược ASEAN về Trung hòa Carbon để thúc đẩy tuần hoàn trong chuỗi cung ứng và đẩy nhanh quá trình chuyển đổi sang nền kinh tế xanh; và</w:t>
      </w:r>
    </w:p>
    <w:p w14:paraId="186B4890" w14:textId="77777777" w:rsidR="006575CC" w:rsidRDefault="009F2BF5">
      <w:pPr>
        <w:numPr>
          <w:ilvl w:val="0"/>
          <w:numId w:val="6"/>
        </w:numPr>
        <w:ind w:left="1418" w:hanging="698"/>
      </w:pPr>
      <w:r>
        <w:t>Xem xét việc ký Bản ghi nhớ hợp tác đầu tư (MOU) nhằm: (i) thúc đẩy đầu tư xanh vào năng lượng và năng lượng tái tạo; (ii) khuyến khích và thúc đẩy đầu tư xanh vào các dự án phát triển năng lượng xanh và tái tạo, công nghệ tiết kiệm năng lượng và ít phát thải, cũng như đa dạng hóa chuỗi cung ứng năng lượng xanh và tái tạo; và (iii) hợp tác trong phát triển khoáng sản bền vững để hỗ trợ phát triển các công nghệ liên quan.</w:t>
      </w:r>
    </w:p>
    <w:p w14:paraId="66CB8B82" w14:textId="77777777" w:rsidR="006575CC" w:rsidRDefault="009F2BF5">
      <w:pPr>
        <w:numPr>
          <w:ilvl w:val="0"/>
          <w:numId w:val="10"/>
        </w:numPr>
      </w:pPr>
      <w:proofErr w:type="gramStart"/>
      <w:r>
        <w:rPr>
          <w:b/>
          <w:bCs/>
          <w:u w:val="single"/>
        </w:rPr>
        <w:t>An</w:t>
      </w:r>
      <w:proofErr w:type="gramEnd"/>
      <w:r>
        <w:rPr>
          <w:b/>
          <w:bCs/>
          <w:u w:val="single"/>
        </w:rPr>
        <w:t xml:space="preserve"> ninh lương thực/năng lượng. </w:t>
      </w:r>
      <w:r>
        <w:t>Trong khi GCC giàu dầu mỏ và khí đốt, khu vực này có tài nguyên nông nghiệp hạn chế, dẫn đến sự phụ thuộc cao vào nguồn cung bên ngoài và dễ bị ảnh hưởng bởi gián đoạn chuỗi cung ứng lương thực toàn cầu. Bên cạnh đó, tài nguyên nông nghiệp ít ỏi cũng bị hạn chế bởi tình trạng khan hiếm nước. Với dân số ngày càng tăng, khu vực trở nên dễ bị thiếu an ninh lương thực hơn. Ngược lại, ASEAN là một nhà cung cấp lương thực lớn trên thế giới. Ví dụ, ít nhất hai quốc gia thành viên (Thái Lan và Việt Nam) nằm trong nhóm xuất khẩu gạo lớn nhất. Các sản phẩm thủy sản, thịt, cũng như cây trồng, cũng rất phong phú tại ASEAN. Hầu hết các quốc gia GCC đang thực hiện các biện pháp giảm thiểu rủi ro thiếu lương thực, chẳng hạn như thúc đẩy canh tác thẳng đứng, đa dạng hóa nguồn cung thực phẩm, dự trữ lương thực, v.v. Tuy nhiên, như một phần của việc thắt chặt quan hệ kinh tế ASEAN-GCC và góp phần vào nỗ lực đảm bảo an ninh lương thực của GCC, khuyến nghị rằng ASEAN cân nhắc khuyến khích GCC đầu tư vào sản xuất thực phẩm và nông sản ở nước ngoài, bao gồm nhưng không giới hạn ở việc đầu tư vào đất nông nghiệp và ngành chế biến thực phẩm tại các quốc gia thành viên ASEAN, đặc biệt là thực phẩm halal, nhằm đảm bảo nguồn cung thực phẩm và nông sản ổn định, an toàn và bền vững.</w:t>
      </w:r>
    </w:p>
    <w:p w14:paraId="29B3FA35" w14:textId="77777777" w:rsidR="006575CC" w:rsidRDefault="009F2BF5">
      <w:pPr>
        <w:numPr>
          <w:ilvl w:val="0"/>
          <w:numId w:val="10"/>
        </w:numPr>
      </w:pPr>
      <w:proofErr w:type="gramStart"/>
      <w:r>
        <w:t>An</w:t>
      </w:r>
      <w:proofErr w:type="gramEnd"/>
      <w:r>
        <w:t xml:space="preserve"> ninh năng lượng là một thách thức lớn đối với ASEAN do các quốc gia thành viên phụ thuộc nhiều vào nguồn năng lượng bên ngoài, bao gồm cả các quốc gia GCC, đặc biệt là dầu và khí đốt. Sự phụ thuộc lớn vào nhập khẩu dầu khí khiến khu vực này không chỉ dễ bị gián đoạn chuỗi cung ứng toàn cầu mà còn chịu rủi ro từ các căng thẳng địa chính trị – đặc biệt ở các khu vực sản xuất dầu – và biến động giá năng lượng. Để đối phó với thách thức này và đảm bảo an ninh năng lượng, ASEAN đã triển khai một số sáng kiến, bao gồm Kế hoạch Hành động Hợp tác Năng lượng ASEAN (APAEC), cung cấp khung triển khai các sáng kiến nhằm đạt hiệu quả năng lượng và phát triển bền vững. ASEAN cũng có Hiệp định </w:t>
      </w:r>
      <w:proofErr w:type="gramStart"/>
      <w:r>
        <w:t>An</w:t>
      </w:r>
      <w:proofErr w:type="gramEnd"/>
      <w:r>
        <w:t xml:space="preserve"> ninh Dầu khí ASEAN </w:t>
      </w:r>
      <w:r>
        <w:lastRenderedPageBreak/>
        <w:t>(APSA), cho phép, trong số các nội dung khác, việc xây dựng dự trữ và các biện pháp ứng phó khẩn cấp phối hợp.</w:t>
      </w:r>
    </w:p>
    <w:p w14:paraId="78928005" w14:textId="30DE49C5" w:rsidR="006575CC" w:rsidRDefault="009F2BF5">
      <w:pPr>
        <w:numPr>
          <w:ilvl w:val="0"/>
          <w:numId w:val="10"/>
        </w:numPr>
      </w:pPr>
      <w:r>
        <w:t xml:space="preserve">Bên cạnh đó, </w:t>
      </w:r>
      <w:r w:rsidR="00F1697E">
        <w:t>Lưới điện ASEAN (</w:t>
      </w:r>
      <w:r>
        <w:t xml:space="preserve">APG </w:t>
      </w:r>
      <w:r w:rsidR="00F1697E">
        <w:t xml:space="preserve">- </w:t>
      </w:r>
      <w:r>
        <w:t>ASEAN Power Grid)</w:t>
      </w:r>
      <w:r>
        <w:rPr>
          <w:vertAlign w:val="superscript"/>
        </w:rPr>
        <w:footnoteReference w:id="15"/>
      </w:r>
      <w:r>
        <w:t xml:space="preserve"> </w:t>
      </w:r>
      <w:r w:rsidR="00F1697E">
        <w:t>l</w:t>
      </w:r>
      <w:r>
        <w:t>à cơ chế kết nối điện được các Lãnh đạo ASEAN thông qua năm 1997 nhằm đảm bảo an ninh năng lượng trong khu vực bằng cách thúc đẩy sử dụng hiệu quả và cho phép các quốc gia thành viên chia sẻ nguồn lực trong trường hợp thiếu hụt điện. APG ban đầu được xây dựng trên cơ sở song phương xuyên biên giới, sau đó mở rộng sang cấp tiểu khu vực và cuối cùng trở thành một hệ thống tích hợp toàn khu vực. APG cũng cho phép các quốc gia thành viên khai thác các nguồn năng lượng tái tạo, đặc biệt là ở những khu vực có nguồn lực dồi dào, và chia sẻ chúng với các quốc gia khác.</w:t>
      </w:r>
    </w:p>
    <w:p w14:paraId="27462592" w14:textId="77777777" w:rsidR="006575CC" w:rsidRDefault="009F2BF5">
      <w:pPr>
        <w:numPr>
          <w:ilvl w:val="0"/>
          <w:numId w:val="10"/>
        </w:numPr>
      </w:pPr>
      <w:r>
        <w:t>Nhằm mục tiêu thắt chặt quan hệ kinh tế ASEAN-GCC, nghiên cứu này đề xuất rằng ASEAN cân nhắc đề xuất GCC: (i) xây dựng dự trữ, tận dụng APSA, và thiết lập cơ chế ứng phó khẩn cấp phối hợp; và (ii) được khuyến khích đầu tư Quỹ Phúc lợi Chủ quyền (Sovereign Welfare Fund – SWF) vào APG và tài trợ các dự án năng lượng sạch.</w:t>
      </w:r>
    </w:p>
    <w:p w14:paraId="491C1F4A" w14:textId="77777777" w:rsidR="006575CC" w:rsidRDefault="006575CC"/>
    <w:p w14:paraId="56E93E23" w14:textId="77777777" w:rsidR="006575CC" w:rsidRDefault="009F2BF5">
      <w:pPr>
        <w:rPr>
          <w:b/>
          <w:bCs/>
          <w:sz w:val="28"/>
          <w:szCs w:val="28"/>
        </w:rPr>
      </w:pPr>
      <w:r>
        <w:br w:type="page"/>
      </w:r>
    </w:p>
    <w:p w14:paraId="4D019FE7" w14:textId="77777777" w:rsidR="006575CC" w:rsidRDefault="009F2BF5">
      <w:pPr>
        <w:pStyle w:val="Heading1"/>
        <w:spacing w:before="360" w:after="80"/>
      </w:pPr>
      <w:bookmarkStart w:id="42" w:name="_heading=h.fr0lxro3gij0" w:colFirst="0" w:colLast="0"/>
      <w:bookmarkEnd w:id="42"/>
      <w:r>
        <w:rPr>
          <w:sz w:val="28"/>
          <w:szCs w:val="28"/>
        </w:rPr>
        <w:lastRenderedPageBreak/>
        <w:t>Phần 4: Kết luận và khuyến nghị</w:t>
      </w:r>
    </w:p>
    <w:p w14:paraId="52603CEE" w14:textId="77777777" w:rsidR="006575CC" w:rsidRDefault="009F2BF5">
      <w:pPr>
        <w:numPr>
          <w:ilvl w:val="0"/>
          <w:numId w:val="10"/>
        </w:numPr>
      </w:pPr>
      <w:r>
        <w:t>Xét về tầm quan trọng kinh tế của cả ASEAN và GCC, cũng như vai trò quan trọng mà họ đóng trong chuỗi giá trị toàn cầu, việc thắt chặt quan hệ kinh tế ASEAN-GCC sẽ mang lại lợi ích cho cả hai bên, không chỉ trong bối cảnh khu vực mà còn ở tầm toàn cầu. Tuy nhiên, mặc dù FTA ASEAN-GCC có thể được coi là bước đi tiếp theo mong muốn trong việc tăng cường quan hệ kinh tế ASEAN-GCC, trước những thách thức tiềm ẩn, có thể cần xem xét một cách tiếp cận thực tế và thực dụng hơn nhằm hướng tới quan hệ kinh tế sâu hơn, với FTA ASEAN-GCC như một tầm nhìn dài hạn. Cách tiếp cận này, có thể được coi là tiếp cận từng bước (building-block approach), cũng sẽ cho phép các quốc gia GCC, cả tập thể hoặc riêng lẻ, hoàn tất các cuộc đàm phán FTA song phương đang diễn ra với các quốc gia thành viên ASEAN.</w:t>
      </w:r>
    </w:p>
    <w:p w14:paraId="510E5266" w14:textId="77777777" w:rsidR="006575CC" w:rsidRDefault="009F2BF5">
      <w:pPr>
        <w:numPr>
          <w:ilvl w:val="0"/>
          <w:numId w:val="10"/>
        </w:numPr>
      </w:pPr>
      <w:r>
        <w:t>Quan hệ kinh tế sâu hơn không nhất thiết đồng nghĩa với việc khởi động ngay các cuộc đàm phán FTA, bởi có nhiều yếu tố cần cân nhắc trước khi ra quyết định thực tế. Lợi ích kinh tế đơn thuần, đặc biệt nếu chỉ xét trong bối cảnh khu vực, có thể chưa đủ lý do để khởi động đàm phán FTA. Chỉ riêng trong ASEAN, có thể cần xem xét kỹ lưỡng chi phí và lợi ích từ FTA đối với từng quốc gia thành viên để đưa ra quyết định dựa trên bằng chứng kinh tế thực tiễn. Vậy làm thế nào ASEAN và GCC có thể thắt chặt quan hệ kinh tế mà không cần khởi động đàm phán FTA ngay lúc này?</w:t>
      </w:r>
    </w:p>
    <w:p w14:paraId="2D7BE806" w14:textId="77777777" w:rsidR="006575CC" w:rsidRDefault="009F2BF5">
      <w:pPr>
        <w:numPr>
          <w:ilvl w:val="0"/>
          <w:numId w:val="10"/>
        </w:numPr>
      </w:pPr>
      <w:r>
        <w:t>Khuôn khổ Hợp tác ASEAN-GCC (2024-2028), một tài liệu kết quả từ Hội nghị Thượng đỉnh ASEAN-GCC tại Riyadh, nêu rằng cả hai bên sẽ “tiến hành các cuộc tham vấn thêm để khám phá các cơ hội mới về thương mại, đầu tư và hợp tác kỹ thuật giữa ASEAN và GCC, bao gồm khả năng xây dựng một khuôn khổ hợp tác về kinh tế, thương mại, kỹ thuật và đầu tư.” Tài liệu cũng lưu ý rằng một “khuôn khổ hợp tác về kinh tế, thương mại, kỹ thuật và đầu tư” hoặc một “hiệp định khung về hợp tác kinh tế toàn diện,” trong trường hợp ASEAN, có thể được coi là bước đầu tiên hướng tới khởi động đàm phán FTA.</w:t>
      </w:r>
    </w:p>
    <w:p w14:paraId="05810746" w14:textId="77777777" w:rsidR="006575CC" w:rsidRDefault="009F2BF5">
      <w:pPr>
        <w:numPr>
          <w:ilvl w:val="0"/>
          <w:numId w:val="10"/>
        </w:numPr>
      </w:pPr>
      <w:r>
        <w:t>Do đó, nghiên cứu này đề xuất rằng ASEAN và GCC trước tiên nên xem xét việc phát triển một khuôn khổ/hiệp định hợp tác, không chỉ như bước tiếp theo của Khuôn khổ Hợp tác Riyadh, mà quan trọng hơn, như một bước chiến lược đầu tiên để hướng tới một quan hệ đối tác kinh tế sâu rộng và gắn kết hơn. Khuôn khổ/hiệp định được đề xuất này nên có khả năng làm nền tảng để thực hiện các “thu hoạch sớm” theo từng lĩnh vực, tức là bốn lĩnh vực rộng lớn cho hợp tác theo ngành: tăng cường hội nhập kinh tế khu vực; chuyển đổi số; phát triển bền vững; và an ninh lương thực/năng lượng, như đã thảo luận trong Phần 3. Với FTA ASEAN-GCC là mục tiêu cuối cùng, nghiên cứu cũng đề xuất tiến hành một nghiên cứu khả thi chung để đánh giá sâu về chi phí và lợi ích kinh tế đối với cả ASEAN và GCC của một FTA tiềm năng giữa hai bên.</w:t>
      </w:r>
    </w:p>
    <w:p w14:paraId="4200BAC8" w14:textId="341E65EE" w:rsidR="006575CC" w:rsidRDefault="009F2BF5">
      <w:pPr>
        <w:numPr>
          <w:ilvl w:val="0"/>
          <w:numId w:val="10"/>
        </w:numPr>
      </w:pPr>
      <w:r>
        <w:t xml:space="preserve">Cuối cùng, nhận thấy cần duy trì động lực sau khi dự kiến thông qua Tuyên bố về Quan hệ Kinh tế ASEAN-GCC tại Hội nghị Thượng đỉnh ASEAN-GCC lần thứ 2 diễn ra vào tháng 5/2025 tại Malaysia, nghiên cứu tiếp tục khuyến nghị cân nhắc thiết lập một cơ chế thể chế. Cơ quan thể chế này được kỳ vọng sẽ làm việc về việc thắt chặt và mở rộng quan hệ đối tác kinh tế ASEAN-GCC, phù hợp với Tuyên bố, cũng như </w:t>
      </w:r>
      <w:r>
        <w:lastRenderedPageBreak/>
        <w:t>phát triển “khuôn khổ/hiệp định hợp tác” làm nền tảng cho việc triển khai các hợp tác theo ngành.</w:t>
      </w:r>
    </w:p>
    <w:p w14:paraId="310A66E5" w14:textId="77777777" w:rsidR="006575CC" w:rsidRDefault="009F2BF5">
      <w:bookmarkStart w:id="43" w:name="_heading=h.v1o34m8crlzj" w:colFirst="0" w:colLast="0"/>
      <w:bookmarkEnd w:id="43"/>
      <w:r>
        <w:rPr>
          <w:b/>
          <w:bCs/>
          <w:sz w:val="28"/>
          <w:szCs w:val="28"/>
        </w:rPr>
        <w:t>Tài liệu tham khảo</w:t>
      </w:r>
    </w:p>
    <w:p w14:paraId="771A29AB" w14:textId="77777777" w:rsidR="006575CC" w:rsidRDefault="009F2BF5">
      <w:pPr>
        <w:rPr>
          <w:color w:val="1155CC"/>
          <w:u w:val="single"/>
        </w:rPr>
      </w:pPr>
      <w:r>
        <w:t xml:space="preserve">ASEAN Centre for Energy. (n.d.). </w:t>
      </w:r>
      <w:r>
        <w:rPr>
          <w:b/>
          <w:bCs/>
        </w:rPr>
        <w:t>Lưới điện ASEAN (ASEAN power grid)</w:t>
      </w:r>
      <w:r>
        <w:t>.</w:t>
      </w:r>
      <w:hyperlink r:id="rId66">
        <w:r>
          <w:t xml:space="preserve"> </w:t>
        </w:r>
      </w:hyperlink>
      <w:hyperlink r:id="rId67">
        <w:r>
          <w:rPr>
            <w:color w:val="1155CC"/>
            <w:u w:val="single"/>
          </w:rPr>
          <w:t>https://aseanenergy.org/apaec/asean-power-grid/</w:t>
        </w:r>
      </w:hyperlink>
    </w:p>
    <w:p w14:paraId="41BD7417" w14:textId="77777777" w:rsidR="006575CC" w:rsidRDefault="009F2BF5">
      <w:pPr>
        <w:rPr>
          <w:color w:val="1155CC"/>
          <w:u w:val="single"/>
        </w:rPr>
      </w:pPr>
      <w:r>
        <w:t xml:space="preserve">ASEANStats. (n.d.). </w:t>
      </w:r>
      <w:r>
        <w:rPr>
          <w:b/>
          <w:bCs/>
        </w:rPr>
        <w:t>Thống kê ASEAN (ASEAN statistics)</w:t>
      </w:r>
      <w:r>
        <w:t>.</w:t>
      </w:r>
      <w:hyperlink r:id="rId68">
        <w:r>
          <w:t xml:space="preserve"> </w:t>
        </w:r>
      </w:hyperlink>
      <w:hyperlink r:id="rId69">
        <w:r>
          <w:rPr>
            <w:color w:val="1155CC"/>
            <w:u w:val="single"/>
          </w:rPr>
          <w:t>https://data.aseanstats.org</w:t>
        </w:r>
      </w:hyperlink>
    </w:p>
    <w:p w14:paraId="1C1B70A6" w14:textId="77777777" w:rsidR="006575CC" w:rsidRDefault="009F2BF5">
      <w:pPr>
        <w:rPr>
          <w:color w:val="1155CC"/>
          <w:u w:val="single"/>
        </w:rPr>
      </w:pPr>
      <w:r>
        <w:t xml:space="preserve">The ASEAN Magazine. (n.d.). </w:t>
      </w:r>
      <w:r>
        <w:rPr>
          <w:b/>
          <w:bCs/>
        </w:rPr>
        <w:t>Hiệp định Khung Kinh tế Số ASEAN (The ASEAN Digital Economy Framework Agreement)</w:t>
      </w:r>
      <w:r>
        <w:t>. Truy cập từ</w:t>
      </w:r>
      <w:hyperlink r:id="rId70">
        <w:r>
          <w:t xml:space="preserve"> </w:t>
        </w:r>
      </w:hyperlink>
      <w:hyperlink r:id="rId71">
        <w:r>
          <w:rPr>
            <w:color w:val="1155CC"/>
            <w:u w:val="single"/>
          </w:rPr>
          <w:t>https://theaseanmagazine.asean.org/article/the-asean-digital-economy-framework-agreement/</w:t>
        </w:r>
      </w:hyperlink>
    </w:p>
    <w:p w14:paraId="63BD3F0F" w14:textId="77777777" w:rsidR="006575CC" w:rsidRDefault="009F2BF5">
      <w:pPr>
        <w:rPr>
          <w:color w:val="1155CC"/>
          <w:u w:val="single"/>
        </w:rPr>
      </w:pPr>
      <w:r>
        <w:t xml:space="preserve">ASEAN Secretariat. (2020, November). </w:t>
      </w:r>
      <w:r>
        <w:rPr>
          <w:b/>
          <w:bCs/>
        </w:rPr>
        <w:t>Tóm tắt Hiệp định RCEP (Summary of the RCEP agreement)</w:t>
      </w:r>
      <w:r>
        <w:t>.</w:t>
      </w:r>
      <w:hyperlink r:id="rId72">
        <w:r>
          <w:t xml:space="preserve"> </w:t>
        </w:r>
      </w:hyperlink>
      <w:hyperlink r:id="rId73">
        <w:r>
          <w:rPr>
            <w:color w:val="1155CC"/>
            <w:u w:val="single"/>
          </w:rPr>
          <w:t>https://asean.org/wp-content/uploads/2020/11/Summary-of-the-RCEP-Agreement.pdf</w:t>
        </w:r>
      </w:hyperlink>
    </w:p>
    <w:p w14:paraId="6E290979" w14:textId="77777777" w:rsidR="006575CC" w:rsidRDefault="009F2BF5">
      <w:pPr>
        <w:rPr>
          <w:color w:val="1155CC"/>
          <w:u w:val="single"/>
        </w:rPr>
      </w:pPr>
      <w:r>
        <w:t xml:space="preserve">ASEAN Secretariat. (2021, October). </w:t>
      </w:r>
      <w:r>
        <w:rPr>
          <w:b/>
          <w:bCs/>
        </w:rPr>
        <w:t>Khuôn khổ kinh tế tuần hoàn ASEAN (ASEAN framework for circular economy)</w:t>
      </w:r>
      <w:r>
        <w:t>.</w:t>
      </w:r>
      <w:hyperlink r:id="rId74">
        <w:r>
          <w:t xml:space="preserve"> </w:t>
        </w:r>
      </w:hyperlink>
      <w:hyperlink r:id="rId75">
        <w:r>
          <w:rPr>
            <w:color w:val="1155CC"/>
            <w:u w:val="single"/>
          </w:rPr>
          <w:t>https://asean.org/wp-content/uploads/2021/10/Brochure-Circular-Economy-Final.pdf</w:t>
        </w:r>
      </w:hyperlink>
    </w:p>
    <w:p w14:paraId="375D5DCB" w14:textId="77777777" w:rsidR="006575CC" w:rsidRDefault="009F2BF5">
      <w:pPr>
        <w:rPr>
          <w:color w:val="1155CC"/>
          <w:u w:val="single"/>
        </w:rPr>
      </w:pPr>
      <w:r>
        <w:t xml:space="preserve">ASEAN Secretariat. (2024, January). </w:t>
      </w:r>
      <w:r>
        <w:rPr>
          <w:b/>
          <w:bCs/>
        </w:rPr>
        <w:t>Chiến lược ASEAN về trung hòa carbon (ASEAN strategy for carbon neutrality)</w:t>
      </w:r>
      <w:r>
        <w:t>.</w:t>
      </w:r>
      <w:hyperlink r:id="rId76">
        <w:r>
          <w:t xml:space="preserve"> </w:t>
        </w:r>
      </w:hyperlink>
      <w:hyperlink r:id="rId77">
        <w:r>
          <w:rPr>
            <w:color w:val="1155CC"/>
            <w:u w:val="single"/>
          </w:rPr>
          <w:t>https://asean.org/wp-content/uploads/2024/01/ASEAN-for-Business-Bulletin-January-2024.pdf</w:t>
        </w:r>
      </w:hyperlink>
    </w:p>
    <w:p w14:paraId="13E411E3" w14:textId="77777777" w:rsidR="006575CC" w:rsidRDefault="009F2BF5">
      <w:pPr>
        <w:rPr>
          <w:color w:val="1155CC"/>
          <w:u w:val="single"/>
        </w:rPr>
      </w:pPr>
      <w:r>
        <w:t xml:space="preserve">CEIC Data. (2024). </w:t>
      </w:r>
      <w:r>
        <w:rPr>
          <w:b/>
          <w:bCs/>
        </w:rPr>
        <w:t>Cơ sở dữ liệu toàn cầu CEIC (CEIC Global Database) [Bộ dữ liệu]</w:t>
      </w:r>
      <w:r>
        <w:t>. Truy cập 30/04/2025 từ</w:t>
      </w:r>
      <w:hyperlink r:id="rId78">
        <w:r>
          <w:t xml:space="preserve"> </w:t>
        </w:r>
      </w:hyperlink>
      <w:hyperlink r:id="rId79">
        <w:r>
          <w:rPr>
            <w:color w:val="1155CC"/>
            <w:u w:val="single"/>
          </w:rPr>
          <w:t>https://insights.ceicdata.com/</w:t>
        </w:r>
      </w:hyperlink>
    </w:p>
    <w:p w14:paraId="2F8EDC7A" w14:textId="77777777" w:rsidR="006575CC" w:rsidRDefault="009F2BF5">
      <w:pPr>
        <w:rPr>
          <w:color w:val="1155CC"/>
          <w:u w:val="single"/>
        </w:rPr>
      </w:pPr>
      <w:r>
        <w:t xml:space="preserve">CEPII. (2022). </w:t>
      </w:r>
      <w:r>
        <w:rPr>
          <w:b/>
          <w:bCs/>
        </w:rPr>
        <w:t>Cơ sở dữ liệu Gravity (Gravity database, Phiên bản 202211) [Bộ dữ liệu]</w:t>
      </w:r>
      <w:r>
        <w:t>.</w:t>
      </w:r>
      <w:hyperlink r:id="rId80">
        <w:r>
          <w:t xml:space="preserve"> </w:t>
        </w:r>
      </w:hyperlink>
      <w:hyperlink r:id="rId81">
        <w:r>
          <w:rPr>
            <w:color w:val="1155CC"/>
            <w:u w:val="single"/>
          </w:rPr>
          <w:t>https://www.cepii.fr/CEPII/en/bdd_modele/bdd_modele_item.asp?id=8</w:t>
        </w:r>
      </w:hyperlink>
    </w:p>
    <w:p w14:paraId="16ACF1D7" w14:textId="77777777" w:rsidR="006575CC" w:rsidRDefault="009F2BF5">
      <w:pPr>
        <w:rPr>
          <w:color w:val="1155CC"/>
          <w:u w:val="single"/>
        </w:rPr>
      </w:pPr>
      <w:r>
        <w:t xml:space="preserve">Dissanayake, A. (n.d.). </w:t>
      </w:r>
      <w:r>
        <w:rPr>
          <w:b/>
          <w:bCs/>
        </w:rPr>
        <w:t>Transforming GCC vision for a brighter future</w:t>
      </w:r>
      <w:r>
        <w:t>. LinkedIn.</w:t>
      </w:r>
      <w:hyperlink r:id="rId82">
        <w:r>
          <w:t xml:space="preserve"> </w:t>
        </w:r>
      </w:hyperlink>
      <w:hyperlink r:id="rId83">
        <w:r>
          <w:rPr>
            <w:color w:val="1155CC"/>
            <w:u w:val="single"/>
          </w:rPr>
          <w:t>https://www.linkedin.com/pulse/transforming-gcc-vision-brighter-future-dissanayake-assoc-cipd--jpt1f</w:t>
        </w:r>
      </w:hyperlink>
    </w:p>
    <w:p w14:paraId="03C67D75" w14:textId="77777777" w:rsidR="006575CC" w:rsidRDefault="009F2BF5">
      <w:pPr>
        <w:rPr>
          <w:color w:val="1155CC"/>
          <w:u w:val="single"/>
        </w:rPr>
      </w:pPr>
      <w:r>
        <w:t xml:space="preserve">Dubai Trade. (n.d.). </w:t>
      </w:r>
      <w:r>
        <w:rPr>
          <w:b/>
          <w:bCs/>
        </w:rPr>
        <w:t>Về chúng tôi (About us)</w:t>
      </w:r>
      <w:r>
        <w:t>.</w:t>
      </w:r>
      <w:hyperlink r:id="rId84">
        <w:r>
          <w:t xml:space="preserve"> </w:t>
        </w:r>
      </w:hyperlink>
      <w:hyperlink r:id="rId85">
        <w:r>
          <w:rPr>
            <w:color w:val="1155CC"/>
            <w:u w:val="single"/>
          </w:rPr>
          <w:t>https://www.dubaitrade.ae/en/about-us</w:t>
        </w:r>
      </w:hyperlink>
    </w:p>
    <w:p w14:paraId="70C79564" w14:textId="77777777" w:rsidR="006575CC" w:rsidRDefault="009F2BF5">
      <w:pPr>
        <w:rPr>
          <w:color w:val="1155CC"/>
          <w:u w:val="single"/>
        </w:rPr>
      </w:pPr>
      <w:r>
        <w:t xml:space="preserve">Economist Intelligence Unit. (2025). </w:t>
      </w:r>
      <w:r>
        <w:rPr>
          <w:b/>
          <w:bCs/>
        </w:rPr>
        <w:t>EIU Viewpoint [Bộ dữ liệu]</w:t>
      </w:r>
      <w:r>
        <w:t>. Truy cập 30/04/2025 từ</w:t>
      </w:r>
      <w:hyperlink r:id="rId86">
        <w:r>
          <w:t xml:space="preserve"> </w:t>
        </w:r>
      </w:hyperlink>
      <w:hyperlink r:id="rId87">
        <w:r>
          <w:rPr>
            <w:color w:val="1155CC"/>
            <w:u w:val="single"/>
          </w:rPr>
          <w:t>https://viewpoint.eiu.com/data/</w:t>
        </w:r>
      </w:hyperlink>
    </w:p>
    <w:p w14:paraId="33BB1DC2" w14:textId="77777777" w:rsidR="006575CC" w:rsidRDefault="009F2BF5">
      <w:pPr>
        <w:rPr>
          <w:color w:val="1155CC"/>
          <w:u w:val="single"/>
        </w:rPr>
      </w:pPr>
      <w:r>
        <w:t xml:space="preserve">Ellard, A. (2025, February 26). </w:t>
      </w:r>
      <w:r>
        <w:rPr>
          <w:b/>
          <w:bCs/>
        </w:rPr>
        <w:t>Tạo thuận lợi thương mại: Ý nghĩa đối với thương mại toàn cầu (Trade facilitation: What it means for global trade)</w:t>
      </w:r>
      <w:r>
        <w:t>. WTO Blog.</w:t>
      </w:r>
      <w:hyperlink r:id="rId88">
        <w:r>
          <w:t xml:space="preserve"> </w:t>
        </w:r>
      </w:hyperlink>
      <w:hyperlink r:id="rId89">
        <w:r>
          <w:rPr>
            <w:color w:val="1155CC"/>
            <w:u w:val="single"/>
          </w:rPr>
          <w:t>https://www.wto.org/english/blogs_e/ddg_angela_ellard_e/blog_ae_26feb25_e.htm</w:t>
        </w:r>
      </w:hyperlink>
    </w:p>
    <w:p w14:paraId="2C715BD7" w14:textId="77777777" w:rsidR="006575CC" w:rsidRDefault="009F2BF5">
      <w:r>
        <w:lastRenderedPageBreak/>
        <w:t xml:space="preserve">ERIA. (2025). </w:t>
      </w:r>
      <w:r>
        <w:rPr>
          <w:b/>
          <w:bCs/>
        </w:rPr>
        <w:t>Một cách tiếp cận chiến lược để tăng cường quan hệ kinh tế ASEAN-GCC: Tài liệu bổ sung về phương pháp định lượng và phân tích [Bản thảo chưa xuất bản]</w:t>
      </w:r>
      <w:r>
        <w:t>. Economic Research Institute for ASEAN and East Asia.</w:t>
      </w:r>
    </w:p>
    <w:p w14:paraId="13DD2212" w14:textId="77777777" w:rsidR="006575CC" w:rsidRDefault="009F2BF5">
      <w:pPr>
        <w:rPr>
          <w:color w:val="1155CC"/>
          <w:u w:val="single"/>
        </w:rPr>
      </w:pPr>
      <w:r>
        <w:t xml:space="preserve">General Secretariat for Development Planning, Qatar. (2008). </w:t>
      </w:r>
      <w:r>
        <w:rPr>
          <w:b/>
          <w:bCs/>
        </w:rPr>
        <w:t>Tầm nhìn quốc gia Qatar 2030 (Qatar national vision 2030)</w:t>
      </w:r>
      <w:r>
        <w:t>.</w:t>
      </w:r>
      <w:hyperlink r:id="rId90">
        <w:r>
          <w:t xml:space="preserve"> </w:t>
        </w:r>
      </w:hyperlink>
      <w:hyperlink r:id="rId91">
        <w:r>
          <w:rPr>
            <w:color w:val="1155CC"/>
            <w:u w:val="single"/>
          </w:rPr>
          <w:t>https://www.gco.gov.qa/en/state-of-qatar/qatar-national-vision-2030/our-story/</w:t>
        </w:r>
      </w:hyperlink>
    </w:p>
    <w:p w14:paraId="2570D3A6" w14:textId="77777777" w:rsidR="006575CC" w:rsidRDefault="009F2BF5">
      <w:pPr>
        <w:rPr>
          <w:color w:val="1155CC"/>
          <w:u w:val="single"/>
        </w:rPr>
      </w:pPr>
      <w:r>
        <w:t xml:space="preserve">Gulf Cooperation Council Secretariat. (2023, April 5). </w:t>
      </w:r>
      <w:r>
        <w:rPr>
          <w:b/>
          <w:bCs/>
        </w:rPr>
        <w:t>Tin tức (News)</w:t>
      </w:r>
      <w:r>
        <w:t>.</w:t>
      </w:r>
      <w:hyperlink r:id="rId92">
        <w:r>
          <w:t xml:space="preserve"> </w:t>
        </w:r>
      </w:hyperlink>
      <w:hyperlink r:id="rId93">
        <w:r>
          <w:rPr>
            <w:color w:val="1155CC"/>
            <w:u w:val="single"/>
          </w:rPr>
          <w:t>https://gcc-sg.org/en/MediaCenter/News/Pages/news2023-4-5-7.aspx</w:t>
        </w:r>
      </w:hyperlink>
    </w:p>
    <w:p w14:paraId="7474493D" w14:textId="77777777" w:rsidR="006575CC" w:rsidRDefault="009F2BF5">
      <w:pPr>
        <w:rPr>
          <w:color w:val="1155CC"/>
          <w:u w:val="single"/>
        </w:rPr>
      </w:pPr>
      <w:r>
        <w:t xml:space="preserve">Government Communications Office (GCO), Qatar. (n.d.). </w:t>
      </w:r>
      <w:r>
        <w:rPr>
          <w:b/>
          <w:bCs/>
        </w:rPr>
        <w:t>Tầm nhìn quốc gia Qatar 2030: Câu chuyện của chúng tôi (Qatar National Vision 2030: Our Story)</w:t>
      </w:r>
      <w:r>
        <w:t>.</w:t>
      </w:r>
      <w:hyperlink r:id="rId94">
        <w:r>
          <w:t xml:space="preserve"> </w:t>
        </w:r>
      </w:hyperlink>
      <w:hyperlink r:id="rId95">
        <w:r>
          <w:rPr>
            <w:color w:val="1155CC"/>
            <w:u w:val="single"/>
          </w:rPr>
          <w:t>https://www.gco.gov.qa/en/state-of-qatar/qatar-national-vision-2030/our-story/</w:t>
        </w:r>
      </w:hyperlink>
    </w:p>
    <w:p w14:paraId="2C2AA35F" w14:textId="77777777" w:rsidR="006575CC" w:rsidRDefault="009F2BF5">
      <w:pPr>
        <w:rPr>
          <w:color w:val="1155CC"/>
          <w:u w:val="single"/>
        </w:rPr>
      </w:pPr>
      <w:r>
        <w:t xml:space="preserve">Green Hydrogen Organisation (GH2). (n.d.). </w:t>
      </w:r>
      <w:r>
        <w:rPr>
          <w:b/>
          <w:bCs/>
        </w:rPr>
        <w:t>Chiến lược Hydro Xanh của Oman (Oman’s Green Hydrogen Strategy)</w:t>
      </w:r>
      <w:r>
        <w:t>.</w:t>
      </w:r>
      <w:hyperlink r:id="rId96">
        <w:r>
          <w:t xml:space="preserve"> </w:t>
        </w:r>
      </w:hyperlink>
      <w:hyperlink r:id="rId97">
        <w:r>
          <w:rPr>
            <w:color w:val="1155CC"/>
            <w:u w:val="single"/>
          </w:rPr>
          <w:t>https://gh2.org/countries/oman</w:t>
        </w:r>
      </w:hyperlink>
    </w:p>
    <w:p w14:paraId="7ACA30E0" w14:textId="77777777" w:rsidR="006575CC" w:rsidRDefault="009F2BF5">
      <w:pPr>
        <w:rPr>
          <w:color w:val="1155CC"/>
          <w:u w:val="single"/>
        </w:rPr>
      </w:pPr>
      <w:r>
        <w:t xml:space="preserve">International Monetary Fund. (2024, October). </w:t>
      </w:r>
      <w:r>
        <w:rPr>
          <w:b/>
          <w:bCs/>
        </w:rPr>
        <w:t>Cơ sở dữ liệu Triển vọng Kinh tế Thế giới (World Economic Outlook database)</w:t>
      </w:r>
      <w:r>
        <w:t>.</w:t>
      </w:r>
      <w:hyperlink r:id="rId98">
        <w:r>
          <w:t xml:space="preserve"> </w:t>
        </w:r>
      </w:hyperlink>
      <w:hyperlink r:id="rId99">
        <w:r>
          <w:rPr>
            <w:color w:val="1155CC"/>
            <w:u w:val="single"/>
          </w:rPr>
          <w:t>https://www.imf.org/en/Publications/WEO</w:t>
        </w:r>
      </w:hyperlink>
    </w:p>
    <w:p w14:paraId="39C1F883" w14:textId="77777777" w:rsidR="006575CC" w:rsidRDefault="009F2BF5">
      <w:pPr>
        <w:rPr>
          <w:color w:val="1155CC"/>
          <w:u w:val="single"/>
        </w:rPr>
      </w:pPr>
      <w:r>
        <w:t xml:space="preserve">Ministry of Energy and Infrastructure, UAE. (2022). </w:t>
      </w:r>
      <w:r>
        <w:rPr>
          <w:b/>
          <w:bCs/>
        </w:rPr>
        <w:t>Chiến lược năng lượng UAE 2050 (UAE energy strategy 2050)</w:t>
      </w:r>
      <w:r>
        <w:t>.</w:t>
      </w:r>
      <w:hyperlink r:id="rId100">
        <w:r>
          <w:t xml:space="preserve"> </w:t>
        </w:r>
      </w:hyperlink>
      <w:hyperlink r:id="rId101">
        <w:r>
          <w:rPr>
            <w:color w:val="1155CC"/>
            <w:u w:val="single"/>
          </w:rPr>
          <w:t>https://u.ae/en/about-the-uae/strategies-initiatives-and-awards/strategies-plans-and-visions/environment-and-energy/uae-energy-strategy-2050</w:t>
        </w:r>
      </w:hyperlink>
    </w:p>
    <w:p w14:paraId="61678C3C" w14:textId="77777777" w:rsidR="006575CC" w:rsidRDefault="009F2BF5">
      <w:pPr>
        <w:rPr>
          <w:color w:val="1155CC"/>
          <w:u w:val="single"/>
        </w:rPr>
      </w:pPr>
      <w:r>
        <w:t xml:space="preserve">Oman Vision 2040 Implementation Follow-up Unit. (n.d.). </w:t>
      </w:r>
      <w:r>
        <w:rPr>
          <w:b/>
          <w:bCs/>
        </w:rPr>
        <w:t>Chiến lược hydro xanh (Green hydrogen strategy)</w:t>
      </w:r>
      <w:r>
        <w:t>.</w:t>
      </w:r>
      <w:hyperlink r:id="rId102">
        <w:r>
          <w:t xml:space="preserve"> </w:t>
        </w:r>
      </w:hyperlink>
      <w:hyperlink r:id="rId103">
        <w:r>
          <w:rPr>
            <w:color w:val="1155CC"/>
            <w:u w:val="single"/>
          </w:rPr>
          <w:t>https://gh2.org/countries/oman</w:t>
        </w:r>
      </w:hyperlink>
    </w:p>
    <w:p w14:paraId="5C7BC10C" w14:textId="77777777" w:rsidR="006575CC" w:rsidRDefault="009F2BF5">
      <w:pPr>
        <w:rPr>
          <w:color w:val="1155CC"/>
          <w:u w:val="single"/>
        </w:rPr>
      </w:pPr>
      <w:r>
        <w:t xml:space="preserve">Qatar Customs. (n.d.). </w:t>
      </w:r>
      <w:r>
        <w:rPr>
          <w:b/>
          <w:bCs/>
        </w:rPr>
        <w:t>Về A-Nadeeb (About A-Nadeeb)</w:t>
      </w:r>
      <w:r>
        <w:t>.</w:t>
      </w:r>
      <w:hyperlink r:id="rId104">
        <w:r>
          <w:t xml:space="preserve"> </w:t>
        </w:r>
      </w:hyperlink>
      <w:hyperlink r:id="rId105">
        <w:r>
          <w:rPr>
            <w:color w:val="1155CC"/>
            <w:u w:val="single"/>
          </w:rPr>
          <w:t>https://www.customs.gov.qa/English/AlNadeeb/Pages/AboutAlnadeeb.aspx</w:t>
        </w:r>
      </w:hyperlink>
    </w:p>
    <w:p w14:paraId="12A9CEBE" w14:textId="77777777" w:rsidR="006575CC" w:rsidRDefault="009F2BF5">
      <w:pPr>
        <w:rPr>
          <w:color w:val="1155CC"/>
          <w:u w:val="single"/>
        </w:rPr>
      </w:pPr>
      <w:r>
        <w:t xml:space="preserve">Qatar Ministry of Environment and Climate Change. (2021). </w:t>
      </w:r>
      <w:r>
        <w:rPr>
          <w:b/>
          <w:bCs/>
        </w:rPr>
        <w:t>Chiến lược quốc gia về môi trường và biến đổi khí hậu Qatar (Qatar national environment and climate change strategy)</w:t>
      </w:r>
      <w:r>
        <w:t>.</w:t>
      </w:r>
      <w:hyperlink r:id="rId106">
        <w:r>
          <w:t xml:space="preserve"> </w:t>
        </w:r>
      </w:hyperlink>
      <w:hyperlink r:id="rId107">
        <w:r>
          <w:rPr>
            <w:color w:val="1155CC"/>
            <w:u w:val="single"/>
          </w:rPr>
          <w:t>https://climate-laws.org/document/qatar-national-environment-and-climate-change-strategy_ac70</w:t>
        </w:r>
      </w:hyperlink>
    </w:p>
    <w:p w14:paraId="176CF949" w14:textId="77777777" w:rsidR="006575CC" w:rsidRDefault="009F2BF5">
      <w:pPr>
        <w:rPr>
          <w:color w:val="1155CC"/>
          <w:u w:val="single"/>
        </w:rPr>
      </w:pPr>
      <w:r>
        <w:t xml:space="preserve">Saudi Arabia Vision 2030. (2016). </w:t>
      </w:r>
      <w:r>
        <w:rPr>
          <w:b/>
          <w:bCs/>
        </w:rPr>
        <w:t>Sáng kiến Xanh Saudi (Saudi Green Initiative)</w:t>
      </w:r>
      <w:r>
        <w:t>.</w:t>
      </w:r>
      <w:hyperlink r:id="rId108">
        <w:r>
          <w:t xml:space="preserve"> </w:t>
        </w:r>
      </w:hyperlink>
      <w:hyperlink r:id="rId109">
        <w:r>
          <w:rPr>
            <w:color w:val="1155CC"/>
            <w:u w:val="single"/>
          </w:rPr>
          <w:t>https://www.vision2030.gov.sa/en/explore/projects/saudi-green-initiative</w:t>
        </w:r>
      </w:hyperlink>
    </w:p>
    <w:p w14:paraId="4AA42A14" w14:textId="77777777" w:rsidR="006575CC" w:rsidRDefault="009F2BF5">
      <w:pPr>
        <w:rPr>
          <w:color w:val="1155CC"/>
          <w:u w:val="single"/>
        </w:rPr>
      </w:pPr>
      <w:r>
        <w:t xml:space="preserve">Saudi Customs. (n.d.). </w:t>
      </w:r>
      <w:r>
        <w:rPr>
          <w:b/>
          <w:bCs/>
        </w:rPr>
        <w:t>Nền tảng tạo thuận lợi thương mại FASAH (FASAH trade facilitation platform)</w:t>
      </w:r>
      <w:r>
        <w:t>.</w:t>
      </w:r>
      <w:hyperlink r:id="rId110">
        <w:r>
          <w:t xml:space="preserve"> </w:t>
        </w:r>
      </w:hyperlink>
      <w:hyperlink r:id="rId111">
        <w:r>
          <w:rPr>
            <w:color w:val="1155CC"/>
            <w:u w:val="single"/>
          </w:rPr>
          <w:t>https://www.fasah.sa/trade/home/en/index.html</w:t>
        </w:r>
      </w:hyperlink>
    </w:p>
    <w:p w14:paraId="16EF22D3" w14:textId="77777777" w:rsidR="006575CC" w:rsidRDefault="009F2BF5">
      <w:pPr>
        <w:rPr>
          <w:color w:val="1155CC"/>
          <w:u w:val="single"/>
        </w:rPr>
      </w:pPr>
      <w:r>
        <w:t xml:space="preserve">Smart Dubai. (n.d.). </w:t>
      </w:r>
      <w:r>
        <w:rPr>
          <w:b/>
          <w:bCs/>
        </w:rPr>
        <w:t>Một thế giới tốt đẹp hơn: Sáng kiến Smart Dubai (A better world: Smart Dubai initiative)</w:t>
      </w:r>
      <w:r>
        <w:t>.</w:t>
      </w:r>
      <w:hyperlink r:id="rId112">
        <w:r>
          <w:t xml:space="preserve"> </w:t>
        </w:r>
      </w:hyperlink>
      <w:hyperlink r:id="rId113">
        <w:r>
          <w:rPr>
            <w:color w:val="1155CC"/>
            <w:u w:val="single"/>
          </w:rPr>
          <w:t>https://www.digitaldubai.ae/docs/default-source/publications/a-better-world-vol-5_sdo.pdf</w:t>
        </w:r>
      </w:hyperlink>
    </w:p>
    <w:p w14:paraId="6F17BF28" w14:textId="77777777" w:rsidR="006575CC" w:rsidRDefault="009F2BF5">
      <w:pPr>
        <w:rPr>
          <w:color w:val="1155CC"/>
          <w:u w:val="single"/>
        </w:rPr>
      </w:pPr>
      <w:r>
        <w:t xml:space="preserve">Sultanate of Oman. (2020). </w:t>
      </w:r>
      <w:r>
        <w:rPr>
          <w:b/>
          <w:bCs/>
        </w:rPr>
        <w:t>Tầm nhìn Oman 2040 (Oman vision 2040)</w:t>
      </w:r>
      <w:r>
        <w:t>.</w:t>
      </w:r>
      <w:hyperlink r:id="rId114">
        <w:r>
          <w:t xml:space="preserve"> </w:t>
        </w:r>
      </w:hyperlink>
      <w:hyperlink r:id="rId115">
        <w:r>
          <w:rPr>
            <w:color w:val="1155CC"/>
            <w:u w:val="single"/>
          </w:rPr>
          <w:t>https://greenoman.com/vision-2040.html</w:t>
        </w:r>
      </w:hyperlink>
    </w:p>
    <w:p w14:paraId="7D0D5ECF" w14:textId="77777777" w:rsidR="006575CC" w:rsidRDefault="009F2BF5">
      <w:pPr>
        <w:rPr>
          <w:color w:val="1155CC"/>
          <w:u w:val="single"/>
        </w:rPr>
      </w:pPr>
      <w:r>
        <w:lastRenderedPageBreak/>
        <w:t xml:space="preserve">Trading Economics. (2024). </w:t>
      </w:r>
      <w:r>
        <w:rPr>
          <w:b/>
          <w:bCs/>
        </w:rPr>
        <w:t>GDP thế giới (US$ hiện tại, World GDP)</w:t>
      </w:r>
      <w:r>
        <w:t>.</w:t>
      </w:r>
      <w:hyperlink r:id="rId116">
        <w:r>
          <w:t xml:space="preserve"> </w:t>
        </w:r>
      </w:hyperlink>
      <w:hyperlink r:id="rId117">
        <w:r>
          <w:rPr>
            <w:color w:val="1155CC"/>
            <w:u w:val="single"/>
          </w:rPr>
          <w:t>https://tradingeconomics.com/world/gdp-us-dollar-wb-data.html</w:t>
        </w:r>
      </w:hyperlink>
    </w:p>
    <w:p w14:paraId="04FB2004" w14:textId="77777777" w:rsidR="006575CC" w:rsidRDefault="009F2BF5">
      <w:pPr>
        <w:rPr>
          <w:color w:val="1155CC"/>
          <w:u w:val="single"/>
        </w:rPr>
      </w:pPr>
      <w:r>
        <w:t xml:space="preserve">UNCTAD. (2016). </w:t>
      </w:r>
      <w:r>
        <w:rPr>
          <w:b/>
          <w:bCs/>
        </w:rPr>
        <w:t>Tạo thuận lợi thương mại và phát triển: Thúc đẩy năng lực cạnh tranh thương mại, hiệu quả cơ quan biên giới và tăng cường quản trị (Trade facilitation and development: Driving trade competitiveness, border agency effectiveness and strengthened governance)</w:t>
      </w:r>
      <w:r>
        <w:t>.</w:t>
      </w:r>
      <w:hyperlink r:id="rId118">
        <w:r>
          <w:t xml:space="preserve"> </w:t>
        </w:r>
      </w:hyperlink>
      <w:hyperlink r:id="rId119">
        <w:r>
          <w:rPr>
            <w:color w:val="1155CC"/>
            <w:u w:val="single"/>
          </w:rPr>
          <w:t>https://unctad.org/system/files/official-document/dtltlb2016d1_en.pdf</w:t>
        </w:r>
      </w:hyperlink>
    </w:p>
    <w:p w14:paraId="3107F3D3" w14:textId="77777777" w:rsidR="006575CC" w:rsidRDefault="009F2BF5">
      <w:r>
        <w:t xml:space="preserve">UNCTAD. (2023). </w:t>
      </w:r>
      <w:r>
        <w:rPr>
          <w:b/>
          <w:bCs/>
        </w:rPr>
        <w:t>Khảo sát tạo thuận lợi thương mại Liên Hợp Quốc 2023 (United Nations Trade Facilitation Survey 2023) [Bộ dữ liệu]</w:t>
      </w:r>
      <w:r>
        <w:t>.</w:t>
      </w:r>
    </w:p>
    <w:p w14:paraId="1921AC3D" w14:textId="77777777" w:rsidR="006575CC" w:rsidRDefault="009F2BF5">
      <w:pPr>
        <w:rPr>
          <w:color w:val="1155CC"/>
          <w:u w:val="single"/>
        </w:rPr>
      </w:pPr>
      <w:r>
        <w:t xml:space="preserve">UNCTAD. </w:t>
      </w:r>
      <w:r>
        <w:rPr>
          <w:b/>
          <w:bCs/>
        </w:rPr>
        <w:t>Hệ thống Thông tin Phân tích Thương mại (TRAINS): Cơ sở dữ liệu các Biện pháp Phi Thuế Quan</w:t>
      </w:r>
      <w:r>
        <w:t>. Truy cập 11/02/2025.</w:t>
      </w:r>
      <w:hyperlink r:id="rId120">
        <w:r>
          <w:t xml:space="preserve"> </w:t>
        </w:r>
      </w:hyperlink>
      <w:hyperlink r:id="rId121">
        <w:r>
          <w:rPr>
            <w:color w:val="1155CC"/>
            <w:u w:val="single"/>
          </w:rPr>
          <w:t>https://trainsonline.unctad.org/detailedSearch</w:t>
        </w:r>
      </w:hyperlink>
    </w:p>
    <w:p w14:paraId="3BD957AF" w14:textId="77777777" w:rsidR="006575CC" w:rsidRDefault="009F2BF5">
      <w:pPr>
        <w:rPr>
          <w:color w:val="1155CC"/>
          <w:u w:val="single"/>
        </w:rPr>
      </w:pPr>
      <w:r>
        <w:t xml:space="preserve">UNCTAD. (n.d.). </w:t>
      </w:r>
      <w:r>
        <w:rPr>
          <w:b/>
          <w:bCs/>
        </w:rPr>
        <w:t>UNCTADStat</w:t>
      </w:r>
      <w:r>
        <w:t>.</w:t>
      </w:r>
      <w:hyperlink r:id="rId122">
        <w:r>
          <w:t xml:space="preserve"> </w:t>
        </w:r>
      </w:hyperlink>
      <w:hyperlink r:id="rId123">
        <w:r>
          <w:rPr>
            <w:color w:val="1155CC"/>
            <w:u w:val="single"/>
          </w:rPr>
          <w:t>https://unctadstat.unctad.org</w:t>
        </w:r>
      </w:hyperlink>
    </w:p>
    <w:p w14:paraId="1C059EE8" w14:textId="77777777" w:rsidR="006575CC" w:rsidRDefault="009F2BF5">
      <w:pPr>
        <w:rPr>
          <w:color w:val="1155CC"/>
          <w:u w:val="single"/>
        </w:rPr>
      </w:pPr>
      <w:r>
        <w:t xml:space="preserve">United Arab Emirates Government. (2021). </w:t>
      </w:r>
      <w:r>
        <w:rPr>
          <w:b/>
          <w:bCs/>
        </w:rPr>
        <w:t>We the UAE 2031</w:t>
      </w:r>
      <w:r>
        <w:t>.</w:t>
      </w:r>
      <w:hyperlink r:id="rId124">
        <w:r>
          <w:t xml:space="preserve"> </w:t>
        </w:r>
      </w:hyperlink>
      <w:hyperlink r:id="rId125">
        <w:r>
          <w:rPr>
            <w:color w:val="1155CC"/>
            <w:u w:val="single"/>
          </w:rPr>
          <w:t>https://wetheuae.ae/en</w:t>
        </w:r>
      </w:hyperlink>
    </w:p>
    <w:p w14:paraId="1EADE4F4" w14:textId="77777777" w:rsidR="006575CC" w:rsidRDefault="009F2BF5">
      <w:pPr>
        <w:rPr>
          <w:color w:val="1155CC"/>
          <w:u w:val="single"/>
        </w:rPr>
      </w:pPr>
      <w:r>
        <w:t xml:space="preserve">United Arab Emirates Government. (n.d.). </w:t>
      </w:r>
      <w:r>
        <w:rPr>
          <w:b/>
          <w:bCs/>
        </w:rPr>
        <w:t>Chiến lược Năng lượng UAE 2050 (UAE Energy Strategy 2050)</w:t>
      </w:r>
      <w:r>
        <w:t>.</w:t>
      </w:r>
      <w:hyperlink r:id="rId126">
        <w:r>
          <w:t xml:space="preserve"> </w:t>
        </w:r>
      </w:hyperlink>
      <w:hyperlink r:id="rId127">
        <w:r>
          <w:rPr>
            <w:color w:val="1155CC"/>
            <w:u w:val="single"/>
          </w:rPr>
          <w:t>https://u.ae/en/about-the-uae/strategies-initiatives-and-awards/strategies-plans-and-visions/environment-and-energy/uae-energy-strategy-2050</w:t>
        </w:r>
      </w:hyperlink>
    </w:p>
    <w:p w14:paraId="103520BD" w14:textId="77777777" w:rsidR="006575CC" w:rsidRDefault="009F2BF5">
      <w:pPr>
        <w:rPr>
          <w:color w:val="1155CC"/>
          <w:u w:val="single"/>
        </w:rPr>
      </w:pPr>
      <w:r>
        <w:t xml:space="preserve">World Bank. </w:t>
      </w:r>
      <w:r>
        <w:rPr>
          <w:b/>
          <w:bCs/>
        </w:rPr>
        <w:t>World Integrated Trade Solution (WITS)</w:t>
      </w:r>
      <w:r>
        <w:t>. Truy cập 11/02/2025.</w:t>
      </w:r>
      <w:hyperlink r:id="rId128">
        <w:r>
          <w:t xml:space="preserve"> </w:t>
        </w:r>
      </w:hyperlink>
      <w:hyperlink r:id="rId129">
        <w:r>
          <w:rPr>
            <w:color w:val="1155CC"/>
            <w:u w:val="single"/>
          </w:rPr>
          <w:t>https://wits.worldbank.org/</w:t>
        </w:r>
      </w:hyperlink>
    </w:p>
    <w:p w14:paraId="613599B2" w14:textId="77777777" w:rsidR="006575CC" w:rsidRDefault="009F2BF5">
      <w:pPr>
        <w:rPr>
          <w:color w:val="1155CC"/>
          <w:u w:val="single"/>
        </w:rPr>
      </w:pPr>
      <w:r>
        <w:t xml:space="preserve">World Trade Organization. (n.d.). </w:t>
      </w:r>
      <w:r>
        <w:rPr>
          <w:b/>
          <w:bCs/>
        </w:rPr>
        <w:t>Thống kê WTO (WTO statistics)</w:t>
      </w:r>
      <w:r>
        <w:t>.</w:t>
      </w:r>
      <w:hyperlink r:id="rId130">
        <w:r>
          <w:t xml:space="preserve"> </w:t>
        </w:r>
      </w:hyperlink>
      <w:hyperlink r:id="rId131">
        <w:r>
          <w:rPr>
            <w:color w:val="1155CC"/>
            <w:u w:val="single"/>
          </w:rPr>
          <w:t>https://stats.wto.org</w:t>
        </w:r>
      </w:hyperlink>
    </w:p>
    <w:p w14:paraId="605633DA" w14:textId="77777777" w:rsidR="006575CC" w:rsidRDefault="009F2BF5">
      <w:pPr>
        <w:rPr>
          <w:color w:val="1155CC"/>
          <w:u w:val="single"/>
        </w:rPr>
      </w:pPr>
      <w:r>
        <w:t xml:space="preserve">World Trade Organization. (n.d.). </w:t>
      </w:r>
      <w:r>
        <w:rPr>
          <w:b/>
          <w:bCs/>
        </w:rPr>
        <w:t>Bản đồ Thương mại ITC (ITC Trade Map)</w:t>
      </w:r>
      <w:r>
        <w:t>.</w:t>
      </w:r>
      <w:hyperlink r:id="rId132">
        <w:r>
          <w:t xml:space="preserve"> </w:t>
        </w:r>
      </w:hyperlink>
      <w:hyperlink r:id="rId133">
        <w:r>
          <w:rPr>
            <w:color w:val="1155CC"/>
            <w:u w:val="single"/>
          </w:rPr>
          <w:t>https://www.trademap.org</w:t>
        </w:r>
      </w:hyperlink>
    </w:p>
    <w:p w14:paraId="66102B81" w14:textId="77777777" w:rsidR="006575CC" w:rsidRDefault="006575CC">
      <w:pPr>
        <w:rPr>
          <w:rFonts w:ascii="Aptos" w:eastAsia="Aptos" w:hAnsi="Aptos" w:cs="Aptos"/>
          <w:b/>
          <w:bCs/>
        </w:rPr>
      </w:pPr>
    </w:p>
    <w:p w14:paraId="1561D0A1" w14:textId="77777777" w:rsidR="006575CC" w:rsidRDefault="009F2BF5">
      <w:r>
        <w:br w:type="page"/>
      </w:r>
    </w:p>
    <w:p w14:paraId="648D5F04" w14:textId="77777777" w:rsidR="006575CC" w:rsidRDefault="009F2BF5">
      <w:pPr>
        <w:jc w:val="right"/>
        <w:rPr>
          <w:b/>
          <w:bCs/>
          <w:sz w:val="28"/>
          <w:szCs w:val="28"/>
        </w:rPr>
      </w:pPr>
      <w:bookmarkStart w:id="44" w:name="_heading=h.u94eerw8e5f2" w:colFirst="0" w:colLast="0"/>
      <w:bookmarkEnd w:id="44"/>
      <w:r>
        <w:rPr>
          <w:b/>
          <w:bCs/>
          <w:sz w:val="28"/>
          <w:szCs w:val="28"/>
        </w:rPr>
        <w:lastRenderedPageBreak/>
        <w:t>PHỤ LỤC 1</w:t>
      </w:r>
    </w:p>
    <w:p w14:paraId="1E8314F1" w14:textId="77777777" w:rsidR="006575CC" w:rsidRDefault="006575CC">
      <w:pPr>
        <w:jc w:val="right"/>
        <w:rPr>
          <w:b/>
          <w:bCs/>
        </w:rPr>
      </w:pPr>
    </w:p>
    <w:p w14:paraId="25C71807" w14:textId="77777777" w:rsidR="006575CC" w:rsidRDefault="009F2BF5">
      <w:pPr>
        <w:pStyle w:val="Heading1"/>
      </w:pPr>
      <w:bookmarkStart w:id="45" w:name="_heading=h.pbju1myzovgq" w:colFirst="0" w:colLast="0"/>
      <w:bookmarkEnd w:id="45"/>
      <w:r>
        <w:t>Bảng A 1. Tóm tắt Tài liệu Tầm nhìn của các quốc gia GCC</w:t>
      </w:r>
    </w:p>
    <w:p w14:paraId="61F17A0A" w14:textId="77777777" w:rsidR="006575CC" w:rsidRDefault="006575CC">
      <w:pPr>
        <w:rPr>
          <w:i/>
          <w:iCs/>
          <w:color w:val="C00000"/>
        </w:rPr>
      </w:pPr>
    </w:p>
    <w:tbl>
      <w:tblPr>
        <w:tblStyle w:val="1"/>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5"/>
        <w:gridCol w:w="2398"/>
        <w:gridCol w:w="2467"/>
        <w:gridCol w:w="2539"/>
      </w:tblGrid>
      <w:tr w:rsidR="006575CC" w14:paraId="593ACC1B" w14:textId="77777777">
        <w:trPr>
          <w:tblHeader/>
        </w:trPr>
        <w:tc>
          <w:tcPr>
            <w:tcW w:w="1605" w:type="dxa"/>
            <w:shd w:val="clear" w:color="auto" w:fill="F1CEEE"/>
          </w:tcPr>
          <w:p w14:paraId="07E3C600" w14:textId="77777777" w:rsidR="006575CC" w:rsidRDefault="009F2BF5">
            <w:pPr>
              <w:jc w:val="center"/>
              <w:rPr>
                <w:b/>
                <w:bCs/>
              </w:rPr>
            </w:pPr>
            <w:r>
              <w:rPr>
                <w:b/>
                <w:bCs/>
              </w:rPr>
              <w:t>GMS</w:t>
            </w:r>
          </w:p>
        </w:tc>
        <w:tc>
          <w:tcPr>
            <w:tcW w:w="2398" w:type="dxa"/>
            <w:shd w:val="clear" w:color="auto" w:fill="F1CEEE"/>
          </w:tcPr>
          <w:p w14:paraId="482FA4D9" w14:textId="77777777" w:rsidR="006575CC" w:rsidRDefault="009F2BF5">
            <w:pPr>
              <w:jc w:val="center"/>
              <w:rPr>
                <w:b/>
                <w:bCs/>
              </w:rPr>
            </w:pPr>
            <w:r>
              <w:rPr>
                <w:b/>
                <w:bCs/>
              </w:rPr>
              <w:t>Tài liệu tầm nhìn</w:t>
            </w:r>
          </w:p>
        </w:tc>
        <w:tc>
          <w:tcPr>
            <w:tcW w:w="2467" w:type="dxa"/>
            <w:shd w:val="clear" w:color="auto" w:fill="F1CEEE"/>
          </w:tcPr>
          <w:p w14:paraId="66D3F12C" w14:textId="77777777" w:rsidR="006575CC" w:rsidRDefault="009F2BF5">
            <w:pPr>
              <w:jc w:val="center"/>
              <w:rPr>
                <w:b/>
                <w:bCs/>
              </w:rPr>
            </w:pPr>
            <w:r>
              <w:rPr>
                <w:b/>
                <w:bCs/>
              </w:rPr>
              <w:t>Mục tiêu</w:t>
            </w:r>
          </w:p>
        </w:tc>
        <w:tc>
          <w:tcPr>
            <w:tcW w:w="2539" w:type="dxa"/>
            <w:shd w:val="clear" w:color="auto" w:fill="F1CEEE"/>
          </w:tcPr>
          <w:p w14:paraId="6BD804BE" w14:textId="77777777" w:rsidR="006575CC" w:rsidRDefault="009F2BF5">
            <w:pPr>
              <w:jc w:val="center"/>
              <w:rPr>
                <w:b/>
                <w:bCs/>
              </w:rPr>
            </w:pPr>
            <w:r>
              <w:rPr>
                <w:b/>
                <w:bCs/>
              </w:rPr>
              <w:t>Các tài liệu chính</w:t>
            </w:r>
          </w:p>
        </w:tc>
      </w:tr>
      <w:tr w:rsidR="006575CC" w14:paraId="6C5E3A13" w14:textId="77777777">
        <w:tc>
          <w:tcPr>
            <w:tcW w:w="1605" w:type="dxa"/>
          </w:tcPr>
          <w:p w14:paraId="3FB514FB" w14:textId="77777777" w:rsidR="006575CC" w:rsidRDefault="009F2BF5">
            <w:r>
              <w:t>Bahrain</w:t>
            </w:r>
          </w:p>
        </w:tc>
        <w:tc>
          <w:tcPr>
            <w:tcW w:w="2398" w:type="dxa"/>
          </w:tcPr>
          <w:p w14:paraId="20F2AD9D" w14:textId="77777777" w:rsidR="006575CC" w:rsidRDefault="009F2BF5">
            <w:r>
              <w:t>Tầm nhìn kinh tế 2030</w:t>
            </w:r>
          </w:p>
        </w:tc>
        <w:tc>
          <w:tcPr>
            <w:tcW w:w="2467" w:type="dxa"/>
          </w:tcPr>
          <w:p w14:paraId="18FB1E01" w14:textId="77777777" w:rsidR="006575CC" w:rsidRDefault="009F2BF5">
            <w:r>
              <w:t>Để biến đất nước thành một trung tâm kinh doanh và tài chính toàn cầu</w:t>
            </w:r>
          </w:p>
        </w:tc>
        <w:tc>
          <w:tcPr>
            <w:tcW w:w="2539" w:type="dxa"/>
          </w:tcPr>
          <w:p w14:paraId="74BAC827" w14:textId="77777777" w:rsidR="006575CC" w:rsidRDefault="009F2BF5">
            <w:pPr>
              <w:numPr>
                <w:ilvl w:val="0"/>
                <w:numId w:val="4"/>
              </w:numPr>
            </w:pPr>
            <w:r>
              <w:t>Khuyến khích đầu tư và tinh thần khởi nghiệp để kích thích tăng trưởng khu vực tư nhân</w:t>
            </w:r>
          </w:p>
          <w:p w14:paraId="3C9D7E6C" w14:textId="77777777" w:rsidR="006575CC" w:rsidRDefault="009F2BF5">
            <w:pPr>
              <w:numPr>
                <w:ilvl w:val="0"/>
                <w:numId w:val="4"/>
              </w:numPr>
            </w:pPr>
            <w:r>
              <w:t>Cung cấp giáo dục và đào tạo phù hợp với nhu cầu thị trường việc làm</w:t>
            </w:r>
          </w:p>
          <w:p w14:paraId="0107D1A0" w14:textId="77777777" w:rsidR="006575CC" w:rsidRDefault="009F2BF5">
            <w:pPr>
              <w:numPr>
                <w:ilvl w:val="0"/>
                <w:numId w:val="4"/>
              </w:numPr>
            </w:pPr>
            <w:r>
              <w:t>Thúc đẩy công bằng xã hội bằng cách đảm bảo mọi người đều được hưởng lợi từ tăng trưởng kinh tế</w:t>
            </w:r>
          </w:p>
          <w:p w14:paraId="2401992E" w14:textId="77777777" w:rsidR="006575CC" w:rsidRDefault="009F2BF5">
            <w:pPr>
              <w:numPr>
                <w:ilvl w:val="0"/>
                <w:numId w:val="4"/>
              </w:numPr>
            </w:pPr>
            <w:r>
              <w:t xml:space="preserve">Thúc đẩy bảo tồn môi trường và phát triển đô thị để đạt được phát triển bền vững </w:t>
            </w:r>
          </w:p>
        </w:tc>
      </w:tr>
      <w:tr w:rsidR="006575CC" w14:paraId="3756E785" w14:textId="77777777">
        <w:tc>
          <w:tcPr>
            <w:tcW w:w="1605" w:type="dxa"/>
          </w:tcPr>
          <w:p w14:paraId="75E6D15D" w14:textId="77777777" w:rsidR="006575CC" w:rsidRDefault="009F2BF5">
            <w:r>
              <w:t>Kuwait</w:t>
            </w:r>
          </w:p>
        </w:tc>
        <w:tc>
          <w:tcPr>
            <w:tcW w:w="2398" w:type="dxa"/>
          </w:tcPr>
          <w:p w14:paraId="32FAD8F1" w14:textId="77777777" w:rsidR="006575CC" w:rsidRDefault="009F2BF5">
            <w:r>
              <w:t>Tầm nhìn 2035</w:t>
            </w:r>
          </w:p>
        </w:tc>
        <w:tc>
          <w:tcPr>
            <w:tcW w:w="2467" w:type="dxa"/>
          </w:tcPr>
          <w:p w14:paraId="5C616EA4" w14:textId="77777777" w:rsidR="006575CC" w:rsidRDefault="009F2BF5">
            <w:r>
              <w:t>Để biến đất nước thành một trung tâm tài chính và thương mại</w:t>
            </w:r>
          </w:p>
        </w:tc>
        <w:tc>
          <w:tcPr>
            <w:tcW w:w="2539" w:type="dxa"/>
          </w:tcPr>
          <w:p w14:paraId="20DE624C" w14:textId="39A9282D" w:rsidR="006575CC" w:rsidRDefault="00F1697E">
            <w:pPr>
              <w:numPr>
                <w:ilvl w:val="0"/>
                <w:numId w:val="18"/>
              </w:numPr>
            </w:pPr>
            <w:r w:rsidRPr="00F1697E">
              <w:t xml:space="preserve">Phát triển các ngành tài chính, </w:t>
            </w:r>
            <w:r>
              <w:t xml:space="preserve">logistics </w:t>
            </w:r>
            <w:r w:rsidRPr="00F1697E">
              <w:t>và du lịch để đa dạng hóa nền kinh tế</w:t>
            </w:r>
          </w:p>
          <w:p w14:paraId="0E6DB37C" w14:textId="72108A71" w:rsidR="006575CC" w:rsidRPr="00F1697E" w:rsidRDefault="00F1697E">
            <w:pPr>
              <w:numPr>
                <w:ilvl w:val="0"/>
                <w:numId w:val="18"/>
              </w:numPr>
            </w:pPr>
            <w:r w:rsidRPr="00F1697E">
              <w:t xml:space="preserve">Đầu tư vào con người bằng cách </w:t>
            </w:r>
            <w:r w:rsidRPr="00F1697E">
              <w:lastRenderedPageBreak/>
              <w:t>nâng cao giáo dục và y tế</w:t>
            </w:r>
          </w:p>
          <w:p w14:paraId="218B6687" w14:textId="1AF1F96C" w:rsidR="006575CC" w:rsidRPr="00F1697E" w:rsidRDefault="00F1697E">
            <w:pPr>
              <w:numPr>
                <w:ilvl w:val="0"/>
                <w:numId w:val="18"/>
              </w:numPr>
            </w:pPr>
            <w:r w:rsidRPr="00F1697E">
              <w:t>Cải thiện quản trị thông qua minh bạch và nâng cao hiệu quả hoạt động của chính phủ</w:t>
            </w:r>
          </w:p>
          <w:p w14:paraId="7BE911A5" w14:textId="55FAB529" w:rsidR="006575CC" w:rsidRPr="00F1697E" w:rsidRDefault="00F1697E">
            <w:pPr>
              <w:numPr>
                <w:ilvl w:val="0"/>
                <w:numId w:val="18"/>
              </w:numPr>
            </w:pPr>
            <w:r w:rsidRPr="00F1697E">
              <w:t>Phát triển cơ sở hạ tầng thông qua các dự án như nhà ga sân bay mới và Thành phố Tơ lụa</w:t>
            </w:r>
          </w:p>
        </w:tc>
      </w:tr>
      <w:tr w:rsidR="006575CC" w14:paraId="5F66D7AE" w14:textId="77777777">
        <w:tc>
          <w:tcPr>
            <w:tcW w:w="1605" w:type="dxa"/>
          </w:tcPr>
          <w:p w14:paraId="1BFCA778" w14:textId="77777777" w:rsidR="006575CC" w:rsidRDefault="009F2BF5">
            <w:r>
              <w:lastRenderedPageBreak/>
              <w:t>Oman</w:t>
            </w:r>
          </w:p>
        </w:tc>
        <w:tc>
          <w:tcPr>
            <w:tcW w:w="2398" w:type="dxa"/>
          </w:tcPr>
          <w:p w14:paraId="46B16B61" w14:textId="32CD9F51" w:rsidR="006575CC" w:rsidRDefault="00F1697E">
            <w:r>
              <w:t xml:space="preserve">Tầm nhìn </w:t>
            </w:r>
            <w:r w:rsidR="009F2BF5">
              <w:t xml:space="preserve">2040: </w:t>
            </w:r>
            <w:r>
              <w:t>Tiến lên với sự tự tin</w:t>
            </w:r>
          </w:p>
        </w:tc>
        <w:tc>
          <w:tcPr>
            <w:tcW w:w="2467" w:type="dxa"/>
          </w:tcPr>
          <w:p w14:paraId="1F713857" w14:textId="7EB7205E" w:rsidR="006575CC" w:rsidRDefault="00F1697E">
            <w:r>
              <w:t>Tạo lập một nền kinh tế đa dạng và bền vững</w:t>
            </w:r>
          </w:p>
        </w:tc>
        <w:tc>
          <w:tcPr>
            <w:tcW w:w="2539" w:type="dxa"/>
          </w:tcPr>
          <w:p w14:paraId="558B1BC0" w14:textId="77777777" w:rsidR="006575CC" w:rsidRDefault="009F2BF5">
            <w:pPr>
              <w:numPr>
                <w:ilvl w:val="0"/>
                <w:numId w:val="17"/>
              </w:numPr>
            </w:pPr>
            <w:r>
              <w:t>Đa dạng hóa nền kinh tế bằng cách phát triển các ngành du lịch, thủy sản, khai khoáng và logistics</w:t>
            </w:r>
          </w:p>
          <w:p w14:paraId="54B46CCA" w14:textId="77777777" w:rsidR="006575CC" w:rsidRDefault="009F2BF5">
            <w:pPr>
              <w:numPr>
                <w:ilvl w:val="0"/>
                <w:numId w:val="17"/>
              </w:numPr>
            </w:pPr>
            <w:r>
              <w:t>Thúc đẩy giáo dục và đổi mới sáng tạo bằng cách nâng cao chất lượng giáo dục và thúc đẩy nghiên cứu</w:t>
            </w:r>
          </w:p>
          <w:p w14:paraId="28BE6BA2" w14:textId="77777777" w:rsidR="006575CC" w:rsidRDefault="009F2BF5">
            <w:pPr>
              <w:numPr>
                <w:ilvl w:val="0"/>
                <w:numId w:val="17"/>
              </w:numPr>
            </w:pPr>
            <w:r>
              <w:t>Đạt được tính bền vững bằng cách tập trung vào năng lượng tái tạo và bảo tồn môi trường</w:t>
            </w:r>
          </w:p>
          <w:p w14:paraId="2C33EF0F" w14:textId="77777777" w:rsidR="006575CC" w:rsidRDefault="009F2BF5">
            <w:pPr>
              <w:numPr>
                <w:ilvl w:val="0"/>
                <w:numId w:val="17"/>
              </w:numPr>
            </w:pPr>
            <w:r>
              <w:t>Cải thiện dịch vụ chăm sóc sức khỏe và cơ sở hạ tầng</w:t>
            </w:r>
          </w:p>
        </w:tc>
      </w:tr>
      <w:tr w:rsidR="006575CC" w14:paraId="2DAEE396" w14:textId="77777777">
        <w:tc>
          <w:tcPr>
            <w:tcW w:w="1605" w:type="dxa"/>
          </w:tcPr>
          <w:p w14:paraId="076D281F" w14:textId="77777777" w:rsidR="006575CC" w:rsidRDefault="009F2BF5">
            <w:r>
              <w:lastRenderedPageBreak/>
              <w:t>Qatar</w:t>
            </w:r>
          </w:p>
        </w:tc>
        <w:tc>
          <w:tcPr>
            <w:tcW w:w="2398" w:type="dxa"/>
          </w:tcPr>
          <w:p w14:paraId="01A8F50C" w14:textId="77777777" w:rsidR="006575CC" w:rsidRDefault="009F2BF5">
            <w:r>
              <w:t>Tầm nhìn quốc gia 2030</w:t>
            </w:r>
            <w:r>
              <w:rPr>
                <w:vertAlign w:val="superscript"/>
              </w:rPr>
              <w:footnoteReference w:id="16"/>
            </w:r>
          </w:p>
        </w:tc>
        <w:tc>
          <w:tcPr>
            <w:tcW w:w="2467" w:type="dxa"/>
          </w:tcPr>
          <w:p w14:paraId="49CD8149" w14:textId="77777777" w:rsidR="006575CC" w:rsidRDefault="009F2BF5">
            <w:r>
              <w:t>Để chuyển đổi đất nước thành một xã hội tiên tiến có khả năng phát triển bền vững</w:t>
            </w:r>
          </w:p>
        </w:tc>
        <w:tc>
          <w:tcPr>
            <w:tcW w:w="2539" w:type="dxa"/>
          </w:tcPr>
          <w:p w14:paraId="6BE5A2A3" w14:textId="77777777" w:rsidR="006575CC" w:rsidRDefault="009F2BF5">
            <w:pPr>
              <w:numPr>
                <w:ilvl w:val="0"/>
                <w:numId w:val="7"/>
              </w:numPr>
            </w:pPr>
            <w:r>
              <w:t>Phát triển kinh tế bằng cách thúc đẩy một nền kinh tế đa dạng và cạnh tranh</w:t>
            </w:r>
          </w:p>
          <w:p w14:paraId="639D39B4" w14:textId="77777777" w:rsidR="006575CC" w:rsidRDefault="009F2BF5">
            <w:pPr>
              <w:numPr>
                <w:ilvl w:val="0"/>
                <w:numId w:val="7"/>
              </w:numPr>
            </w:pPr>
            <w:r>
              <w:t>Phát triển con người tập trung vào giáo dục và y tế</w:t>
            </w:r>
          </w:p>
          <w:p w14:paraId="21BB9D36" w14:textId="77777777" w:rsidR="006575CC" w:rsidRDefault="009F2BF5">
            <w:pPr>
              <w:numPr>
                <w:ilvl w:val="0"/>
                <w:numId w:val="7"/>
              </w:numPr>
            </w:pPr>
            <w:r>
              <w:t>Phát triển môi trường đảm bảo sự hài hòa giữa tăng trưởng kinh tế và bảo vệ môi trường</w:t>
            </w:r>
          </w:p>
          <w:p w14:paraId="358AECE5" w14:textId="77777777" w:rsidR="006575CC" w:rsidRDefault="009F2BF5">
            <w:pPr>
              <w:numPr>
                <w:ilvl w:val="0"/>
                <w:numId w:val="7"/>
              </w:numPr>
            </w:pPr>
            <w:r>
              <w:t>Phát triển xã hội chú trọng bảo tồn văn hóa và gắn kết xã hội</w:t>
            </w:r>
          </w:p>
        </w:tc>
      </w:tr>
      <w:tr w:rsidR="006575CC" w14:paraId="250F85C2" w14:textId="77777777">
        <w:tc>
          <w:tcPr>
            <w:tcW w:w="1605" w:type="dxa"/>
          </w:tcPr>
          <w:p w14:paraId="295DB587" w14:textId="77777777" w:rsidR="006575CC" w:rsidRDefault="009F2BF5">
            <w:r>
              <w:t>Ả Rập Saudi</w:t>
            </w:r>
          </w:p>
        </w:tc>
        <w:tc>
          <w:tcPr>
            <w:tcW w:w="2398" w:type="dxa"/>
          </w:tcPr>
          <w:p w14:paraId="0B09D330" w14:textId="77777777" w:rsidR="006575CC" w:rsidRDefault="009F2BF5">
            <w:r>
              <w:t>Tầm nhìn 2030</w:t>
            </w:r>
          </w:p>
        </w:tc>
        <w:tc>
          <w:tcPr>
            <w:tcW w:w="2467" w:type="dxa"/>
          </w:tcPr>
          <w:p w14:paraId="12F7956F" w14:textId="77777777" w:rsidR="006575CC" w:rsidRDefault="009F2BF5">
            <w:r>
              <w:t>Để tạo ra một xã hội năng động, một nền kinh tế thịnh vượng và một quốc gia đầy tham vọng</w:t>
            </w:r>
          </w:p>
        </w:tc>
        <w:tc>
          <w:tcPr>
            <w:tcW w:w="2539" w:type="dxa"/>
          </w:tcPr>
          <w:p w14:paraId="3F2C7141" w14:textId="77777777" w:rsidR="006575CC" w:rsidRDefault="009F2BF5">
            <w:pPr>
              <w:numPr>
                <w:ilvl w:val="0"/>
                <w:numId w:val="15"/>
              </w:numPr>
            </w:pPr>
            <w:r>
              <w:t>Đầu tư vào du lịch, giải trí, chăm sóc sức khỏe và giáo dục để mở rộng nền kinh tế</w:t>
            </w:r>
          </w:p>
          <w:p w14:paraId="2701B1B7" w14:textId="77777777" w:rsidR="006575CC" w:rsidRDefault="009F2BF5">
            <w:pPr>
              <w:numPr>
                <w:ilvl w:val="0"/>
                <w:numId w:val="15"/>
              </w:numPr>
            </w:pPr>
            <w:r>
              <w:t>Trao quyền cho phụ nữ bằng cách tăng cường sự tham gia của phụ nữ vào lực lượng lao động</w:t>
            </w:r>
          </w:p>
          <w:p w14:paraId="070B90ED" w14:textId="77777777" w:rsidR="006575CC" w:rsidRDefault="009F2BF5">
            <w:pPr>
              <w:numPr>
                <w:ilvl w:val="0"/>
                <w:numId w:val="15"/>
              </w:numPr>
            </w:pPr>
            <w:r>
              <w:t xml:space="preserve">Phát triển các địa điểm vui chơi giải trí mới để phát </w:t>
            </w:r>
            <w:r>
              <w:lastRenderedPageBreak/>
              <w:t>triển văn hóa và giải trí</w:t>
            </w:r>
          </w:p>
          <w:p w14:paraId="61C38699" w14:textId="77777777" w:rsidR="006575CC" w:rsidRDefault="009F2BF5">
            <w:pPr>
              <w:numPr>
                <w:ilvl w:val="0"/>
                <w:numId w:val="15"/>
              </w:numPr>
            </w:pPr>
            <w:r>
              <w:t>Thu hút vốn thông qua việc tư nhân hóa một phần công ty dầu khí nhà nước, ví dụ như IPO của Saudi Aramco.</w:t>
            </w:r>
          </w:p>
        </w:tc>
      </w:tr>
      <w:tr w:rsidR="006575CC" w14:paraId="007343EF" w14:textId="77777777">
        <w:tc>
          <w:tcPr>
            <w:tcW w:w="1605" w:type="dxa"/>
          </w:tcPr>
          <w:p w14:paraId="5F8B25B6" w14:textId="77777777" w:rsidR="006575CC" w:rsidRDefault="009F2BF5">
            <w:r>
              <w:lastRenderedPageBreak/>
              <w:t>UAE</w:t>
            </w:r>
          </w:p>
        </w:tc>
        <w:tc>
          <w:tcPr>
            <w:tcW w:w="2398" w:type="dxa"/>
          </w:tcPr>
          <w:p w14:paraId="7832A6D5" w14:textId="7B6D8767" w:rsidR="006575CC" w:rsidRDefault="00F1697E">
            <w:r w:rsidRPr="00F1697E">
              <w:t xml:space="preserve">UAE </w:t>
            </w:r>
            <w:r>
              <w:t xml:space="preserve">Chúng tôi </w:t>
            </w:r>
            <w:r w:rsidR="009F2BF5">
              <w:t>2031</w:t>
            </w:r>
            <w:r w:rsidR="009F2BF5">
              <w:rPr>
                <w:vertAlign w:val="superscript"/>
              </w:rPr>
              <w:footnoteReference w:id="17"/>
            </w:r>
          </w:p>
        </w:tc>
        <w:tc>
          <w:tcPr>
            <w:tcW w:w="2467" w:type="dxa"/>
          </w:tcPr>
          <w:p w14:paraId="4A3732EA" w14:textId="77777777" w:rsidR="006575CC" w:rsidRDefault="009F2BF5">
            <w:r>
              <w:t>Xác định hướng đi trong tương lai thông qua các kế hoạch chiến lược dựa trên các chỉ thị đầy tham vọng nhằm nâng cao năng lực cạnh tranh toàn cầu của đất nước</w:t>
            </w:r>
          </w:p>
        </w:tc>
        <w:tc>
          <w:tcPr>
            <w:tcW w:w="2539" w:type="dxa"/>
          </w:tcPr>
          <w:p w14:paraId="42A90676" w14:textId="77777777" w:rsidR="006575CC" w:rsidRDefault="009F2BF5">
            <w:r>
              <w:t>Dựa trên bốn trụ cột “hướng tới”, tức là xã hội, kinh tế, ngoại giao và hệ sinh thái:</w:t>
            </w:r>
          </w:p>
          <w:p w14:paraId="6969B355" w14:textId="77777777" w:rsidR="006575CC" w:rsidRDefault="009F2BF5">
            <w:pPr>
              <w:numPr>
                <w:ilvl w:val="0"/>
                <w:numId w:val="12"/>
              </w:numPr>
            </w:pPr>
            <w:r>
              <w:t>Đa dạng hóa kinh tế bằng cách củng cố các lĩnh vực như hàng không, du lịch, bất động sản và năng lượng tái tạo</w:t>
            </w:r>
          </w:p>
          <w:p w14:paraId="1711B540" w14:textId="77777777" w:rsidR="006575CC" w:rsidRDefault="009F2BF5">
            <w:pPr>
              <w:numPr>
                <w:ilvl w:val="0"/>
                <w:numId w:val="12"/>
              </w:numPr>
            </w:pPr>
            <w:r>
              <w:t>Đầu tư vào giáo dục và công nghệ để thúc đẩy đổi mới và thúc đẩy nền kinh tế tri thức</w:t>
            </w:r>
          </w:p>
          <w:p w14:paraId="1D6304E9" w14:textId="77777777" w:rsidR="006575CC" w:rsidRDefault="009F2BF5">
            <w:pPr>
              <w:numPr>
                <w:ilvl w:val="0"/>
                <w:numId w:val="12"/>
              </w:numPr>
            </w:pPr>
            <w:r>
              <w:t>Thúc đẩy các dự án năng lượng tái tạo để đạt được sự bền vững</w:t>
            </w:r>
          </w:p>
          <w:p w14:paraId="7AC01C02" w14:textId="77777777" w:rsidR="006575CC" w:rsidRDefault="009F2BF5">
            <w:pPr>
              <w:numPr>
                <w:ilvl w:val="0"/>
                <w:numId w:val="12"/>
              </w:numPr>
            </w:pPr>
            <w:r>
              <w:t xml:space="preserve">Cải thiện cơ sở hạ tầng và môi trường kinh doanh để đạt được mức độ cạnh tranh toàn cầu nhằm duy trì vị </w:t>
            </w:r>
            <w:r>
              <w:lastRenderedPageBreak/>
              <w:t>thế là một trung tâm thương mại hàng đầu thế giới</w:t>
            </w:r>
          </w:p>
          <w:p w14:paraId="36FF6FDD" w14:textId="77777777" w:rsidR="006575CC" w:rsidRDefault="009F2BF5">
            <w:pPr>
              <w:numPr>
                <w:ilvl w:val="0"/>
                <w:numId w:val="12"/>
              </w:numPr>
            </w:pPr>
            <w:r>
              <w:t>Cải thiện chất lượng cuộc sống bằng cách đầu tư vào y tế, giáo dục và các dịch vụ xã hội khác</w:t>
            </w:r>
          </w:p>
        </w:tc>
      </w:tr>
    </w:tbl>
    <w:p w14:paraId="6101E8B6" w14:textId="77777777" w:rsidR="006575CC" w:rsidRDefault="009F2BF5">
      <w:pPr>
        <w:rPr>
          <w:sz w:val="20"/>
          <w:szCs w:val="20"/>
        </w:rPr>
      </w:pPr>
      <w:r>
        <w:rPr>
          <w:sz w:val="20"/>
          <w:szCs w:val="20"/>
        </w:rPr>
        <w:lastRenderedPageBreak/>
        <w:t>Nguồn: Dissanayake, A. (không rõ ngày tháng). Chuyển đổi tầm nhìn của GCC hướng đến một tương lai tươi sáng hơn. LinkedIn. https://www.linkedin.com/pulse/transforming-gcc-vision-brighter-future-dissanayake-assoc-cipd--jpt1f/</w:t>
      </w:r>
    </w:p>
    <w:p w14:paraId="21497380" w14:textId="77777777" w:rsidR="006575CC" w:rsidRDefault="006575CC">
      <w:pPr>
        <w:ind w:left="2880"/>
      </w:pPr>
    </w:p>
    <w:p w14:paraId="19E0AB3A" w14:textId="77777777" w:rsidR="006575CC" w:rsidRDefault="006575CC"/>
    <w:sectPr w:rsidR="006575CC">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2D416" w14:textId="77777777" w:rsidR="0084428D" w:rsidRDefault="0084428D">
      <w:pPr>
        <w:spacing w:before="0" w:after="0"/>
      </w:pPr>
      <w:r>
        <w:separator/>
      </w:r>
    </w:p>
  </w:endnote>
  <w:endnote w:type="continuationSeparator" w:id="0">
    <w:p w14:paraId="7BD482D7" w14:textId="77777777" w:rsidR="0084428D" w:rsidRDefault="008442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A89EE24A-81B8-4558-A9BF-699279DB282D}"/>
    <w:embedBold r:id="rId2" w:fontKey="{23FBCAE2-2BE9-4104-93DA-CF4CAF419FD8}"/>
    <w:embedItalic r:id="rId3" w:fontKey="{FE1DEE55-EA7F-40E2-9576-DA1E1DE88E50}"/>
  </w:font>
  <w:font w:name="Cutive">
    <w:charset w:val="00"/>
    <w:family w:val="auto"/>
    <w:pitch w:val="default"/>
    <w:embedRegular r:id="rId4" w:fontKey="{35632A7B-B31C-4505-9C62-6F211BC78DD2}"/>
  </w:font>
  <w:font w:name="Calibri">
    <w:panose1 w:val="020F0502020204030204"/>
    <w:charset w:val="00"/>
    <w:family w:val="swiss"/>
    <w:pitch w:val="variable"/>
    <w:sig w:usb0="E4002EFF" w:usb1="C200247B" w:usb2="00000009" w:usb3="00000000" w:csb0="000001FF" w:csb1="00000000"/>
    <w:embedRegular r:id="rId5" w:fontKey="{DE5B37DD-B7B5-4605-80EE-5E60C8DEEE9D}"/>
  </w:font>
  <w:font w:name="Cambria">
    <w:panose1 w:val="02040503050406030204"/>
    <w:charset w:val="00"/>
    <w:family w:val="roman"/>
    <w:pitch w:val="variable"/>
    <w:sig w:usb0="E00006FF" w:usb1="420024FF" w:usb2="02000000" w:usb3="00000000" w:csb0="0000019F" w:csb1="00000000"/>
    <w:embedRegular r:id="rId6" w:fontKey="{9B2999E1-EAFB-4E2A-87A2-E95B2EE27F2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4CED6" w14:textId="77777777" w:rsidR="0084428D" w:rsidRDefault="0084428D">
      <w:pPr>
        <w:spacing w:before="0" w:after="0"/>
      </w:pPr>
      <w:r>
        <w:separator/>
      </w:r>
    </w:p>
  </w:footnote>
  <w:footnote w:type="continuationSeparator" w:id="0">
    <w:p w14:paraId="48A43EB8" w14:textId="77777777" w:rsidR="0084428D" w:rsidRDefault="0084428D">
      <w:pPr>
        <w:spacing w:before="0" w:after="0"/>
      </w:pPr>
      <w:r>
        <w:continuationSeparator/>
      </w:r>
    </w:p>
  </w:footnote>
  <w:footnote w:id="1">
    <w:p w14:paraId="1BB277CC" w14:textId="522528E3" w:rsidR="006575CC" w:rsidRDefault="009F2BF5">
      <w:pPr>
        <w:rPr>
          <w:sz w:val="20"/>
          <w:szCs w:val="20"/>
        </w:rPr>
      </w:pPr>
      <w:r>
        <w:rPr>
          <w:vertAlign w:val="superscript"/>
        </w:rPr>
        <w:footnoteRef/>
      </w:r>
      <w:r>
        <w:rPr>
          <w:sz w:val="20"/>
          <w:szCs w:val="20"/>
        </w:rPr>
        <w:t xml:space="preserve"> Phương pháp luận của các kết quả mô phỏng này được ghi chép trong: ERIA (2025). Một cách tiếp cận chiến lược để tăng cường quan hệ kinh tế ASEAN-GCC: Bài báo bổ sung về phương pháp luận và phân tích định lượng. Báo cáo này phân tích tác động tiềm tàng của FTA ASEAN-GCC bằng cách sử dụng mô hình trọng lực cấu trúc kết hợp với khuôn khổ mô phỏng kinh tế vĩ mô đồng thời, cho phép đánh giá tác động của nhiều quốc gia lên thương mại, đầu tư và GDP dự kiến. Hơn nữa, phân tích sử dụng Lợi thế so sánh hiện hữu (RCA) và Phân tích thị phần không đổi (CMSA) để đánh giá năng lực cạnh tranh của ngành và xác định các ngành có tiềm năng tăng trưởng trong bối cảnh FTA. ERIA sẵn lòng cung cấp bản sao của bài báo và giải thích chi tiết về phương pháp luận theo yêu cầu.</w:t>
      </w:r>
    </w:p>
  </w:footnote>
  <w:footnote w:id="2">
    <w:p w14:paraId="28AA9FAF" w14:textId="77777777" w:rsidR="006575CC" w:rsidRDefault="009F2BF5">
      <w:pPr>
        <w:ind w:left="720"/>
        <w:rPr>
          <w:sz w:val="20"/>
          <w:szCs w:val="20"/>
        </w:rPr>
      </w:pPr>
      <w:r>
        <w:rPr>
          <w:vertAlign w:val="superscript"/>
        </w:rPr>
        <w:footnoteRef/>
      </w:r>
      <w:r>
        <w:rPr>
          <w:sz w:val="20"/>
          <w:szCs w:val="20"/>
        </w:rPr>
        <w:t xml:space="preserve"> https://gcc-sg.org/en/MediaCenter/News/Pages/news2023-4-5-7.aspx</w:t>
      </w:r>
    </w:p>
  </w:footnote>
  <w:footnote w:id="3">
    <w:p w14:paraId="34BCC1FF" w14:textId="77777777" w:rsidR="006575CC" w:rsidRDefault="009F2BF5">
      <w:pPr>
        <w:rPr>
          <w:rFonts w:ascii="Aptos" w:eastAsia="Aptos" w:hAnsi="Aptos" w:cs="Aptos"/>
          <w:sz w:val="20"/>
          <w:szCs w:val="20"/>
        </w:rPr>
      </w:pPr>
      <w:r>
        <w:rPr>
          <w:vertAlign w:val="superscript"/>
        </w:rPr>
        <w:footnoteRef/>
      </w:r>
      <w:r>
        <w:rPr>
          <w:rFonts w:ascii="Aptos" w:eastAsia="Aptos" w:hAnsi="Aptos" w:cs="Aptos"/>
          <w:sz w:val="20"/>
          <w:szCs w:val="20"/>
        </w:rPr>
        <w:t xml:space="preserve"> Phương pháp luận của các kết quả mô phỏng này được ghi nhận trong: ERIA (2025). A Strategic Approach to Enhancing ASEAN-GCC Economic Relations: Supplementary Paper of Quantitative Methodology and Analysis. Tài liệu chưa xuất bản, ERIA: Jakarta.</w:t>
      </w:r>
    </w:p>
  </w:footnote>
  <w:footnote w:id="4">
    <w:p w14:paraId="486B256C" w14:textId="77777777" w:rsidR="006575CC" w:rsidRDefault="009F2BF5">
      <w:pPr>
        <w:rPr>
          <w:rFonts w:ascii="Aptos" w:eastAsia="Aptos" w:hAnsi="Aptos" w:cs="Aptos"/>
          <w:sz w:val="20"/>
          <w:szCs w:val="20"/>
        </w:rPr>
      </w:pPr>
      <w:r>
        <w:rPr>
          <w:vertAlign w:val="superscript"/>
        </w:rPr>
        <w:footnoteRef/>
      </w:r>
      <w:r>
        <w:rPr>
          <w:rFonts w:ascii="Aptos" w:eastAsia="Aptos" w:hAnsi="Aptos" w:cs="Aptos"/>
          <w:sz w:val="20"/>
          <w:szCs w:val="20"/>
        </w:rPr>
        <w:t xml:space="preserve"> Tổng thư ký ASEAN. </w:t>
      </w:r>
      <w:r>
        <w:rPr>
          <w:rFonts w:ascii="Aptos" w:eastAsia="Aptos" w:hAnsi="Aptos" w:cs="Aptos"/>
          <w:i/>
          <w:iCs/>
          <w:sz w:val="20"/>
          <w:szCs w:val="20"/>
        </w:rPr>
        <w:t>Tóm tắt Hiệp định RCEP</w:t>
      </w:r>
      <w:r>
        <w:rPr>
          <w:rFonts w:ascii="Aptos" w:eastAsia="Aptos" w:hAnsi="Aptos" w:cs="Aptos"/>
          <w:sz w:val="20"/>
          <w:szCs w:val="20"/>
        </w:rPr>
        <w:t xml:space="preserve">. 11/2020. Truy cập tại: </w:t>
      </w:r>
      <w:hyperlink r:id="rId1">
        <w:r>
          <w:rPr>
            <w:rFonts w:ascii="Aptos" w:eastAsia="Aptos" w:hAnsi="Aptos" w:cs="Aptos"/>
            <w:color w:val="467886"/>
            <w:sz w:val="20"/>
            <w:szCs w:val="20"/>
            <w:u w:val="single"/>
          </w:rPr>
          <w:t>https://asean.org/wp-content/uploads/2020/11/Summary-of-the-RCEP-Agreement.pdf</w:t>
        </w:r>
      </w:hyperlink>
    </w:p>
  </w:footnote>
  <w:footnote w:id="5">
    <w:p w14:paraId="518770E5" w14:textId="77777777" w:rsidR="006575CC" w:rsidRDefault="009F2BF5">
      <w:pPr>
        <w:rPr>
          <w:rFonts w:ascii="Aptos" w:eastAsia="Aptos" w:hAnsi="Aptos" w:cs="Aptos"/>
          <w:sz w:val="20"/>
          <w:szCs w:val="20"/>
        </w:rPr>
      </w:pPr>
      <w:r>
        <w:rPr>
          <w:vertAlign w:val="superscript"/>
        </w:rPr>
        <w:footnoteRef/>
      </w:r>
      <w:r>
        <w:rPr>
          <w:rFonts w:ascii="Aptos" w:eastAsia="Aptos" w:hAnsi="Aptos" w:cs="Aptos"/>
          <w:sz w:val="20"/>
          <w:szCs w:val="20"/>
        </w:rPr>
        <w:t xml:space="preserve"> About Us,” </w:t>
      </w:r>
      <w:r>
        <w:rPr>
          <w:rFonts w:ascii="Aptos" w:eastAsia="Aptos" w:hAnsi="Aptos" w:cs="Aptos"/>
          <w:i/>
          <w:iCs/>
          <w:sz w:val="20"/>
          <w:szCs w:val="20"/>
        </w:rPr>
        <w:t>Dubai Trade</w:t>
      </w:r>
      <w:r>
        <w:rPr>
          <w:rFonts w:ascii="Aptos" w:eastAsia="Aptos" w:hAnsi="Aptos" w:cs="Aptos"/>
          <w:sz w:val="20"/>
          <w:szCs w:val="20"/>
        </w:rPr>
        <w:t xml:space="preserve">, accessed April 8, 2025, </w:t>
      </w:r>
      <w:hyperlink r:id="rId2">
        <w:r>
          <w:rPr>
            <w:rFonts w:ascii="Aptos" w:eastAsia="Aptos" w:hAnsi="Aptos" w:cs="Aptos"/>
            <w:color w:val="467886"/>
            <w:sz w:val="20"/>
            <w:szCs w:val="20"/>
            <w:u w:val="single"/>
          </w:rPr>
          <w:t>https://www.dubaitrade.ae/en/about-us</w:t>
        </w:r>
      </w:hyperlink>
    </w:p>
  </w:footnote>
  <w:footnote w:id="6">
    <w:p w14:paraId="5402DC74" w14:textId="77777777" w:rsidR="006575CC" w:rsidRDefault="009F2BF5">
      <w:pPr>
        <w:rPr>
          <w:rFonts w:ascii="Aptos" w:eastAsia="Aptos" w:hAnsi="Aptos" w:cs="Aptos"/>
          <w:sz w:val="20"/>
          <w:szCs w:val="20"/>
        </w:rPr>
      </w:pPr>
      <w:r>
        <w:rPr>
          <w:vertAlign w:val="superscript"/>
        </w:rPr>
        <w:footnoteRef/>
      </w:r>
      <w:r>
        <w:rPr>
          <w:rFonts w:ascii="Aptos" w:eastAsia="Aptos" w:hAnsi="Aptos" w:cs="Aptos"/>
          <w:sz w:val="20"/>
          <w:szCs w:val="20"/>
        </w:rPr>
        <w:t xml:space="preserve"> FASAH Trade Facilitation Platform,” </w:t>
      </w:r>
      <w:r>
        <w:rPr>
          <w:rFonts w:ascii="Aptos" w:eastAsia="Aptos" w:hAnsi="Aptos" w:cs="Aptos"/>
          <w:i/>
          <w:iCs/>
          <w:sz w:val="20"/>
          <w:szCs w:val="20"/>
        </w:rPr>
        <w:t>FASAH</w:t>
      </w:r>
      <w:r>
        <w:rPr>
          <w:rFonts w:ascii="Aptos" w:eastAsia="Aptos" w:hAnsi="Aptos" w:cs="Aptos"/>
          <w:sz w:val="20"/>
          <w:szCs w:val="20"/>
        </w:rPr>
        <w:t xml:space="preserve">, accessed April 18, 2025, </w:t>
      </w:r>
      <w:hyperlink r:id="rId3">
        <w:r>
          <w:rPr>
            <w:rFonts w:ascii="Aptos" w:eastAsia="Aptos" w:hAnsi="Aptos" w:cs="Aptos"/>
            <w:color w:val="467886"/>
            <w:sz w:val="20"/>
            <w:szCs w:val="20"/>
            <w:u w:val="single"/>
          </w:rPr>
          <w:t>https://www.fasah.sa/trade/home/en/index.html</w:t>
        </w:r>
      </w:hyperlink>
    </w:p>
  </w:footnote>
  <w:footnote w:id="7">
    <w:p w14:paraId="0CD03120" w14:textId="77777777" w:rsidR="006575CC" w:rsidRDefault="009F2BF5">
      <w:pPr>
        <w:rPr>
          <w:rFonts w:ascii="Aptos" w:eastAsia="Aptos" w:hAnsi="Aptos" w:cs="Aptos"/>
          <w:sz w:val="20"/>
          <w:szCs w:val="20"/>
        </w:rPr>
      </w:pPr>
      <w:r>
        <w:rPr>
          <w:vertAlign w:val="superscript"/>
        </w:rPr>
        <w:footnoteRef/>
      </w:r>
      <w:r>
        <w:rPr>
          <w:rFonts w:ascii="Aptos" w:eastAsia="Aptos" w:hAnsi="Aptos" w:cs="Aptos"/>
          <w:sz w:val="20"/>
          <w:szCs w:val="20"/>
        </w:rPr>
        <w:t xml:space="preserve"> About Al Nadeeb,” </w:t>
      </w:r>
      <w:r>
        <w:rPr>
          <w:rFonts w:ascii="Aptos" w:eastAsia="Aptos" w:hAnsi="Aptos" w:cs="Aptos"/>
          <w:i/>
          <w:iCs/>
          <w:sz w:val="20"/>
          <w:szCs w:val="20"/>
        </w:rPr>
        <w:t>Qatar Customs</w:t>
      </w:r>
      <w:r>
        <w:rPr>
          <w:rFonts w:ascii="Aptos" w:eastAsia="Aptos" w:hAnsi="Aptos" w:cs="Aptos"/>
          <w:sz w:val="20"/>
          <w:szCs w:val="20"/>
        </w:rPr>
        <w:t xml:space="preserve">, accessed April 18, 2025, </w:t>
      </w:r>
      <w:hyperlink r:id="rId4">
        <w:r>
          <w:rPr>
            <w:rFonts w:ascii="Aptos" w:eastAsia="Aptos" w:hAnsi="Aptos" w:cs="Aptos"/>
            <w:color w:val="467886"/>
            <w:sz w:val="20"/>
            <w:szCs w:val="20"/>
            <w:u w:val="single"/>
          </w:rPr>
          <w:t>https://www.customs.gov.qa/English/AlNadeeb/Pages/AboutAlnadeeb.aspx</w:t>
        </w:r>
      </w:hyperlink>
      <w:r>
        <w:rPr>
          <w:rFonts w:ascii="Aptos" w:eastAsia="Aptos" w:hAnsi="Aptos" w:cs="Aptos"/>
          <w:sz w:val="20"/>
          <w:szCs w:val="20"/>
        </w:rPr>
        <w:t xml:space="preserve"> </w:t>
      </w:r>
    </w:p>
  </w:footnote>
  <w:footnote w:id="8">
    <w:p w14:paraId="29F94A14" w14:textId="77777777" w:rsidR="006575CC" w:rsidRDefault="009F2BF5">
      <w:pPr>
        <w:rPr>
          <w:sz w:val="20"/>
          <w:szCs w:val="20"/>
        </w:rPr>
      </w:pPr>
      <w:r>
        <w:rPr>
          <w:vertAlign w:val="superscript"/>
        </w:rPr>
        <w:footnoteRef/>
      </w:r>
      <w:r>
        <w:rPr>
          <w:sz w:val="20"/>
          <w:szCs w:val="20"/>
        </w:rPr>
        <w:t xml:space="preserve"> https://theaseanmagazine.asean.org/article/the-asean-digital-economy-framework-agreement/</w:t>
      </w:r>
    </w:p>
  </w:footnote>
  <w:footnote w:id="9">
    <w:p w14:paraId="5B9BB69C" w14:textId="77777777" w:rsidR="006575CC" w:rsidRDefault="009F2BF5">
      <w:pPr>
        <w:rPr>
          <w:rFonts w:ascii="Aptos" w:eastAsia="Aptos" w:hAnsi="Aptos" w:cs="Aptos"/>
          <w:sz w:val="20"/>
          <w:szCs w:val="20"/>
        </w:rPr>
      </w:pPr>
      <w:r>
        <w:rPr>
          <w:vertAlign w:val="superscript"/>
        </w:rPr>
        <w:footnoteRef/>
      </w:r>
      <w:r>
        <w:rPr>
          <w:sz w:val="20"/>
          <w:szCs w:val="20"/>
        </w:rPr>
        <w:t xml:space="preserve"> https://www.digitaldubai.ae/docs/default-source/publications/a-better-world-vol-5_sdo.pdf</w:t>
      </w:r>
    </w:p>
  </w:footnote>
  <w:footnote w:id="10">
    <w:p w14:paraId="7FB9543D" w14:textId="77777777" w:rsidR="006575CC" w:rsidRDefault="009F2BF5">
      <w:pPr>
        <w:rPr>
          <w:sz w:val="20"/>
          <w:szCs w:val="20"/>
        </w:rPr>
      </w:pPr>
      <w:r>
        <w:rPr>
          <w:vertAlign w:val="superscript"/>
        </w:rPr>
        <w:footnoteRef/>
      </w:r>
      <w:r>
        <w:t xml:space="preserve"> </w:t>
      </w:r>
      <w:r>
        <w:rPr>
          <w:sz w:val="20"/>
          <w:szCs w:val="20"/>
        </w:rPr>
        <w:t>https://u.ae/en/about-the-uae/strategies-initiatives-and-awards/strategies-plans-and-visions/environment-and-energy/uae-energy-strategy-2050</w:t>
      </w:r>
    </w:p>
  </w:footnote>
  <w:footnote w:id="11">
    <w:p w14:paraId="03E192A3" w14:textId="77777777" w:rsidR="006575CC" w:rsidRDefault="009F2BF5">
      <w:pPr>
        <w:rPr>
          <w:sz w:val="20"/>
          <w:szCs w:val="20"/>
        </w:rPr>
      </w:pPr>
      <w:r>
        <w:rPr>
          <w:vertAlign w:val="superscript"/>
        </w:rPr>
        <w:footnoteRef/>
      </w:r>
      <w:r>
        <w:rPr>
          <w:sz w:val="20"/>
          <w:szCs w:val="20"/>
        </w:rPr>
        <w:t>https://gh2.org/countries/oman#:~:text=Oman's%20Green%20Hydrogen%20Strategy%20of,to%20sustainability%20and%20economic%20diversification</w:t>
      </w:r>
    </w:p>
  </w:footnote>
  <w:footnote w:id="12">
    <w:p w14:paraId="7FC32F08" w14:textId="77777777" w:rsidR="006575CC" w:rsidRDefault="009F2BF5">
      <w:pPr>
        <w:rPr>
          <w:rFonts w:ascii="Cutive" w:eastAsia="Cutive" w:hAnsi="Cutive" w:cs="Cutive"/>
          <w:sz w:val="20"/>
          <w:szCs w:val="20"/>
        </w:rPr>
      </w:pPr>
      <w:r>
        <w:rPr>
          <w:vertAlign w:val="superscript"/>
        </w:rPr>
        <w:footnoteRef/>
      </w:r>
      <w:r>
        <w:t xml:space="preserve"> </w:t>
      </w:r>
      <w:r>
        <w:rPr>
          <w:sz w:val="20"/>
          <w:szCs w:val="20"/>
        </w:rPr>
        <w:t>https://greenoman.com/vision-2040.html</w:t>
      </w:r>
    </w:p>
  </w:footnote>
  <w:footnote w:id="13">
    <w:p w14:paraId="7DF05278" w14:textId="77777777" w:rsidR="006575CC" w:rsidRDefault="009F2BF5">
      <w:pPr>
        <w:rPr>
          <w:sz w:val="20"/>
          <w:szCs w:val="20"/>
        </w:rPr>
      </w:pPr>
      <w:r>
        <w:rPr>
          <w:vertAlign w:val="superscript"/>
        </w:rPr>
        <w:footnoteRef/>
      </w:r>
      <w:r>
        <w:rPr>
          <w:sz w:val="20"/>
          <w:szCs w:val="20"/>
        </w:rPr>
        <w:t xml:space="preserve"> https://asean.org/wp-content/uploads/2024/01/ASEAN-for-Business-Bulletin-January-2024.pdf</w:t>
      </w:r>
    </w:p>
  </w:footnote>
  <w:footnote w:id="14">
    <w:p w14:paraId="0798BC82" w14:textId="77777777" w:rsidR="006575CC" w:rsidRDefault="009F2BF5">
      <w:pPr>
        <w:rPr>
          <w:rFonts w:ascii="Cutive" w:eastAsia="Cutive" w:hAnsi="Cutive" w:cs="Cutive"/>
          <w:sz w:val="20"/>
          <w:szCs w:val="20"/>
        </w:rPr>
      </w:pPr>
      <w:r>
        <w:rPr>
          <w:vertAlign w:val="superscript"/>
        </w:rPr>
        <w:footnoteRef/>
      </w:r>
      <w:r>
        <w:rPr>
          <w:sz w:val="20"/>
          <w:szCs w:val="20"/>
        </w:rPr>
        <w:t xml:space="preserve"> https://asean.org/wp-content/uploads/2021/10/Brochure-Circular-Economy-Final.pdf</w:t>
      </w:r>
    </w:p>
  </w:footnote>
  <w:footnote w:id="15">
    <w:p w14:paraId="098484E5" w14:textId="77777777" w:rsidR="006575CC" w:rsidRDefault="009F2BF5">
      <w:pPr>
        <w:rPr>
          <w:sz w:val="20"/>
          <w:szCs w:val="20"/>
        </w:rPr>
      </w:pPr>
      <w:r>
        <w:rPr>
          <w:vertAlign w:val="superscript"/>
        </w:rPr>
        <w:footnoteRef/>
      </w:r>
      <w:r>
        <w:rPr>
          <w:sz w:val="20"/>
          <w:szCs w:val="20"/>
        </w:rPr>
        <w:t xml:space="preserve"> https://aseanenergy.org/apaec/asean-power-grid/</w:t>
      </w:r>
    </w:p>
  </w:footnote>
  <w:footnote w:id="16">
    <w:p w14:paraId="3BEB0B7A" w14:textId="77777777" w:rsidR="006575CC" w:rsidRDefault="009F2BF5">
      <w:pPr>
        <w:rPr>
          <w:sz w:val="20"/>
          <w:szCs w:val="20"/>
        </w:rPr>
      </w:pPr>
      <w:r>
        <w:rPr>
          <w:vertAlign w:val="superscript"/>
        </w:rPr>
        <w:footnoteRef/>
      </w:r>
      <w:r>
        <w:rPr>
          <w:sz w:val="20"/>
          <w:szCs w:val="20"/>
        </w:rPr>
        <w:t xml:space="preserve"> https://www.gco.gov.qa/en/state-of-qatar/qatar-national-vision-2030/our-story/</w:t>
      </w:r>
    </w:p>
  </w:footnote>
  <w:footnote w:id="17">
    <w:p w14:paraId="43240955" w14:textId="77777777" w:rsidR="006575CC" w:rsidRDefault="009F2BF5">
      <w:pPr>
        <w:rPr>
          <w:rFonts w:ascii="Times New Roman" w:eastAsia="Times New Roman" w:hAnsi="Times New Roman" w:cs="Times New Roman"/>
          <w:color w:val="C00000"/>
          <w:sz w:val="20"/>
          <w:szCs w:val="20"/>
        </w:rPr>
      </w:pPr>
      <w:r>
        <w:rPr>
          <w:vertAlign w:val="superscript"/>
        </w:rPr>
        <w:footnoteRef/>
      </w:r>
      <w:r>
        <w:rPr>
          <w:rFonts w:ascii="Aptos" w:eastAsia="Aptos" w:hAnsi="Aptos" w:cs="Aptos"/>
          <w:sz w:val="20"/>
          <w:szCs w:val="20"/>
        </w:rPr>
        <w:t xml:space="preserve"> </w:t>
      </w:r>
      <w:r>
        <w:rPr>
          <w:rFonts w:ascii="Times New Roman" w:eastAsia="Times New Roman" w:hAnsi="Times New Roman" w:cs="Times New Roman"/>
          <w:sz w:val="20"/>
          <w:szCs w:val="20"/>
        </w:rPr>
        <w:t>https://wetheuae.ae/en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26D5"/>
    <w:multiLevelType w:val="multilevel"/>
    <w:tmpl w:val="E57080FA"/>
    <w:lvl w:ilvl="0">
      <w:start w:val="1"/>
      <w:numFmt w:val="lowerLetter"/>
      <w:lvlText w:val="(%1)"/>
      <w:lvlJc w:val="left"/>
      <w:pPr>
        <w:ind w:left="1440" w:hanging="72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 w15:restartNumberingAfterBreak="0">
    <w:nsid w:val="0B8D642F"/>
    <w:multiLevelType w:val="multilevel"/>
    <w:tmpl w:val="31E0A7D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BE45FA4"/>
    <w:multiLevelType w:val="multilevel"/>
    <w:tmpl w:val="CF081A2A"/>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0FB84AA9"/>
    <w:multiLevelType w:val="multilevel"/>
    <w:tmpl w:val="F8129510"/>
    <w:lvl w:ilvl="0">
      <w:start w:val="1"/>
      <w:numFmt w:val="upp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151F044F"/>
    <w:multiLevelType w:val="multilevel"/>
    <w:tmpl w:val="EBACDB1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53E1E9F"/>
    <w:multiLevelType w:val="multilevel"/>
    <w:tmpl w:val="CAFCBC5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1D852C65"/>
    <w:multiLevelType w:val="multilevel"/>
    <w:tmpl w:val="CB34263C"/>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7" w15:restartNumberingAfterBreak="0">
    <w:nsid w:val="1F6A5600"/>
    <w:multiLevelType w:val="multilevel"/>
    <w:tmpl w:val="1B9C82A0"/>
    <w:lvl w:ilvl="0">
      <w:start w:val="1"/>
      <w:numFmt w:val="lowerLetter"/>
      <w:lvlText w:val="(%1)"/>
      <w:lvlJc w:val="left"/>
      <w:pPr>
        <w:ind w:left="1440" w:hanging="72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8" w15:restartNumberingAfterBreak="0">
    <w:nsid w:val="20E63F7C"/>
    <w:multiLevelType w:val="multilevel"/>
    <w:tmpl w:val="63BA592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25C541EA"/>
    <w:multiLevelType w:val="multilevel"/>
    <w:tmpl w:val="E05267DE"/>
    <w:lvl w:ilvl="0">
      <w:start w:val="1"/>
      <w:numFmt w:val="lowerRoman"/>
      <w:lvlText w:val="(%1)"/>
      <w:lvlJc w:val="left"/>
      <w:pPr>
        <w:ind w:left="2520" w:hanging="108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18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18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180"/>
      </w:pPr>
      <w:rPr>
        <w:u w:val="none"/>
      </w:rPr>
    </w:lvl>
  </w:abstractNum>
  <w:abstractNum w:abstractNumId="10" w15:restartNumberingAfterBreak="0">
    <w:nsid w:val="2ED011B7"/>
    <w:multiLevelType w:val="multilevel"/>
    <w:tmpl w:val="A1BAE042"/>
    <w:lvl w:ilvl="0">
      <w:start w:val="1"/>
      <w:numFmt w:val="lowerLetter"/>
      <w:lvlText w:val="(%1)"/>
      <w:lvlJc w:val="left"/>
      <w:pPr>
        <w:ind w:left="1440" w:hanging="72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1" w15:restartNumberingAfterBreak="0">
    <w:nsid w:val="34903AAF"/>
    <w:multiLevelType w:val="multilevel"/>
    <w:tmpl w:val="14F0BE7C"/>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3F893CF7"/>
    <w:multiLevelType w:val="multilevel"/>
    <w:tmpl w:val="472248CE"/>
    <w:lvl w:ilvl="0">
      <w:start w:val="1"/>
      <w:numFmt w:val="lowerLetter"/>
      <w:lvlText w:val="(%1)"/>
      <w:lvlJc w:val="left"/>
      <w:pPr>
        <w:ind w:left="1080" w:hanging="360"/>
      </w:pPr>
      <w:rPr>
        <w:u w:val="none"/>
      </w:rPr>
    </w:lvl>
    <w:lvl w:ilvl="1">
      <w:start w:val="1"/>
      <w:numFmt w:val="lowerRoman"/>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3" w15:restartNumberingAfterBreak="0">
    <w:nsid w:val="46C23E4E"/>
    <w:multiLevelType w:val="multilevel"/>
    <w:tmpl w:val="F8C42B46"/>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4" w15:restartNumberingAfterBreak="0">
    <w:nsid w:val="4E9A2BA6"/>
    <w:multiLevelType w:val="multilevel"/>
    <w:tmpl w:val="793A13A0"/>
    <w:lvl w:ilvl="0">
      <w:start w:val="1"/>
      <w:numFmt w:val="lowerLetter"/>
      <w:lvlText w:val="(%1)"/>
      <w:lvlJc w:val="left"/>
      <w:pPr>
        <w:ind w:left="1440" w:hanging="720"/>
      </w:pPr>
      <w:rPr>
        <w:u w:val="none"/>
      </w:rPr>
    </w:lvl>
    <w:lvl w:ilvl="1">
      <w:start w:val="1"/>
      <w:numFmt w:val="lowerRoman"/>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5" w15:restartNumberingAfterBreak="0">
    <w:nsid w:val="5EFD5D4B"/>
    <w:multiLevelType w:val="multilevel"/>
    <w:tmpl w:val="BA480CAC"/>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6F6536AE"/>
    <w:multiLevelType w:val="multilevel"/>
    <w:tmpl w:val="D2C460AC"/>
    <w:lvl w:ilvl="0">
      <w:start w:val="1"/>
      <w:numFmt w:val="lowerLetter"/>
      <w:lvlText w:val="(%1)"/>
      <w:lvlJc w:val="left"/>
      <w:pPr>
        <w:ind w:left="1440" w:hanging="72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7" w15:restartNumberingAfterBreak="0">
    <w:nsid w:val="7FEA787F"/>
    <w:multiLevelType w:val="multilevel"/>
    <w:tmpl w:val="DD441E4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num w:numId="1" w16cid:durableId="1071151153">
    <w:abstractNumId w:val="12"/>
  </w:num>
  <w:num w:numId="2" w16cid:durableId="418520955">
    <w:abstractNumId w:val="6"/>
  </w:num>
  <w:num w:numId="3" w16cid:durableId="677389855">
    <w:abstractNumId w:val="16"/>
  </w:num>
  <w:num w:numId="4" w16cid:durableId="829979878">
    <w:abstractNumId w:val="11"/>
  </w:num>
  <w:num w:numId="5" w16cid:durableId="1350446670">
    <w:abstractNumId w:val="9"/>
  </w:num>
  <w:num w:numId="6" w16cid:durableId="2009821406">
    <w:abstractNumId w:val="0"/>
  </w:num>
  <w:num w:numId="7" w16cid:durableId="1076826085">
    <w:abstractNumId w:val="1"/>
  </w:num>
  <w:num w:numId="8" w16cid:durableId="1184898973">
    <w:abstractNumId w:val="10"/>
  </w:num>
  <w:num w:numId="9" w16cid:durableId="1587957889">
    <w:abstractNumId w:val="7"/>
  </w:num>
  <w:num w:numId="10" w16cid:durableId="203103101">
    <w:abstractNumId w:val="2"/>
  </w:num>
  <w:num w:numId="11" w16cid:durableId="952398079">
    <w:abstractNumId w:val="17"/>
  </w:num>
  <w:num w:numId="12" w16cid:durableId="995765029">
    <w:abstractNumId w:val="8"/>
  </w:num>
  <w:num w:numId="13" w16cid:durableId="2102333130">
    <w:abstractNumId w:val="3"/>
  </w:num>
  <w:num w:numId="14" w16cid:durableId="1183208733">
    <w:abstractNumId w:val="13"/>
  </w:num>
  <w:num w:numId="15" w16cid:durableId="1152982777">
    <w:abstractNumId w:val="15"/>
  </w:num>
  <w:num w:numId="16" w16cid:durableId="366218117">
    <w:abstractNumId w:val="14"/>
  </w:num>
  <w:num w:numId="17" w16cid:durableId="318266049">
    <w:abstractNumId w:val="5"/>
  </w:num>
  <w:num w:numId="18" w16cid:durableId="8557704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NotDisplayPageBoundaries/>
  <w:displayBackgroundShape/>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5CC"/>
    <w:rsid w:val="001425FF"/>
    <w:rsid w:val="006575CC"/>
    <w:rsid w:val="007E4550"/>
    <w:rsid w:val="0084428D"/>
    <w:rsid w:val="00867ACD"/>
    <w:rsid w:val="009F2BF5"/>
    <w:rsid w:val="00F169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948ED"/>
  <w15:docId w15:val="{0BB9B21D-79AA-43DB-889B-7CF9F8E01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F4761"/>
        <w:sz w:val="24"/>
        <w:szCs w:val="24"/>
        <w:lang w:val="en" w:eastAsia="en-AU" w:bidi="ar-SA"/>
      </w:rPr>
    </w:rPrDefault>
    <w:pPrDefault>
      <w:pPr>
        <w:spacing w:before="240"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00"/>
      <w:jc w:val="center"/>
      <w:outlineLvl w:val="0"/>
    </w:pPr>
    <w:rPr>
      <w:b/>
      <w:bCs/>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table" w:customStyle="1" w:styleId="TableNormal1">
    <w:name w:val="TableNormal1"/>
    <w:tblPr>
      <w:tblCellMar>
        <w:top w:w="100" w:type="dxa"/>
        <w:left w:w="100" w:type="dxa"/>
        <w:bottom w:w="100" w:type="dxa"/>
        <w:right w:w="100" w:type="dxa"/>
      </w:tblCellMar>
    </w:tblPr>
  </w:style>
  <w:style w:type="table" w:customStyle="1" w:styleId="24">
    <w:name w:val="24"/>
    <w:basedOn w:val="TableNormal1"/>
    <w:rPr>
      <w:color w:val="000000"/>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23">
    <w:name w:val="23"/>
    <w:basedOn w:val="TableNormal1"/>
    <w:tblPr>
      <w:tblStyleRowBandSize w:val="1"/>
      <w:tblStyleColBandSize w:val="1"/>
      <w:tblCellMar>
        <w:top w:w="0" w:type="dxa"/>
        <w:left w:w="108" w:type="dxa"/>
        <w:bottom w:w="0" w:type="dxa"/>
        <w:right w:w="108" w:type="dxa"/>
      </w:tblCellMar>
    </w:tblPr>
  </w:style>
  <w:style w:type="table" w:customStyle="1" w:styleId="22">
    <w:name w:val="22"/>
    <w:basedOn w:val="TableNormal1"/>
    <w:tblPr>
      <w:tblStyleRowBandSize w:val="1"/>
      <w:tblStyleColBandSize w:val="1"/>
      <w:tblCellMar>
        <w:top w:w="0" w:type="dxa"/>
        <w:left w:w="108" w:type="dxa"/>
        <w:bottom w:w="0" w:type="dxa"/>
        <w:right w:w="108" w:type="dxa"/>
      </w:tblCellMar>
    </w:tblPr>
  </w:style>
  <w:style w:type="table" w:customStyle="1" w:styleId="21">
    <w:name w:val="21"/>
    <w:basedOn w:val="TableNormal1"/>
    <w:tblPr>
      <w:tblStyleRowBandSize w:val="1"/>
      <w:tblStyleColBandSize w:val="1"/>
      <w:tblCellMar>
        <w:top w:w="0" w:type="dxa"/>
        <w:left w:w="108" w:type="dxa"/>
        <w:bottom w:w="0" w:type="dxa"/>
        <w:right w:w="108" w:type="dxa"/>
      </w:tblCellMar>
    </w:tblPr>
  </w:style>
  <w:style w:type="table" w:customStyle="1" w:styleId="20">
    <w:name w:val="20"/>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19">
    <w:name w:val="19"/>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18">
    <w:name w:val="18"/>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17">
    <w:name w:val="17"/>
    <w:basedOn w:val="TableNormal1"/>
    <w:tblPr>
      <w:tblStyleRowBandSize w:val="1"/>
      <w:tblStyleColBandSize w:val="1"/>
      <w:tblCellMar>
        <w:top w:w="0" w:type="dxa"/>
        <w:left w:w="108" w:type="dxa"/>
        <w:bottom w:w="0" w:type="dxa"/>
        <w:right w:w="108" w:type="dxa"/>
      </w:tblCellMar>
    </w:tblPr>
  </w:style>
  <w:style w:type="table" w:customStyle="1" w:styleId="16">
    <w:name w:val="16"/>
    <w:basedOn w:val="TableNormal1"/>
    <w:tblPr>
      <w:tblStyleRowBandSize w:val="1"/>
      <w:tblStyleColBandSize w:val="1"/>
      <w:tblCellMar>
        <w:top w:w="0" w:type="dxa"/>
        <w:left w:w="115" w:type="dxa"/>
        <w:bottom w:w="0" w:type="dxa"/>
        <w:right w:w="115" w:type="dxa"/>
      </w:tblCellMar>
    </w:tblPr>
  </w:style>
  <w:style w:type="table" w:customStyle="1" w:styleId="15">
    <w:name w:val="15"/>
    <w:basedOn w:val="TableNormal1"/>
    <w:tblPr>
      <w:tblStyleRowBandSize w:val="1"/>
      <w:tblStyleColBandSize w:val="1"/>
      <w:tblCellMar>
        <w:top w:w="0" w:type="dxa"/>
        <w:left w:w="108" w:type="dxa"/>
        <w:bottom w:w="0" w:type="dxa"/>
        <w:right w:w="108" w:type="dxa"/>
      </w:tblCellMar>
    </w:tblPr>
  </w:style>
  <w:style w:type="table" w:customStyle="1" w:styleId="14">
    <w:name w:val="14"/>
    <w:basedOn w:val="TableNormal1"/>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45B0E1"/>
        </w:tcBorders>
      </w:tcPr>
    </w:tblStylePr>
    <w:tblStylePr w:type="lastRow">
      <w:rPr>
        <w:b/>
      </w:rPr>
      <w:tblPr/>
      <w:tcPr>
        <w:tcBorders>
          <w:top w:val="single" w:sz="4" w:space="0" w:color="45B0E1"/>
        </w:tcBorders>
      </w:tcPr>
    </w:tblStylePr>
    <w:tblStylePr w:type="firstCol">
      <w:rPr>
        <w:b/>
      </w:rPr>
    </w:tblStylePr>
    <w:tblStylePr w:type="lastCol">
      <w:rPr>
        <w:b/>
      </w:rPr>
    </w:tblStylePr>
  </w:style>
  <w:style w:type="table" w:customStyle="1" w:styleId="13">
    <w:name w:val="13"/>
    <w:basedOn w:val="TableNormal1"/>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0" w:after="320"/>
    </w:pPr>
    <w:rPr>
      <w:color w:val="666666"/>
      <w:sz w:val="30"/>
      <w:szCs w:val="30"/>
    </w:rPr>
  </w:style>
  <w:style w:type="table" w:customStyle="1" w:styleId="12">
    <w:name w:val="12"/>
    <w:basedOn w:val="TableNormal"/>
    <w:rPr>
      <w:color w:val="000000"/>
    </w:rPr>
    <w:tblPr>
      <w:tblStyleRowBandSize w:val="1"/>
      <w:tblStyleColBandSize w:val="1"/>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rPr>
      <w:sz w:val="22"/>
      <w:szCs w:val="22"/>
    </w:rPr>
    <w:tblPr>
      <w:tblStyleRowBandSize w:val="1"/>
      <w:tblStyleColBandSize w:val="1"/>
    </w:tblPr>
  </w:style>
  <w:style w:type="table" w:customStyle="1" w:styleId="7">
    <w:name w:val="7"/>
    <w:basedOn w:val="TableNormal"/>
    <w:rPr>
      <w:sz w:val="22"/>
      <w:szCs w:val="22"/>
    </w:rPr>
    <w:tblPr>
      <w:tblStyleRowBandSize w:val="1"/>
      <w:tblStyleColBandSize w:val="1"/>
    </w:tblPr>
  </w:style>
  <w:style w:type="table" w:customStyle="1" w:styleId="6">
    <w:name w:val="6"/>
    <w:basedOn w:val="TableNormal"/>
    <w:rPr>
      <w:sz w:val="22"/>
      <w:szCs w:val="22"/>
    </w:rPr>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Pr>
  </w:style>
  <w:style w:type="table" w:customStyle="1" w:styleId="2">
    <w:name w:val="2"/>
    <w:basedOn w:val="TableNormal"/>
    <w:rPr>
      <w:sz w:val="22"/>
      <w:szCs w:val="22"/>
    </w:rPr>
    <w:tblPr>
      <w:tblStyleRowBandSize w:val="1"/>
      <w:tblStyleColBandSize w:val="1"/>
    </w:tblPr>
    <w:tblStylePr w:type="firstRow">
      <w:rPr>
        <w:b/>
        <w:bCs/>
      </w:rPr>
      <w:tblPr/>
      <w:tcPr>
        <w:tcBorders>
          <w:bottom w:val="single" w:sz="12" w:space="0" w:color="45B0E1"/>
        </w:tcBorders>
      </w:tcPr>
    </w:tblStylePr>
    <w:tblStylePr w:type="lastRow">
      <w:rPr>
        <w:b/>
        <w:bCs/>
      </w:rPr>
      <w:tblPr/>
      <w:tcPr>
        <w:tcBorders>
          <w:top w:val="single" w:sz="4" w:space="0" w:color="45B0E1"/>
        </w:tcBorders>
      </w:tcPr>
    </w:tblStylePr>
    <w:tblStylePr w:type="firstCol">
      <w:rPr>
        <w:b/>
        <w:bCs/>
      </w:rPr>
    </w:tblStylePr>
    <w:tblStylePr w:type="lastCol">
      <w:rPr>
        <w:b/>
        <w:bCs/>
      </w:rPr>
    </w:tblStylePr>
  </w:style>
  <w:style w:type="table" w:customStyle="1" w:styleId="1">
    <w:name w:val="1"/>
    <w:basedOn w:val="TableNormal"/>
    <w:tblPr>
      <w:tblStyleRowBandSize w:val="1"/>
      <w:tblStyleColBandSize w:val="1"/>
    </w:tblPr>
  </w:style>
  <w:style w:type="paragraph" w:styleId="Header">
    <w:name w:val="header"/>
    <w:basedOn w:val="Normal"/>
    <w:link w:val="HeaderChar"/>
    <w:uiPriority w:val="99"/>
    <w:unhideWhenUsed/>
    <w:rsid w:val="00F1697E"/>
    <w:pPr>
      <w:tabs>
        <w:tab w:val="center" w:pos="4513"/>
        <w:tab w:val="right" w:pos="9026"/>
      </w:tabs>
      <w:spacing w:before="0" w:after="0"/>
    </w:pPr>
  </w:style>
  <w:style w:type="character" w:customStyle="1" w:styleId="HeaderChar">
    <w:name w:val="Header Char"/>
    <w:basedOn w:val="DefaultParagraphFont"/>
    <w:link w:val="Header"/>
    <w:uiPriority w:val="99"/>
    <w:rsid w:val="00F1697E"/>
  </w:style>
  <w:style w:type="paragraph" w:styleId="Footer">
    <w:name w:val="footer"/>
    <w:basedOn w:val="Normal"/>
    <w:link w:val="FooterChar"/>
    <w:uiPriority w:val="99"/>
    <w:unhideWhenUsed/>
    <w:rsid w:val="00F1697E"/>
    <w:pPr>
      <w:tabs>
        <w:tab w:val="center" w:pos="4513"/>
        <w:tab w:val="right" w:pos="9026"/>
      </w:tabs>
      <w:spacing w:before="0" w:after="0"/>
    </w:pPr>
  </w:style>
  <w:style w:type="character" w:customStyle="1" w:styleId="FooterChar">
    <w:name w:val="Footer Char"/>
    <w:basedOn w:val="DefaultParagraphFont"/>
    <w:link w:val="Footer"/>
    <w:uiPriority w:val="99"/>
    <w:rsid w:val="00F1697E"/>
  </w:style>
  <w:style w:type="paragraph" w:styleId="ListParagraph">
    <w:name w:val="List Paragraph"/>
    <w:basedOn w:val="Normal"/>
    <w:uiPriority w:val="34"/>
    <w:qFormat/>
    <w:rsid w:val="00F169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tradingeconomics.com/world/gdp-us-dollar-wb-data.html" TargetMode="External"/><Relationship Id="rId21" Type="http://schemas.openxmlformats.org/officeDocument/2006/relationships/hyperlink" Target="https://docs.google.com/document/d/11IznvH675Eyh_l0VYwctmICzaKZw9pLP/edit" TargetMode="External"/><Relationship Id="rId42" Type="http://schemas.openxmlformats.org/officeDocument/2006/relationships/hyperlink" Target="https://docs.google.com/document/d/11IznvH675Eyh_l0VYwctmICzaKZw9pLP/edit" TargetMode="External"/><Relationship Id="rId63" Type="http://schemas.openxmlformats.org/officeDocument/2006/relationships/image" Target="media/image15.png"/><Relationship Id="rId84" Type="http://schemas.openxmlformats.org/officeDocument/2006/relationships/hyperlink" Target="https://www.dubaitrade.ae/en/about-us" TargetMode="External"/><Relationship Id="rId16" Type="http://schemas.openxmlformats.org/officeDocument/2006/relationships/hyperlink" Target="https://docs.google.com/document/d/11IznvH675Eyh_l0VYwctmICzaKZw9pLP/edit" TargetMode="External"/><Relationship Id="rId107" Type="http://schemas.openxmlformats.org/officeDocument/2006/relationships/hyperlink" Target="https://climate-laws.org/document/qatar-national-environment-and-climate-change-strategy_ac70" TargetMode="External"/><Relationship Id="rId11" Type="http://schemas.openxmlformats.org/officeDocument/2006/relationships/hyperlink" Target="https://docs.google.com/document/d/11IznvH675Eyh_l0VYwctmICzaKZw9pLP/edit" TargetMode="External"/><Relationship Id="rId32" Type="http://schemas.openxmlformats.org/officeDocument/2006/relationships/hyperlink" Target="https://docs.google.com/document/d/11IznvH675Eyh_l0VYwctmICzaKZw9pLP/edit" TargetMode="External"/><Relationship Id="rId37" Type="http://schemas.openxmlformats.org/officeDocument/2006/relationships/hyperlink" Target="https://docs.google.com/document/d/11IznvH675Eyh_l0VYwctmICzaKZw9pLP/edit" TargetMode="External"/><Relationship Id="rId53" Type="http://schemas.openxmlformats.org/officeDocument/2006/relationships/image" Target="media/image5.png"/><Relationship Id="rId58" Type="http://schemas.openxmlformats.org/officeDocument/2006/relationships/image" Target="media/image10.png"/><Relationship Id="rId74" Type="http://schemas.openxmlformats.org/officeDocument/2006/relationships/hyperlink" Target="https://asean.org/wp-content/uploads/2021/10/Brochure-Circular-Economy-Final.pdf" TargetMode="External"/><Relationship Id="rId79" Type="http://schemas.openxmlformats.org/officeDocument/2006/relationships/hyperlink" Target="https://insights.ceicdata.com/" TargetMode="External"/><Relationship Id="rId102" Type="http://schemas.openxmlformats.org/officeDocument/2006/relationships/hyperlink" Target="https://gh2.org/countries/oman" TargetMode="External"/><Relationship Id="rId123" Type="http://schemas.openxmlformats.org/officeDocument/2006/relationships/hyperlink" Target="https://unctadstat.unctad.org" TargetMode="External"/><Relationship Id="rId128" Type="http://schemas.openxmlformats.org/officeDocument/2006/relationships/hyperlink" Target="https://wits.worldbank.org/" TargetMode="External"/><Relationship Id="rId5" Type="http://schemas.openxmlformats.org/officeDocument/2006/relationships/webSettings" Target="webSettings.xml"/><Relationship Id="rId90" Type="http://schemas.openxmlformats.org/officeDocument/2006/relationships/hyperlink" Target="https://www.gco.gov.qa/en/state-of-qatar/qatar-national-vision-2030/our-story/" TargetMode="External"/><Relationship Id="rId95" Type="http://schemas.openxmlformats.org/officeDocument/2006/relationships/hyperlink" Target="https://www.gco.gov.qa/en/state-of-qatar/qatar-national-vision-2030/our-story/" TargetMode="External"/><Relationship Id="rId22" Type="http://schemas.openxmlformats.org/officeDocument/2006/relationships/hyperlink" Target="https://docs.google.com/document/d/11IznvH675Eyh_l0VYwctmICzaKZw9pLP/edit" TargetMode="External"/><Relationship Id="rId27" Type="http://schemas.openxmlformats.org/officeDocument/2006/relationships/hyperlink" Target="https://docs.google.com/document/d/11IznvH675Eyh_l0VYwctmICzaKZw9pLP/edit" TargetMode="External"/><Relationship Id="rId43" Type="http://schemas.openxmlformats.org/officeDocument/2006/relationships/hyperlink" Target="https://docs.google.com/document/d/11IznvH675Eyh_l0VYwctmICzaKZw9pLP/edit" TargetMode="External"/><Relationship Id="rId48" Type="http://schemas.openxmlformats.org/officeDocument/2006/relationships/hyperlink" Target="https://docs.google.com/document/d/11IznvH675Eyh_l0VYwctmICzaKZw9pLP/edit" TargetMode="External"/><Relationship Id="rId64" Type="http://schemas.openxmlformats.org/officeDocument/2006/relationships/image" Target="media/image16.png"/><Relationship Id="rId69" Type="http://schemas.openxmlformats.org/officeDocument/2006/relationships/hyperlink" Target="https://data.aseanstats.org" TargetMode="External"/><Relationship Id="rId113" Type="http://schemas.openxmlformats.org/officeDocument/2006/relationships/hyperlink" Target="https://www.digitaldubai.ae/docs/default-source/publications/a-better-world-vol-5_sdo.pdf" TargetMode="External"/><Relationship Id="rId118" Type="http://schemas.openxmlformats.org/officeDocument/2006/relationships/hyperlink" Target="https://unctad.org/system/files/official-document/dtltlb2016d1_en.pdf" TargetMode="External"/><Relationship Id="rId134" Type="http://schemas.openxmlformats.org/officeDocument/2006/relationships/fontTable" Target="fontTable.xml"/><Relationship Id="rId80" Type="http://schemas.openxmlformats.org/officeDocument/2006/relationships/hyperlink" Target="https://www.cepii.fr/CEPII/en/bdd_modele/bdd_modele_item.asp?id=8" TargetMode="External"/><Relationship Id="rId85" Type="http://schemas.openxmlformats.org/officeDocument/2006/relationships/hyperlink" Target="https://www.dubaitrade.ae/en/about-us" TargetMode="External"/><Relationship Id="rId12" Type="http://schemas.openxmlformats.org/officeDocument/2006/relationships/hyperlink" Target="https://docs.google.com/document/d/11IznvH675Eyh_l0VYwctmICzaKZw9pLP/edit" TargetMode="External"/><Relationship Id="rId17" Type="http://schemas.openxmlformats.org/officeDocument/2006/relationships/hyperlink" Target="https://docs.google.com/document/d/11IznvH675Eyh_l0VYwctmICzaKZw9pLP/edit" TargetMode="External"/><Relationship Id="rId33" Type="http://schemas.openxmlformats.org/officeDocument/2006/relationships/hyperlink" Target="https://docs.google.com/document/d/11IznvH675Eyh_l0VYwctmICzaKZw9pLP/edit" TargetMode="External"/><Relationship Id="rId38" Type="http://schemas.openxmlformats.org/officeDocument/2006/relationships/hyperlink" Target="https://docs.google.com/document/d/11IznvH675Eyh_l0VYwctmICzaKZw9pLP/edit" TargetMode="External"/><Relationship Id="rId59" Type="http://schemas.openxmlformats.org/officeDocument/2006/relationships/image" Target="media/image11.png"/><Relationship Id="rId103" Type="http://schemas.openxmlformats.org/officeDocument/2006/relationships/hyperlink" Target="https://gh2.org/countries/oman" TargetMode="External"/><Relationship Id="rId108" Type="http://schemas.openxmlformats.org/officeDocument/2006/relationships/hyperlink" Target="https://www.vision2030.gov.sa/en/explore/projects/saudi-green-initiative" TargetMode="External"/><Relationship Id="rId124" Type="http://schemas.openxmlformats.org/officeDocument/2006/relationships/hyperlink" Target="https://wetheuae.ae/en" TargetMode="External"/><Relationship Id="rId129" Type="http://schemas.openxmlformats.org/officeDocument/2006/relationships/hyperlink" Target="https://wits.worldbank.org/" TargetMode="External"/><Relationship Id="rId54" Type="http://schemas.openxmlformats.org/officeDocument/2006/relationships/image" Target="media/image6.png"/><Relationship Id="rId70" Type="http://schemas.openxmlformats.org/officeDocument/2006/relationships/hyperlink" Target="https://theaseanmagazine.asean.org/article/the-asean-digital-economy-framework-agreement/" TargetMode="External"/><Relationship Id="rId75" Type="http://schemas.openxmlformats.org/officeDocument/2006/relationships/hyperlink" Target="https://asean.org/wp-content/uploads/2021/10/Brochure-Circular-Economy-Final.pdf" TargetMode="External"/><Relationship Id="rId91" Type="http://schemas.openxmlformats.org/officeDocument/2006/relationships/hyperlink" Target="https://www.gco.gov.qa/en/state-of-qatar/qatar-national-vision-2030/our-story/" TargetMode="External"/><Relationship Id="rId96" Type="http://schemas.openxmlformats.org/officeDocument/2006/relationships/hyperlink" Target="https://gh2.org/countries/oma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cs.google.com/document/d/11IznvH675Eyh_l0VYwctmICzaKZw9pLP/edit" TargetMode="External"/><Relationship Id="rId28" Type="http://schemas.openxmlformats.org/officeDocument/2006/relationships/hyperlink" Target="https://docs.google.com/document/d/11IznvH675Eyh_l0VYwctmICzaKZw9pLP/edit" TargetMode="External"/><Relationship Id="rId49" Type="http://schemas.openxmlformats.org/officeDocument/2006/relationships/hyperlink" Target="https://docs.google.com/document/d/11IznvH675Eyh_l0VYwctmICzaKZw9pLP/edit" TargetMode="External"/><Relationship Id="rId114" Type="http://schemas.openxmlformats.org/officeDocument/2006/relationships/hyperlink" Target="https://greenoman.com/vision-2040.html" TargetMode="External"/><Relationship Id="rId119" Type="http://schemas.openxmlformats.org/officeDocument/2006/relationships/hyperlink" Target="https://unctad.org/system/files/official-document/dtltlb2016d1_en.pdf" TargetMode="External"/><Relationship Id="rId44" Type="http://schemas.openxmlformats.org/officeDocument/2006/relationships/hyperlink" Target="https://docs.google.com/document/d/11IznvH675Eyh_l0VYwctmICzaKZw9pLP/edit" TargetMode="External"/><Relationship Id="rId60" Type="http://schemas.openxmlformats.org/officeDocument/2006/relationships/image" Target="media/image12.png"/><Relationship Id="rId65" Type="http://schemas.openxmlformats.org/officeDocument/2006/relationships/image" Target="media/image17.png"/><Relationship Id="rId81" Type="http://schemas.openxmlformats.org/officeDocument/2006/relationships/hyperlink" Target="https://www.cepii.fr/CEPII/en/bdd_modele/bdd_modele_item.asp?id=8" TargetMode="External"/><Relationship Id="rId86" Type="http://schemas.openxmlformats.org/officeDocument/2006/relationships/hyperlink" Target="https://viewpoint.eiu.com/data/" TargetMode="External"/><Relationship Id="rId130" Type="http://schemas.openxmlformats.org/officeDocument/2006/relationships/hyperlink" Target="https://stats.wto.org" TargetMode="External"/><Relationship Id="rId135" Type="http://schemas.openxmlformats.org/officeDocument/2006/relationships/theme" Target="theme/theme1.xml"/><Relationship Id="rId13" Type="http://schemas.openxmlformats.org/officeDocument/2006/relationships/hyperlink" Target="https://docs.google.com/document/d/11IznvH675Eyh_l0VYwctmICzaKZw9pLP/edit" TargetMode="External"/><Relationship Id="rId18" Type="http://schemas.openxmlformats.org/officeDocument/2006/relationships/hyperlink" Target="https://docs.google.com/document/d/11IznvH675Eyh_l0VYwctmICzaKZw9pLP/edit" TargetMode="External"/><Relationship Id="rId39" Type="http://schemas.openxmlformats.org/officeDocument/2006/relationships/hyperlink" Target="https://docs.google.com/document/d/11IznvH675Eyh_l0VYwctmICzaKZw9pLP/edit" TargetMode="External"/><Relationship Id="rId109" Type="http://schemas.openxmlformats.org/officeDocument/2006/relationships/hyperlink" Target="https://www.vision2030.gov.sa/en/explore/projects/saudi-green-initiative" TargetMode="External"/><Relationship Id="rId34" Type="http://schemas.openxmlformats.org/officeDocument/2006/relationships/hyperlink" Target="https://docs.google.com/document/d/11IznvH675Eyh_l0VYwctmICzaKZw9pLP/edit" TargetMode="External"/><Relationship Id="rId50" Type="http://schemas.openxmlformats.org/officeDocument/2006/relationships/image" Target="media/image2.png"/><Relationship Id="rId55" Type="http://schemas.openxmlformats.org/officeDocument/2006/relationships/image" Target="media/image7.png"/><Relationship Id="rId76" Type="http://schemas.openxmlformats.org/officeDocument/2006/relationships/hyperlink" Target="https://asean.org/wp-content/uploads/2024/01/ASEAN-for-Business-Bulletin-January-2024.pdf" TargetMode="External"/><Relationship Id="rId97" Type="http://schemas.openxmlformats.org/officeDocument/2006/relationships/hyperlink" Target="https://gh2.org/countries/oman" TargetMode="External"/><Relationship Id="rId104" Type="http://schemas.openxmlformats.org/officeDocument/2006/relationships/hyperlink" Target="https://www.customs.gov.qa/English/AlNadeeb/Pages/AboutAlnadeeb.aspx" TargetMode="External"/><Relationship Id="rId120" Type="http://schemas.openxmlformats.org/officeDocument/2006/relationships/hyperlink" Target="https://trainsonline.unctad.org/detailedSearch" TargetMode="External"/><Relationship Id="rId125" Type="http://schemas.openxmlformats.org/officeDocument/2006/relationships/hyperlink" Target="https://wetheuae.ae/en" TargetMode="External"/><Relationship Id="rId7" Type="http://schemas.openxmlformats.org/officeDocument/2006/relationships/endnotes" Target="endnotes.xml"/><Relationship Id="rId71" Type="http://schemas.openxmlformats.org/officeDocument/2006/relationships/hyperlink" Target="https://theaseanmagazine.asean.org/article/the-asean-digital-economy-framework-agreement/" TargetMode="External"/><Relationship Id="rId92" Type="http://schemas.openxmlformats.org/officeDocument/2006/relationships/hyperlink" Target="https://gcc-sg.org/en/MediaCenter/News/Pages/news2023-4-5-7.aspx" TargetMode="External"/><Relationship Id="rId2" Type="http://schemas.openxmlformats.org/officeDocument/2006/relationships/numbering" Target="numbering.xml"/><Relationship Id="rId29" Type="http://schemas.openxmlformats.org/officeDocument/2006/relationships/hyperlink" Target="https://docs.google.com/document/d/11IznvH675Eyh_l0VYwctmICzaKZw9pLP/edit" TargetMode="External"/><Relationship Id="rId24" Type="http://schemas.openxmlformats.org/officeDocument/2006/relationships/hyperlink" Target="https://docs.google.com/document/d/11IznvH675Eyh_l0VYwctmICzaKZw9pLP/edit" TargetMode="External"/><Relationship Id="rId40" Type="http://schemas.openxmlformats.org/officeDocument/2006/relationships/hyperlink" Target="https://docs.google.com/document/d/11IznvH675Eyh_l0VYwctmICzaKZw9pLP/edit" TargetMode="External"/><Relationship Id="rId45" Type="http://schemas.openxmlformats.org/officeDocument/2006/relationships/hyperlink" Target="https://docs.google.com/document/d/11IznvH675Eyh_l0VYwctmICzaKZw9pLP/edit" TargetMode="External"/><Relationship Id="rId66" Type="http://schemas.openxmlformats.org/officeDocument/2006/relationships/hyperlink" Target="https://aseanenergy.org/apaec/asean-power-grid/" TargetMode="External"/><Relationship Id="rId87" Type="http://schemas.openxmlformats.org/officeDocument/2006/relationships/hyperlink" Target="https://viewpoint.eiu.com/data/" TargetMode="External"/><Relationship Id="rId110" Type="http://schemas.openxmlformats.org/officeDocument/2006/relationships/hyperlink" Target="https://www.fasah.sa/trade/home/en/index.html" TargetMode="External"/><Relationship Id="rId115" Type="http://schemas.openxmlformats.org/officeDocument/2006/relationships/hyperlink" Target="https://greenoman.com/vision-2040.html" TargetMode="External"/><Relationship Id="rId131" Type="http://schemas.openxmlformats.org/officeDocument/2006/relationships/hyperlink" Target="https://stats.wto.org" TargetMode="External"/><Relationship Id="rId61" Type="http://schemas.openxmlformats.org/officeDocument/2006/relationships/image" Target="media/image13.png"/><Relationship Id="rId82" Type="http://schemas.openxmlformats.org/officeDocument/2006/relationships/hyperlink" Target="https://www.linkedin.com/pulse/transforming-gcc-vision-brighter-future-dissanayake-assoc-cipd--jpt1f" TargetMode="External"/><Relationship Id="rId19" Type="http://schemas.openxmlformats.org/officeDocument/2006/relationships/hyperlink" Target="https://docs.google.com/document/d/11IznvH675Eyh_l0VYwctmICzaKZw9pLP/edit" TargetMode="External"/><Relationship Id="rId14" Type="http://schemas.openxmlformats.org/officeDocument/2006/relationships/hyperlink" Target="https://docs.google.com/document/d/11IznvH675Eyh_l0VYwctmICzaKZw9pLP/edit" TargetMode="External"/><Relationship Id="rId30" Type="http://schemas.openxmlformats.org/officeDocument/2006/relationships/hyperlink" Target="https://docs.google.com/document/d/11IznvH675Eyh_l0VYwctmICzaKZw9pLP/edit" TargetMode="External"/><Relationship Id="rId35" Type="http://schemas.openxmlformats.org/officeDocument/2006/relationships/hyperlink" Target="https://docs.google.com/document/d/11IznvH675Eyh_l0VYwctmICzaKZw9pLP/edit" TargetMode="External"/><Relationship Id="rId56" Type="http://schemas.openxmlformats.org/officeDocument/2006/relationships/image" Target="media/image8.png"/><Relationship Id="rId77" Type="http://schemas.openxmlformats.org/officeDocument/2006/relationships/hyperlink" Target="https://asean.org/wp-content/uploads/2024/01/ASEAN-for-Business-Bulletin-January-2024.pdf" TargetMode="External"/><Relationship Id="rId100" Type="http://schemas.openxmlformats.org/officeDocument/2006/relationships/hyperlink" Target="https://u.ae/en/about-the-uae/strategies-initiatives-and-awards/strategies-plans-and-visions/environment-and-energy/uae-energy-strategy-2050" TargetMode="External"/><Relationship Id="rId105" Type="http://schemas.openxmlformats.org/officeDocument/2006/relationships/hyperlink" Target="https://www.customs.gov.qa/English/AlNadeeb/Pages/AboutAlnadeeb.aspx" TargetMode="External"/><Relationship Id="rId126" Type="http://schemas.openxmlformats.org/officeDocument/2006/relationships/hyperlink" Target="https://u.ae/en/about-the-uae/strategies-initiatives-and-awards/strategies-plans-and-visions/environment-and-energy/uae-energy-strategy-2050" TargetMode="External"/><Relationship Id="rId8" Type="http://schemas.openxmlformats.org/officeDocument/2006/relationships/image" Target="media/image1.jpg"/><Relationship Id="rId51" Type="http://schemas.openxmlformats.org/officeDocument/2006/relationships/image" Target="media/image3.png"/><Relationship Id="rId72" Type="http://schemas.openxmlformats.org/officeDocument/2006/relationships/hyperlink" Target="https://asean.org/wp-content/uploads/2020/11/Summary-of-the-RCEP-Agreement.pdf" TargetMode="External"/><Relationship Id="rId93" Type="http://schemas.openxmlformats.org/officeDocument/2006/relationships/hyperlink" Target="https://gcc-sg.org/en/MediaCenter/News/Pages/news2023-4-5-7.aspx" TargetMode="External"/><Relationship Id="rId98" Type="http://schemas.openxmlformats.org/officeDocument/2006/relationships/hyperlink" Target="https://www.imf.org/en/Publications/WEO" TargetMode="External"/><Relationship Id="rId121" Type="http://schemas.openxmlformats.org/officeDocument/2006/relationships/hyperlink" Target="https://trainsonline.unctad.org/detailedSearch" TargetMode="External"/><Relationship Id="rId3" Type="http://schemas.openxmlformats.org/officeDocument/2006/relationships/styles" Target="styles.xml"/><Relationship Id="rId25" Type="http://schemas.openxmlformats.org/officeDocument/2006/relationships/hyperlink" Target="https://docs.google.com/document/d/11IznvH675Eyh_l0VYwctmICzaKZw9pLP/edit" TargetMode="External"/><Relationship Id="rId46" Type="http://schemas.openxmlformats.org/officeDocument/2006/relationships/hyperlink" Target="https://docs.google.com/document/d/11IznvH675Eyh_l0VYwctmICzaKZw9pLP/edit" TargetMode="External"/><Relationship Id="rId67" Type="http://schemas.openxmlformats.org/officeDocument/2006/relationships/hyperlink" Target="https://aseanenergy.org/apaec/asean-power-grid/" TargetMode="External"/><Relationship Id="rId116" Type="http://schemas.openxmlformats.org/officeDocument/2006/relationships/hyperlink" Target="https://tradingeconomics.com/world/gdp-us-dollar-wb-data.html" TargetMode="External"/><Relationship Id="rId20" Type="http://schemas.openxmlformats.org/officeDocument/2006/relationships/hyperlink" Target="https://docs.google.com/document/d/11IznvH675Eyh_l0VYwctmICzaKZw9pLP/edit" TargetMode="External"/><Relationship Id="rId41" Type="http://schemas.openxmlformats.org/officeDocument/2006/relationships/hyperlink" Target="https://docs.google.com/document/d/11IznvH675Eyh_l0VYwctmICzaKZw9pLP/edit" TargetMode="External"/><Relationship Id="rId62" Type="http://schemas.openxmlformats.org/officeDocument/2006/relationships/image" Target="media/image14.png"/><Relationship Id="rId83" Type="http://schemas.openxmlformats.org/officeDocument/2006/relationships/hyperlink" Target="https://www.linkedin.com/pulse/transforming-gcc-vision-brighter-future-dissanayake-assoc-cipd--jpt1f" TargetMode="External"/><Relationship Id="rId88" Type="http://schemas.openxmlformats.org/officeDocument/2006/relationships/hyperlink" Target="https://www.wto.org/english/blogs_e/ddg_angela_ellard_e/blog_ae_26feb25_e.htm" TargetMode="External"/><Relationship Id="rId111" Type="http://schemas.openxmlformats.org/officeDocument/2006/relationships/hyperlink" Target="https://www.fasah.sa/trade/home/en/index.html" TargetMode="External"/><Relationship Id="rId132" Type="http://schemas.openxmlformats.org/officeDocument/2006/relationships/hyperlink" Target="https://www.trademap.org" TargetMode="External"/><Relationship Id="rId15" Type="http://schemas.openxmlformats.org/officeDocument/2006/relationships/hyperlink" Target="https://docs.google.com/document/d/11IznvH675Eyh_l0VYwctmICzaKZw9pLP/edit" TargetMode="External"/><Relationship Id="rId36" Type="http://schemas.openxmlformats.org/officeDocument/2006/relationships/hyperlink" Target="https://docs.google.com/document/d/11IznvH675Eyh_l0VYwctmICzaKZw9pLP/edit" TargetMode="External"/><Relationship Id="rId57" Type="http://schemas.openxmlformats.org/officeDocument/2006/relationships/image" Target="media/image9.png"/><Relationship Id="rId106" Type="http://schemas.openxmlformats.org/officeDocument/2006/relationships/hyperlink" Target="https://climate-laws.org/document/qatar-national-environment-and-climate-change-strategy_ac70" TargetMode="External"/><Relationship Id="rId127" Type="http://schemas.openxmlformats.org/officeDocument/2006/relationships/hyperlink" Target="https://u.ae/en/about-the-uae/strategies-initiatives-and-awards/strategies-plans-and-visions/environment-and-energy/uae-energy-strategy-2050" TargetMode="External"/><Relationship Id="rId10" Type="http://schemas.openxmlformats.org/officeDocument/2006/relationships/hyperlink" Target="https://docs.google.com/document/d/11IznvH675Eyh_l0VYwctmICzaKZw9pLP/edit" TargetMode="External"/><Relationship Id="rId31" Type="http://schemas.openxmlformats.org/officeDocument/2006/relationships/hyperlink" Target="https://docs.google.com/document/d/11IznvH675Eyh_l0VYwctmICzaKZw9pLP/edit" TargetMode="External"/><Relationship Id="rId52" Type="http://schemas.openxmlformats.org/officeDocument/2006/relationships/image" Target="media/image4.png"/><Relationship Id="rId73" Type="http://schemas.openxmlformats.org/officeDocument/2006/relationships/hyperlink" Target="https://asean.org/wp-content/uploads/2020/11/Summary-of-the-RCEP-Agreement.pdf" TargetMode="External"/><Relationship Id="rId78" Type="http://schemas.openxmlformats.org/officeDocument/2006/relationships/hyperlink" Target="https://insights.ceicdata.com/" TargetMode="External"/><Relationship Id="rId94" Type="http://schemas.openxmlformats.org/officeDocument/2006/relationships/hyperlink" Target="https://www.gco.gov.qa/en/state-of-qatar/qatar-national-vision-2030/our-story/" TargetMode="External"/><Relationship Id="rId99" Type="http://schemas.openxmlformats.org/officeDocument/2006/relationships/hyperlink" Target="https://www.imf.org/en/Publications/WEO" TargetMode="External"/><Relationship Id="rId101" Type="http://schemas.openxmlformats.org/officeDocument/2006/relationships/hyperlink" Target="https://u.ae/en/about-the-uae/strategies-initiatives-and-awards/strategies-plans-and-visions/environment-and-energy/uae-energy-strategy-2050" TargetMode="External"/><Relationship Id="rId122" Type="http://schemas.openxmlformats.org/officeDocument/2006/relationships/hyperlink" Target="https://unctadstat.unctad.org" TargetMode="External"/><Relationship Id="rId4" Type="http://schemas.openxmlformats.org/officeDocument/2006/relationships/settings" Target="settings.xml"/><Relationship Id="rId9" Type="http://schemas.openxmlformats.org/officeDocument/2006/relationships/hyperlink" Target="https://docs.google.com/document/d/11IznvH675Eyh_l0VYwctmICzaKZw9pLP/edit" TargetMode="External"/><Relationship Id="rId26" Type="http://schemas.openxmlformats.org/officeDocument/2006/relationships/hyperlink" Target="https://docs.google.com/document/d/11IznvH675Eyh_l0VYwctmICzaKZw9pLP/edit" TargetMode="External"/><Relationship Id="rId47" Type="http://schemas.openxmlformats.org/officeDocument/2006/relationships/hyperlink" Target="https://docs.google.com/document/d/11IznvH675Eyh_l0VYwctmICzaKZw9pLP/edit" TargetMode="External"/><Relationship Id="rId68" Type="http://schemas.openxmlformats.org/officeDocument/2006/relationships/hyperlink" Target="https://data.aseanstats.org" TargetMode="External"/><Relationship Id="rId89" Type="http://schemas.openxmlformats.org/officeDocument/2006/relationships/hyperlink" Target="https://www.wto.org/english/blogs_e/ddg_angela_ellard_e/blog_ae_26feb25_e.htm" TargetMode="External"/><Relationship Id="rId112" Type="http://schemas.openxmlformats.org/officeDocument/2006/relationships/hyperlink" Target="https://www.digitaldubai.ae/docs/default-source/publications/a-better-world-vol-5_sdo.pdf" TargetMode="External"/><Relationship Id="rId133" Type="http://schemas.openxmlformats.org/officeDocument/2006/relationships/hyperlink" Target="https://www.trademap.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fasah.sa/trade/home/en/index.html" TargetMode="External"/><Relationship Id="rId2" Type="http://schemas.openxmlformats.org/officeDocument/2006/relationships/hyperlink" Target="https://www.dubaitrade.ae/en/about-us" TargetMode="External"/><Relationship Id="rId1" Type="http://schemas.openxmlformats.org/officeDocument/2006/relationships/hyperlink" Target="https://asean.org/wp-content/uploads/2020/11/Summary-of-the-RCEP-Agreement.pdf" TargetMode="External"/><Relationship Id="rId4" Type="http://schemas.openxmlformats.org/officeDocument/2006/relationships/hyperlink" Target="https://www.customs.gov.qa/English/AlNadeeb/Pages/AboutAlnadeeb.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GNCxr70EtyAYrjvZgnAsXr5rxg==">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72</Pages>
  <Words>22264</Words>
  <Characters>126909</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Ngoc Quyen</cp:lastModifiedBy>
  <cp:revision>1</cp:revision>
  <dcterms:created xsi:type="dcterms:W3CDTF">2025-11-04T08:57:00Z</dcterms:created>
  <dcterms:modified xsi:type="dcterms:W3CDTF">2025-12-04T10:41:00Z</dcterms:modified>
</cp:coreProperties>
</file>