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52776" w14:textId="77777777" w:rsidR="00260544" w:rsidRPr="00075DF7" w:rsidRDefault="00260544" w:rsidP="007664A3">
      <w:pPr>
        <w:rPr>
          <w:lang w:val="vi-VN"/>
        </w:rPr>
      </w:pPr>
    </w:p>
    <w:p w14:paraId="5379E21D" w14:textId="4AD68C90" w:rsidR="0092749E" w:rsidRPr="004F1D15" w:rsidRDefault="0092749E" w:rsidP="001102EA">
      <w:pPr>
        <w:jc w:val="left"/>
      </w:pPr>
    </w:p>
    <w:p w14:paraId="3E0C44EE" w14:textId="77777777" w:rsidR="00491A59" w:rsidRPr="004F1D15" w:rsidRDefault="00491A59" w:rsidP="007664A3"/>
    <w:p w14:paraId="4A2D3AF8" w14:textId="77777777" w:rsidR="0092749E" w:rsidRPr="004F1D15" w:rsidRDefault="0092749E" w:rsidP="007664A3"/>
    <w:p w14:paraId="6B0C9E9B" w14:textId="77777777" w:rsidR="007E1652" w:rsidRPr="00516087" w:rsidRDefault="007E1652" w:rsidP="00800DE5">
      <w:pPr>
        <w:rPr>
          <w:rFonts w:ascii="HelveticaNeueLT Std" w:hAnsi="HelveticaNeueLT Std"/>
          <w:color w:val="009EE0"/>
          <w:sz w:val="72"/>
          <w:szCs w:val="72"/>
        </w:rPr>
      </w:pPr>
    </w:p>
    <w:p w14:paraId="4F407EC4" w14:textId="4F412B65" w:rsidR="006926FF" w:rsidRDefault="0080056F" w:rsidP="006926FF">
      <w:r w:rsidRPr="0080056F">
        <w:rPr>
          <w:rFonts w:ascii="HelveticaNeueLT Std" w:hAnsi="HelveticaNeueLT Std"/>
          <w:b/>
          <w:color w:val="002060"/>
          <w:sz w:val="56"/>
          <w:szCs w:val="56"/>
        </w:rPr>
        <w:t>Lộ trình về Tiêu chuẩn Thương mại Số t</w:t>
      </w:r>
      <w:r w:rsidR="00F873B7">
        <w:rPr>
          <w:rFonts w:ascii="HelveticaNeueLT Std" w:hAnsi="HelveticaNeueLT Std"/>
          <w:b/>
          <w:color w:val="002060"/>
          <w:sz w:val="56"/>
          <w:szCs w:val="56"/>
        </w:rPr>
        <w:t>rong</w:t>
      </w:r>
      <w:r w:rsidRPr="0080056F">
        <w:rPr>
          <w:rFonts w:ascii="HelveticaNeueLT Std" w:hAnsi="HelveticaNeueLT Std"/>
          <w:b/>
          <w:color w:val="002060"/>
          <w:sz w:val="56"/>
          <w:szCs w:val="56"/>
        </w:rPr>
        <w:t xml:space="preserve"> ASEAN</w:t>
      </w:r>
    </w:p>
    <w:p w14:paraId="514ACB7C" w14:textId="248AAF4A" w:rsidR="006926FF" w:rsidRDefault="007E1652" w:rsidP="006926FF">
      <w:r w:rsidRPr="004F1D15">
        <w:rPr>
          <w:noProof/>
        </w:rPr>
        <w:drawing>
          <wp:inline distT="0" distB="0" distL="0" distR="0" wp14:anchorId="4DC51F1E" wp14:editId="1E479AD7">
            <wp:extent cx="6856730" cy="1355271"/>
            <wp:effectExtent l="0" t="0" r="1270" b="0"/>
            <wp:docPr id="125577978" name="Picture 1" descr="A colorful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514749" name="Picture 364514749" descr="A colorful lines on a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72563" cy="1358400"/>
                    </a:xfrm>
                    <a:prstGeom prst="rect">
                      <a:avLst/>
                    </a:prstGeom>
                  </pic:spPr>
                </pic:pic>
              </a:graphicData>
            </a:graphic>
          </wp:inline>
        </w:drawing>
      </w:r>
    </w:p>
    <w:p w14:paraId="6BA357A6" w14:textId="77777777" w:rsidR="006926FF" w:rsidRDefault="006926FF" w:rsidP="006926FF"/>
    <w:p w14:paraId="32AF6CD0" w14:textId="6F95FA3F" w:rsidR="006926FF" w:rsidRPr="008A7944" w:rsidRDefault="006926FF" w:rsidP="006926FF">
      <w:pPr>
        <w:rPr>
          <w:sz w:val="22"/>
          <w:szCs w:val="22"/>
        </w:rPr>
      </w:pPr>
    </w:p>
    <w:p w14:paraId="10D81C60" w14:textId="77777777" w:rsidR="006926FF" w:rsidRPr="00054E0F" w:rsidRDefault="006926FF" w:rsidP="006926FF">
      <w:pPr>
        <w:rPr>
          <w:sz w:val="20"/>
          <w:szCs w:val="20"/>
        </w:rPr>
      </w:pPr>
    </w:p>
    <w:p w14:paraId="6CC782A5" w14:textId="77777777" w:rsidR="00260544" w:rsidRPr="00054E0F" w:rsidRDefault="00260544" w:rsidP="006926FF">
      <w:pPr>
        <w:rPr>
          <w:sz w:val="20"/>
          <w:szCs w:val="20"/>
        </w:rPr>
      </w:pPr>
    </w:p>
    <w:p w14:paraId="329550FF" w14:textId="71D451E5" w:rsidR="006926FF" w:rsidRPr="00054E0F" w:rsidRDefault="00F873B7" w:rsidP="006926FF">
      <w:pPr>
        <w:rPr>
          <w:sz w:val="20"/>
          <w:szCs w:val="20"/>
        </w:rPr>
      </w:pPr>
      <w:r>
        <w:rPr>
          <w:sz w:val="20"/>
          <w:szCs w:val="20"/>
        </w:rPr>
        <w:t>Dự thảo cuối</w:t>
      </w:r>
      <w:r w:rsidR="008B0A0E">
        <w:rPr>
          <w:sz w:val="20"/>
          <w:szCs w:val="20"/>
        </w:rPr>
        <w:t xml:space="preserve">: </w:t>
      </w:r>
      <w:r w:rsidR="00B73BFC">
        <w:rPr>
          <w:sz w:val="20"/>
          <w:szCs w:val="20"/>
        </w:rPr>
        <w:t xml:space="preserve">14 </w:t>
      </w:r>
      <w:r>
        <w:rPr>
          <w:sz w:val="20"/>
          <w:szCs w:val="20"/>
        </w:rPr>
        <w:t xml:space="preserve">tháng 4 năm </w:t>
      </w:r>
      <w:r w:rsidR="00EF50CE" w:rsidRPr="00054E0F">
        <w:rPr>
          <w:sz w:val="20"/>
          <w:szCs w:val="20"/>
        </w:rPr>
        <w:t>202</w:t>
      </w:r>
      <w:r w:rsidR="008B0A0E">
        <w:rPr>
          <w:sz w:val="20"/>
          <w:szCs w:val="20"/>
        </w:rPr>
        <w:t>5</w:t>
      </w:r>
    </w:p>
    <w:p w14:paraId="51500DF7" w14:textId="77777777" w:rsidR="006926FF" w:rsidRPr="008A7944" w:rsidRDefault="006926FF" w:rsidP="006926FF">
      <w:pPr>
        <w:rPr>
          <w:sz w:val="22"/>
          <w:szCs w:val="22"/>
        </w:rPr>
      </w:pPr>
    </w:p>
    <w:p w14:paraId="4A287737" w14:textId="57ED34C3" w:rsidR="00C22D40" w:rsidRPr="004F1D15" w:rsidRDefault="006926FF" w:rsidP="007664A3">
      <w:r>
        <w:rPr>
          <w:noProof/>
        </w:rPr>
        <w:drawing>
          <wp:inline distT="0" distB="0" distL="0" distR="0" wp14:anchorId="420E0285" wp14:editId="7FB4ED28">
            <wp:extent cx="2587925" cy="633322"/>
            <wp:effectExtent l="0" t="0" r="3175" b="0"/>
            <wp:docPr id="168214235" name="Picture 2" descr="A red circle with yellow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4235" name="Picture 1" descr="A red circle with yellow and blue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0343" cy="651044"/>
                    </a:xfrm>
                    <a:prstGeom prst="rect">
                      <a:avLst/>
                    </a:prstGeom>
                  </pic:spPr>
                </pic:pic>
              </a:graphicData>
            </a:graphic>
          </wp:inline>
        </w:drawing>
      </w:r>
    </w:p>
    <w:p w14:paraId="1834AE1A" w14:textId="78B24ECC" w:rsidR="005D5D83" w:rsidRPr="004F1D15" w:rsidRDefault="00F873B7" w:rsidP="007664A3">
      <w:r>
        <w:rPr>
          <w:sz w:val="20"/>
          <w:szCs w:val="20"/>
        </w:rPr>
        <w:t xml:space="preserve">Do Chính phủ </w:t>
      </w:r>
      <w:r w:rsidR="006926FF" w:rsidRPr="006926FF">
        <w:rPr>
          <w:sz w:val="20"/>
          <w:szCs w:val="20"/>
        </w:rPr>
        <w:t xml:space="preserve">Australian </w:t>
      </w:r>
      <w:r>
        <w:rPr>
          <w:sz w:val="20"/>
          <w:szCs w:val="20"/>
        </w:rPr>
        <w:t xml:space="preserve">hỗ trợ thông qua sáng kiến </w:t>
      </w:r>
      <w:r w:rsidR="006926FF" w:rsidRPr="006926FF">
        <w:rPr>
          <w:sz w:val="20"/>
          <w:szCs w:val="20"/>
        </w:rPr>
        <w:t xml:space="preserve">Australia </w:t>
      </w:r>
      <w:r>
        <w:rPr>
          <w:sz w:val="20"/>
          <w:szCs w:val="20"/>
        </w:rPr>
        <w:t xml:space="preserve">vì tường lai </w:t>
      </w:r>
      <w:r w:rsidR="006926FF" w:rsidRPr="006926FF">
        <w:rPr>
          <w:sz w:val="20"/>
          <w:szCs w:val="20"/>
        </w:rPr>
        <w:t xml:space="preserve">ASEAN. </w:t>
      </w:r>
    </w:p>
    <w:p w14:paraId="1EEA81CA" w14:textId="559775B7" w:rsidR="005D5D83" w:rsidRPr="004F1D15" w:rsidRDefault="00260544">
      <w:pPr>
        <w:spacing w:line="259" w:lineRule="auto"/>
        <w:jc w:val="left"/>
      </w:pPr>
      <w:r>
        <w:br w:type="page"/>
      </w:r>
    </w:p>
    <w:p w14:paraId="7BA31520" w14:textId="69718970" w:rsidR="0092749E" w:rsidRPr="004F1D15" w:rsidRDefault="0080056F" w:rsidP="007664A3">
      <w:r>
        <w:rPr>
          <w:rFonts w:ascii="Segoe UI Semibold" w:eastAsia="Arial" w:hAnsi="Segoe UI Semibold"/>
          <w:color w:val="44546A" w:themeColor="text2"/>
          <w:sz w:val="32"/>
          <w:szCs w:val="56"/>
        </w:rPr>
        <w:lastRenderedPageBreak/>
        <w:t xml:space="preserve">MỤC LỤC </w:t>
      </w:r>
      <w:r w:rsidR="00AD2C6C" w:rsidRPr="004F1D15">
        <w:t xml:space="preserve"> </w:t>
      </w:r>
    </w:p>
    <w:p w14:paraId="3A32AC50" w14:textId="2B3D5193" w:rsidR="006043C2" w:rsidRDefault="006B0F97">
      <w:pPr>
        <w:pStyle w:val="TOC1"/>
        <w:rPr>
          <w:rFonts w:asciiTheme="minorHAnsi" w:eastAsiaTheme="minorEastAsia" w:hAnsiTheme="minorHAnsi" w:cstheme="minorBidi"/>
          <w:b w:val="0"/>
          <w:bCs w:val="0"/>
          <w:color w:val="auto"/>
          <w:kern w:val="2"/>
          <w:lang w:eastAsia="zh-CN"/>
          <w14:ligatures w14:val="standardContextual"/>
        </w:rPr>
      </w:pPr>
      <w:r w:rsidRPr="00516087">
        <w:rPr>
          <w:b w:val="0"/>
          <w:bCs w:val="0"/>
          <w:lang w:val="en-GB"/>
        </w:rPr>
        <w:fldChar w:fldCharType="begin"/>
      </w:r>
      <w:r w:rsidRPr="004F1D15">
        <w:rPr>
          <w:lang w:val="en-GB"/>
        </w:rPr>
        <w:instrText xml:space="preserve"> TOC \o "1-2" \h \z \u </w:instrText>
      </w:r>
      <w:r w:rsidRPr="00516087">
        <w:rPr>
          <w:b w:val="0"/>
          <w:bCs w:val="0"/>
          <w:lang w:val="en-GB"/>
        </w:rPr>
        <w:fldChar w:fldCharType="separate"/>
      </w:r>
      <w:hyperlink w:anchor="_Toc180743955" w:history="1">
        <w:r w:rsidR="0080056F">
          <w:rPr>
            <w:rStyle w:val="Hyperlink"/>
            <w:lang w:val="en-GB"/>
          </w:rPr>
          <w:t>Tóm tắt</w:t>
        </w:r>
        <w:r w:rsidR="006043C2">
          <w:rPr>
            <w:webHidden/>
          </w:rPr>
          <w:tab/>
        </w:r>
        <w:r w:rsidR="006043C2">
          <w:rPr>
            <w:webHidden/>
          </w:rPr>
          <w:fldChar w:fldCharType="begin"/>
        </w:r>
        <w:r w:rsidR="006043C2">
          <w:rPr>
            <w:webHidden/>
          </w:rPr>
          <w:instrText xml:space="preserve"> PAGEREF _Toc180743955 \h </w:instrText>
        </w:r>
        <w:r w:rsidR="006043C2">
          <w:rPr>
            <w:webHidden/>
          </w:rPr>
        </w:r>
        <w:r w:rsidR="006043C2">
          <w:rPr>
            <w:webHidden/>
          </w:rPr>
          <w:fldChar w:fldCharType="separate"/>
        </w:r>
        <w:r w:rsidR="007718BA">
          <w:rPr>
            <w:webHidden/>
          </w:rPr>
          <w:t>8</w:t>
        </w:r>
        <w:r w:rsidR="006043C2">
          <w:rPr>
            <w:webHidden/>
          </w:rPr>
          <w:fldChar w:fldCharType="end"/>
        </w:r>
      </w:hyperlink>
    </w:p>
    <w:p w14:paraId="45095693" w14:textId="10D65855" w:rsidR="006043C2" w:rsidRPr="006043C2" w:rsidRDefault="006043C2">
      <w:pPr>
        <w:pStyle w:val="TOC2"/>
        <w:rPr>
          <w:rFonts w:asciiTheme="minorHAnsi" w:eastAsiaTheme="minorEastAsia" w:hAnsiTheme="minorHAnsi" w:cstheme="minorBidi"/>
          <w:noProof/>
          <w:color w:val="auto"/>
          <w:kern w:val="2"/>
          <w:lang w:eastAsia="zh-CN"/>
          <w14:ligatures w14:val="standardContextual"/>
        </w:rPr>
      </w:pPr>
      <w:hyperlink w:anchor="_Toc180743956" w:history="1">
        <w:r w:rsidRPr="006043C2">
          <w:rPr>
            <w:rStyle w:val="Hyperlink"/>
            <w:noProof/>
            <w:lang w:val="en-GB"/>
          </w:rPr>
          <w:t>1.1</w:t>
        </w:r>
        <w:r w:rsidRPr="006043C2">
          <w:rPr>
            <w:rFonts w:asciiTheme="minorHAnsi" w:eastAsiaTheme="minorEastAsia" w:hAnsiTheme="minorHAnsi" w:cstheme="minorBidi"/>
            <w:noProof/>
            <w:color w:val="auto"/>
            <w:kern w:val="2"/>
            <w:lang w:eastAsia="zh-CN"/>
            <w14:ligatures w14:val="standardContextual"/>
          </w:rPr>
          <w:tab/>
        </w:r>
        <w:r w:rsidR="0080056F" w:rsidRPr="0080056F">
          <w:rPr>
            <w:rStyle w:val="Hyperlink"/>
            <w:noProof/>
            <w:lang w:val="en-GB"/>
          </w:rPr>
          <w:t>Tầm nhìn và Kết quả Chiến lược</w:t>
        </w:r>
        <w:r w:rsidRPr="006043C2">
          <w:rPr>
            <w:noProof/>
            <w:webHidden/>
          </w:rPr>
          <w:tab/>
        </w:r>
        <w:r w:rsidRPr="006043C2">
          <w:rPr>
            <w:noProof/>
            <w:webHidden/>
          </w:rPr>
          <w:fldChar w:fldCharType="begin"/>
        </w:r>
        <w:r w:rsidRPr="006043C2">
          <w:rPr>
            <w:noProof/>
            <w:webHidden/>
          </w:rPr>
          <w:instrText xml:space="preserve"> PAGEREF _Toc180743956 \h </w:instrText>
        </w:r>
        <w:r w:rsidRPr="006043C2">
          <w:rPr>
            <w:noProof/>
            <w:webHidden/>
          </w:rPr>
        </w:r>
        <w:r w:rsidRPr="006043C2">
          <w:rPr>
            <w:noProof/>
            <w:webHidden/>
          </w:rPr>
          <w:fldChar w:fldCharType="separate"/>
        </w:r>
        <w:r w:rsidR="007718BA">
          <w:rPr>
            <w:noProof/>
            <w:webHidden/>
          </w:rPr>
          <w:t>8</w:t>
        </w:r>
        <w:r w:rsidRPr="006043C2">
          <w:rPr>
            <w:noProof/>
            <w:webHidden/>
          </w:rPr>
          <w:fldChar w:fldCharType="end"/>
        </w:r>
      </w:hyperlink>
    </w:p>
    <w:p w14:paraId="124B1342" w14:textId="16F4350D" w:rsidR="006043C2" w:rsidRPr="006043C2" w:rsidRDefault="006043C2">
      <w:pPr>
        <w:pStyle w:val="TOC2"/>
        <w:rPr>
          <w:rFonts w:asciiTheme="minorHAnsi" w:eastAsiaTheme="minorEastAsia" w:hAnsiTheme="minorHAnsi" w:cstheme="minorBidi"/>
          <w:noProof/>
          <w:color w:val="auto"/>
          <w:kern w:val="2"/>
          <w:lang w:eastAsia="zh-CN"/>
          <w14:ligatures w14:val="standardContextual"/>
        </w:rPr>
      </w:pPr>
      <w:hyperlink w:anchor="_Toc180743957" w:history="1">
        <w:r w:rsidRPr="006043C2">
          <w:rPr>
            <w:rStyle w:val="Hyperlink"/>
            <w:noProof/>
            <w:lang w:val="en-GB"/>
          </w:rPr>
          <w:t>1.2</w:t>
        </w:r>
        <w:r w:rsidRPr="006043C2">
          <w:rPr>
            <w:rFonts w:asciiTheme="minorHAnsi" w:eastAsiaTheme="minorEastAsia" w:hAnsiTheme="minorHAnsi" w:cstheme="minorBidi"/>
            <w:noProof/>
            <w:color w:val="auto"/>
            <w:kern w:val="2"/>
            <w:lang w:eastAsia="zh-CN"/>
            <w14:ligatures w14:val="standardContextual"/>
          </w:rPr>
          <w:tab/>
        </w:r>
        <w:r w:rsidR="0080056F" w:rsidRPr="0080056F">
          <w:rPr>
            <w:rStyle w:val="Hyperlink"/>
            <w:noProof/>
            <w:lang w:val="en-GB"/>
          </w:rPr>
          <w:t>Mục tiêu cho các Lĩnh vực Thương mại Số Chính</w:t>
        </w:r>
        <w:r w:rsidRPr="006043C2">
          <w:rPr>
            <w:noProof/>
            <w:webHidden/>
          </w:rPr>
          <w:tab/>
        </w:r>
        <w:r w:rsidRPr="006043C2">
          <w:rPr>
            <w:noProof/>
            <w:webHidden/>
          </w:rPr>
          <w:fldChar w:fldCharType="begin"/>
        </w:r>
        <w:r w:rsidRPr="006043C2">
          <w:rPr>
            <w:noProof/>
            <w:webHidden/>
          </w:rPr>
          <w:instrText xml:space="preserve"> PAGEREF _Toc180743957 \h </w:instrText>
        </w:r>
        <w:r w:rsidRPr="006043C2">
          <w:rPr>
            <w:noProof/>
            <w:webHidden/>
          </w:rPr>
        </w:r>
        <w:r w:rsidRPr="006043C2">
          <w:rPr>
            <w:noProof/>
            <w:webHidden/>
          </w:rPr>
          <w:fldChar w:fldCharType="separate"/>
        </w:r>
        <w:r w:rsidR="007718BA">
          <w:rPr>
            <w:noProof/>
            <w:webHidden/>
          </w:rPr>
          <w:t>10</w:t>
        </w:r>
        <w:r w:rsidRPr="006043C2">
          <w:rPr>
            <w:noProof/>
            <w:webHidden/>
          </w:rPr>
          <w:fldChar w:fldCharType="end"/>
        </w:r>
      </w:hyperlink>
    </w:p>
    <w:p w14:paraId="652E73E3" w14:textId="78CA6B0C" w:rsidR="006043C2" w:rsidRDefault="006043C2">
      <w:pPr>
        <w:pStyle w:val="TOC2"/>
        <w:rPr>
          <w:rFonts w:asciiTheme="minorHAnsi" w:eastAsiaTheme="minorEastAsia" w:hAnsiTheme="minorHAnsi" w:cstheme="minorBidi"/>
          <w:noProof/>
          <w:color w:val="auto"/>
          <w:kern w:val="2"/>
          <w:lang w:eastAsia="zh-CN"/>
          <w14:ligatures w14:val="standardContextual"/>
        </w:rPr>
      </w:pPr>
      <w:hyperlink w:anchor="_Toc180743958" w:history="1">
        <w:r w:rsidRPr="006043C2">
          <w:rPr>
            <w:rStyle w:val="Hyperlink"/>
            <w:noProof/>
            <w:lang w:val="en-GB"/>
          </w:rPr>
          <w:t>1.3</w:t>
        </w:r>
        <w:r w:rsidRPr="006043C2">
          <w:rPr>
            <w:rFonts w:asciiTheme="minorHAnsi" w:eastAsiaTheme="minorEastAsia" w:hAnsiTheme="minorHAnsi" w:cstheme="minorBidi"/>
            <w:noProof/>
            <w:color w:val="auto"/>
            <w:kern w:val="2"/>
            <w:lang w:eastAsia="zh-CN"/>
            <w14:ligatures w14:val="standardContextual"/>
          </w:rPr>
          <w:tab/>
        </w:r>
        <w:r w:rsidR="00F269EC" w:rsidRPr="00F269EC">
          <w:rPr>
            <w:rStyle w:val="Hyperlink"/>
            <w:noProof/>
            <w:lang w:val="en-GB"/>
          </w:rPr>
          <w:t>Khuyến nghị Chính cho Việc Hài hòa Tiêu chuẩn Thương mại Số tại ASEAN</w:t>
        </w:r>
        <w:r w:rsidRPr="006043C2">
          <w:rPr>
            <w:noProof/>
            <w:webHidden/>
          </w:rPr>
          <w:tab/>
        </w:r>
        <w:r w:rsidRPr="006043C2">
          <w:rPr>
            <w:noProof/>
            <w:webHidden/>
          </w:rPr>
          <w:fldChar w:fldCharType="begin"/>
        </w:r>
        <w:r w:rsidRPr="006043C2">
          <w:rPr>
            <w:noProof/>
            <w:webHidden/>
          </w:rPr>
          <w:instrText xml:space="preserve"> PAGEREF _Toc180743958 \h </w:instrText>
        </w:r>
        <w:r w:rsidRPr="006043C2">
          <w:rPr>
            <w:noProof/>
            <w:webHidden/>
          </w:rPr>
        </w:r>
        <w:r w:rsidRPr="006043C2">
          <w:rPr>
            <w:noProof/>
            <w:webHidden/>
          </w:rPr>
          <w:fldChar w:fldCharType="separate"/>
        </w:r>
        <w:r w:rsidR="007718BA">
          <w:rPr>
            <w:noProof/>
            <w:webHidden/>
          </w:rPr>
          <w:t>12</w:t>
        </w:r>
        <w:r w:rsidRPr="006043C2">
          <w:rPr>
            <w:noProof/>
            <w:webHidden/>
          </w:rPr>
          <w:fldChar w:fldCharType="end"/>
        </w:r>
      </w:hyperlink>
    </w:p>
    <w:p w14:paraId="4220AC0C" w14:textId="20E37DAF" w:rsidR="006043C2" w:rsidRDefault="006043C2">
      <w:pPr>
        <w:pStyle w:val="TOC1"/>
        <w:rPr>
          <w:rFonts w:asciiTheme="minorHAnsi" w:eastAsiaTheme="minorEastAsia" w:hAnsiTheme="minorHAnsi" w:cstheme="minorBidi"/>
          <w:b w:val="0"/>
          <w:bCs w:val="0"/>
          <w:color w:val="auto"/>
          <w:kern w:val="2"/>
          <w:lang w:eastAsia="zh-CN"/>
          <w14:ligatures w14:val="standardContextual"/>
        </w:rPr>
      </w:pPr>
      <w:hyperlink w:anchor="_Toc180743959" w:history="1">
        <w:r w:rsidRPr="00030267">
          <w:rPr>
            <w:rStyle w:val="Hyperlink"/>
            <w:lang w:val="en-GB"/>
          </w:rPr>
          <w:t>1.</w:t>
        </w:r>
        <w:r>
          <w:rPr>
            <w:rFonts w:asciiTheme="minorHAnsi" w:eastAsiaTheme="minorEastAsia" w:hAnsiTheme="minorHAnsi" w:cstheme="minorBidi"/>
            <w:b w:val="0"/>
            <w:bCs w:val="0"/>
            <w:color w:val="auto"/>
            <w:kern w:val="2"/>
            <w:lang w:eastAsia="zh-CN"/>
            <w14:ligatures w14:val="standardContextual"/>
          </w:rPr>
          <w:tab/>
        </w:r>
        <w:r w:rsidR="00F269EC">
          <w:rPr>
            <w:rStyle w:val="Hyperlink"/>
            <w:lang w:val="en-GB"/>
          </w:rPr>
          <w:t>Giới</w:t>
        </w:r>
        <w:r w:rsidR="00F269EC">
          <w:rPr>
            <w:rStyle w:val="Hyperlink"/>
            <w:lang w:val="vi-VN"/>
          </w:rPr>
          <w:t xml:space="preserve"> thiệu</w:t>
        </w:r>
        <w:r>
          <w:rPr>
            <w:webHidden/>
          </w:rPr>
          <w:tab/>
        </w:r>
        <w:r>
          <w:rPr>
            <w:webHidden/>
          </w:rPr>
          <w:fldChar w:fldCharType="begin"/>
        </w:r>
        <w:r>
          <w:rPr>
            <w:webHidden/>
          </w:rPr>
          <w:instrText xml:space="preserve"> PAGEREF _Toc180743959 \h </w:instrText>
        </w:r>
        <w:r>
          <w:rPr>
            <w:webHidden/>
          </w:rPr>
        </w:r>
        <w:r>
          <w:rPr>
            <w:webHidden/>
          </w:rPr>
          <w:fldChar w:fldCharType="separate"/>
        </w:r>
        <w:r w:rsidR="007718BA">
          <w:rPr>
            <w:webHidden/>
          </w:rPr>
          <w:t>2</w:t>
        </w:r>
        <w:r w:rsidR="004B6A0A">
          <w:rPr>
            <w:webHidden/>
          </w:rPr>
          <w:t>7</w:t>
        </w:r>
        <w:r>
          <w:rPr>
            <w:webHidden/>
          </w:rPr>
          <w:fldChar w:fldCharType="end"/>
        </w:r>
      </w:hyperlink>
    </w:p>
    <w:p w14:paraId="7A75275D" w14:textId="50524FFA" w:rsidR="006043C2" w:rsidRDefault="006043C2">
      <w:pPr>
        <w:pStyle w:val="TOC2"/>
        <w:rPr>
          <w:rFonts w:asciiTheme="minorHAnsi" w:eastAsiaTheme="minorEastAsia" w:hAnsiTheme="minorHAnsi" w:cstheme="minorBidi"/>
          <w:noProof/>
          <w:color w:val="auto"/>
          <w:kern w:val="2"/>
          <w:lang w:eastAsia="zh-CN"/>
          <w14:ligatures w14:val="standardContextual"/>
        </w:rPr>
      </w:pPr>
      <w:hyperlink w:anchor="_Toc180743960" w:history="1">
        <w:r w:rsidRPr="00030267">
          <w:rPr>
            <w:rStyle w:val="Hyperlink"/>
            <w:noProof/>
            <w:lang w:val="en-GB"/>
          </w:rPr>
          <w:t>1.1</w:t>
        </w:r>
        <w:r>
          <w:rPr>
            <w:rFonts w:asciiTheme="minorHAnsi" w:eastAsiaTheme="minorEastAsia" w:hAnsiTheme="minorHAnsi" w:cstheme="minorBidi"/>
            <w:noProof/>
            <w:color w:val="auto"/>
            <w:kern w:val="2"/>
            <w:lang w:eastAsia="zh-CN"/>
            <w14:ligatures w14:val="standardContextual"/>
          </w:rPr>
          <w:tab/>
        </w:r>
        <w:r w:rsidR="00F269EC">
          <w:rPr>
            <w:rStyle w:val="Hyperlink"/>
            <w:noProof/>
            <w:lang w:val="en-GB"/>
          </w:rPr>
          <w:t>Bối</w:t>
        </w:r>
        <w:r w:rsidR="00F269EC">
          <w:rPr>
            <w:rStyle w:val="Hyperlink"/>
            <w:noProof/>
            <w:lang w:val="vi-VN"/>
          </w:rPr>
          <w:t xml:space="preserve"> cảnh</w:t>
        </w:r>
        <w:r>
          <w:rPr>
            <w:noProof/>
            <w:webHidden/>
          </w:rPr>
          <w:tab/>
        </w:r>
        <w:r>
          <w:rPr>
            <w:noProof/>
            <w:webHidden/>
          </w:rPr>
          <w:fldChar w:fldCharType="begin"/>
        </w:r>
        <w:r>
          <w:rPr>
            <w:noProof/>
            <w:webHidden/>
          </w:rPr>
          <w:instrText xml:space="preserve"> PAGEREF _Toc180743960 \h </w:instrText>
        </w:r>
        <w:r>
          <w:rPr>
            <w:noProof/>
            <w:webHidden/>
          </w:rPr>
        </w:r>
        <w:r>
          <w:rPr>
            <w:noProof/>
            <w:webHidden/>
          </w:rPr>
          <w:fldChar w:fldCharType="separate"/>
        </w:r>
        <w:r w:rsidR="007718BA">
          <w:rPr>
            <w:noProof/>
            <w:webHidden/>
          </w:rPr>
          <w:t>2</w:t>
        </w:r>
        <w:r w:rsidR="006302CC">
          <w:rPr>
            <w:noProof/>
            <w:webHidden/>
          </w:rPr>
          <w:t>7</w:t>
        </w:r>
        <w:r>
          <w:rPr>
            <w:noProof/>
            <w:webHidden/>
          </w:rPr>
          <w:fldChar w:fldCharType="end"/>
        </w:r>
      </w:hyperlink>
    </w:p>
    <w:p w14:paraId="7B742746" w14:textId="0B22BC2A" w:rsidR="006043C2" w:rsidRDefault="006043C2">
      <w:pPr>
        <w:pStyle w:val="TOC2"/>
        <w:rPr>
          <w:rFonts w:asciiTheme="minorHAnsi" w:eastAsiaTheme="minorEastAsia" w:hAnsiTheme="minorHAnsi" w:cstheme="minorBidi"/>
          <w:noProof/>
          <w:color w:val="auto"/>
          <w:kern w:val="2"/>
          <w:lang w:eastAsia="zh-CN"/>
          <w14:ligatures w14:val="standardContextual"/>
        </w:rPr>
      </w:pPr>
      <w:hyperlink w:anchor="_Toc180743961" w:history="1">
        <w:r w:rsidRPr="00030267">
          <w:rPr>
            <w:rStyle w:val="Hyperlink"/>
            <w:noProof/>
            <w:lang w:val="en-GB"/>
          </w:rPr>
          <w:t>1.2</w:t>
        </w:r>
        <w:r>
          <w:rPr>
            <w:rFonts w:asciiTheme="minorHAnsi" w:eastAsiaTheme="minorEastAsia" w:hAnsiTheme="minorHAnsi" w:cstheme="minorBidi"/>
            <w:noProof/>
            <w:color w:val="auto"/>
            <w:kern w:val="2"/>
            <w:lang w:eastAsia="zh-CN"/>
            <w14:ligatures w14:val="standardContextual"/>
          </w:rPr>
          <w:tab/>
        </w:r>
        <w:r w:rsidR="00F269EC">
          <w:rPr>
            <w:rStyle w:val="Hyperlink"/>
            <w:noProof/>
            <w:lang w:val="en-GB"/>
          </w:rPr>
          <w:t>Các</w:t>
        </w:r>
        <w:r w:rsidR="00F269EC">
          <w:rPr>
            <w:rStyle w:val="Hyperlink"/>
            <w:noProof/>
            <w:lang w:val="vi-VN"/>
          </w:rPr>
          <w:t xml:space="preserve"> Sáng kiến Số chủ chốt của ASEAN</w:t>
        </w:r>
        <w:r>
          <w:rPr>
            <w:noProof/>
            <w:webHidden/>
          </w:rPr>
          <w:tab/>
        </w:r>
        <w:r>
          <w:rPr>
            <w:noProof/>
            <w:webHidden/>
          </w:rPr>
          <w:fldChar w:fldCharType="begin"/>
        </w:r>
        <w:r>
          <w:rPr>
            <w:noProof/>
            <w:webHidden/>
          </w:rPr>
          <w:instrText xml:space="preserve"> PAGEREF _Toc180743961 \h </w:instrText>
        </w:r>
        <w:r>
          <w:rPr>
            <w:noProof/>
            <w:webHidden/>
          </w:rPr>
        </w:r>
        <w:r>
          <w:rPr>
            <w:noProof/>
            <w:webHidden/>
          </w:rPr>
          <w:fldChar w:fldCharType="separate"/>
        </w:r>
        <w:r w:rsidR="007718BA">
          <w:rPr>
            <w:noProof/>
            <w:webHidden/>
          </w:rPr>
          <w:t>2</w:t>
        </w:r>
        <w:r>
          <w:rPr>
            <w:noProof/>
            <w:webHidden/>
          </w:rPr>
          <w:fldChar w:fldCharType="end"/>
        </w:r>
      </w:hyperlink>
      <w:r w:rsidR="00E02F96">
        <w:t>8</w:t>
      </w:r>
    </w:p>
    <w:p w14:paraId="32139873" w14:textId="22D3D2E1" w:rsidR="006043C2" w:rsidRDefault="006043C2">
      <w:pPr>
        <w:pStyle w:val="TOC2"/>
        <w:rPr>
          <w:rFonts w:asciiTheme="minorHAnsi" w:eastAsiaTheme="minorEastAsia" w:hAnsiTheme="minorHAnsi" w:cstheme="minorBidi"/>
          <w:noProof/>
          <w:color w:val="auto"/>
          <w:kern w:val="2"/>
          <w:lang w:eastAsia="zh-CN"/>
          <w14:ligatures w14:val="standardContextual"/>
        </w:rPr>
      </w:pPr>
      <w:hyperlink w:anchor="_Toc180743962" w:history="1">
        <w:r w:rsidRPr="00030267">
          <w:rPr>
            <w:rStyle w:val="Hyperlink"/>
            <w:noProof/>
            <w:lang w:val="en-GB"/>
          </w:rPr>
          <w:t>1.3</w:t>
        </w:r>
        <w:r>
          <w:rPr>
            <w:rFonts w:asciiTheme="minorHAnsi" w:eastAsiaTheme="minorEastAsia" w:hAnsiTheme="minorHAnsi" w:cstheme="minorBidi"/>
            <w:noProof/>
            <w:color w:val="auto"/>
            <w:kern w:val="2"/>
            <w:lang w:eastAsia="zh-CN"/>
            <w14:ligatures w14:val="standardContextual"/>
          </w:rPr>
          <w:tab/>
        </w:r>
        <w:r w:rsidR="00F269EC">
          <w:rPr>
            <w:rStyle w:val="Hyperlink"/>
            <w:noProof/>
            <w:lang w:val="en-GB"/>
          </w:rPr>
          <w:t>Vai</w:t>
        </w:r>
        <w:r w:rsidR="00F269EC">
          <w:rPr>
            <w:rStyle w:val="Hyperlink"/>
            <w:noProof/>
            <w:lang w:val="vi-VN"/>
          </w:rPr>
          <w:t xml:space="preserve"> trò của Tiêu chuẩn trong Thương mại Số của ASEAN</w:t>
        </w:r>
        <w:r>
          <w:rPr>
            <w:noProof/>
            <w:webHidden/>
          </w:rPr>
          <w:tab/>
        </w:r>
      </w:hyperlink>
      <w:r w:rsidR="00E02F96">
        <w:t>30</w:t>
      </w:r>
    </w:p>
    <w:p w14:paraId="34CC3C89" w14:textId="1DED0BC7" w:rsidR="006043C2" w:rsidRDefault="006043C2">
      <w:pPr>
        <w:pStyle w:val="TOC2"/>
        <w:rPr>
          <w:rFonts w:asciiTheme="minorHAnsi" w:eastAsiaTheme="minorEastAsia" w:hAnsiTheme="minorHAnsi" w:cstheme="minorBidi"/>
          <w:noProof/>
          <w:color w:val="auto"/>
          <w:kern w:val="2"/>
          <w:lang w:eastAsia="zh-CN"/>
          <w14:ligatures w14:val="standardContextual"/>
        </w:rPr>
      </w:pPr>
      <w:hyperlink w:anchor="_Toc180743963" w:history="1">
        <w:r w:rsidRPr="00030267">
          <w:rPr>
            <w:rStyle w:val="Hyperlink"/>
            <w:noProof/>
            <w:lang w:val="en-GB"/>
          </w:rPr>
          <w:t>1.4</w:t>
        </w:r>
        <w:r>
          <w:rPr>
            <w:rFonts w:asciiTheme="minorHAnsi" w:eastAsiaTheme="minorEastAsia" w:hAnsiTheme="minorHAnsi" w:cstheme="minorBidi"/>
            <w:noProof/>
            <w:color w:val="auto"/>
            <w:kern w:val="2"/>
            <w:lang w:eastAsia="zh-CN"/>
            <w14:ligatures w14:val="standardContextual"/>
          </w:rPr>
          <w:tab/>
        </w:r>
        <w:r w:rsidR="00F269EC">
          <w:rPr>
            <w:rStyle w:val="Hyperlink"/>
            <w:noProof/>
            <w:lang w:val="en-GB"/>
          </w:rPr>
          <w:t>Phân</w:t>
        </w:r>
        <w:r w:rsidR="00F269EC">
          <w:rPr>
            <w:rStyle w:val="Hyperlink"/>
            <w:noProof/>
            <w:lang w:val="vi-VN"/>
          </w:rPr>
          <w:t xml:space="preserve"> loại Tiêu chuẩn</w:t>
        </w:r>
        <w:r>
          <w:rPr>
            <w:noProof/>
            <w:webHidden/>
          </w:rPr>
          <w:tab/>
        </w:r>
      </w:hyperlink>
      <w:r w:rsidR="00E02F96">
        <w:t>30</w:t>
      </w:r>
    </w:p>
    <w:p w14:paraId="1A3B158F" w14:textId="5A47B399" w:rsidR="006043C2" w:rsidRDefault="006043C2">
      <w:pPr>
        <w:pStyle w:val="TOC2"/>
        <w:rPr>
          <w:rFonts w:asciiTheme="minorHAnsi" w:eastAsiaTheme="minorEastAsia" w:hAnsiTheme="minorHAnsi" w:cstheme="minorBidi"/>
          <w:noProof/>
          <w:color w:val="auto"/>
          <w:kern w:val="2"/>
          <w:lang w:eastAsia="zh-CN"/>
          <w14:ligatures w14:val="standardContextual"/>
        </w:rPr>
      </w:pPr>
      <w:hyperlink w:anchor="_Toc180743964" w:history="1">
        <w:r w:rsidRPr="00030267">
          <w:rPr>
            <w:rStyle w:val="Hyperlink"/>
            <w:noProof/>
            <w:lang w:val="en-GB"/>
          </w:rPr>
          <w:t>1.5</w:t>
        </w:r>
        <w:r>
          <w:rPr>
            <w:rFonts w:asciiTheme="minorHAnsi" w:eastAsiaTheme="minorEastAsia" w:hAnsiTheme="minorHAnsi" w:cstheme="minorBidi"/>
            <w:noProof/>
            <w:color w:val="auto"/>
            <w:kern w:val="2"/>
            <w:lang w:eastAsia="zh-CN"/>
            <w14:ligatures w14:val="standardContextual"/>
          </w:rPr>
          <w:tab/>
        </w:r>
        <w:r w:rsidR="00F269EC">
          <w:rPr>
            <w:rStyle w:val="Hyperlink"/>
            <w:noProof/>
            <w:lang w:val="en-GB"/>
          </w:rPr>
          <w:t>Định</w:t>
        </w:r>
        <w:r w:rsidR="00F269EC">
          <w:rPr>
            <w:rStyle w:val="Hyperlink"/>
            <w:noProof/>
            <w:lang w:val="vi-VN"/>
          </w:rPr>
          <w:t xml:space="preserve"> nghĩa về việc áp dụng, hài hòa và công nhận lẫn nhau</w:t>
        </w:r>
        <w:r>
          <w:rPr>
            <w:noProof/>
            <w:webHidden/>
          </w:rPr>
          <w:tab/>
        </w:r>
        <w:r>
          <w:rPr>
            <w:noProof/>
            <w:webHidden/>
          </w:rPr>
          <w:fldChar w:fldCharType="begin"/>
        </w:r>
        <w:r>
          <w:rPr>
            <w:noProof/>
            <w:webHidden/>
          </w:rPr>
          <w:instrText xml:space="preserve"> PAGEREF _Toc180743964 \h </w:instrText>
        </w:r>
        <w:r>
          <w:rPr>
            <w:noProof/>
            <w:webHidden/>
          </w:rPr>
        </w:r>
        <w:r>
          <w:rPr>
            <w:noProof/>
            <w:webHidden/>
          </w:rPr>
          <w:fldChar w:fldCharType="separate"/>
        </w:r>
        <w:r w:rsidR="007718BA">
          <w:rPr>
            <w:noProof/>
            <w:webHidden/>
          </w:rPr>
          <w:t>3</w:t>
        </w:r>
        <w:r>
          <w:rPr>
            <w:noProof/>
            <w:webHidden/>
          </w:rPr>
          <w:fldChar w:fldCharType="end"/>
        </w:r>
      </w:hyperlink>
      <w:r w:rsidR="0063173D">
        <w:t>2</w:t>
      </w:r>
    </w:p>
    <w:p w14:paraId="67B6D4DB" w14:textId="2D95CF39" w:rsidR="006043C2" w:rsidRDefault="006043C2">
      <w:pPr>
        <w:pStyle w:val="TOC1"/>
        <w:rPr>
          <w:rFonts w:asciiTheme="minorHAnsi" w:eastAsiaTheme="minorEastAsia" w:hAnsiTheme="minorHAnsi" w:cstheme="minorBidi"/>
          <w:b w:val="0"/>
          <w:bCs w:val="0"/>
          <w:color w:val="auto"/>
          <w:kern w:val="2"/>
          <w:lang w:eastAsia="zh-CN"/>
          <w14:ligatures w14:val="standardContextual"/>
        </w:rPr>
      </w:pPr>
      <w:hyperlink w:anchor="_Toc180743965" w:history="1">
        <w:r w:rsidRPr="00030267">
          <w:rPr>
            <w:rStyle w:val="Hyperlink"/>
            <w:lang w:val="en-GB"/>
          </w:rPr>
          <w:t>2.</w:t>
        </w:r>
        <w:r>
          <w:rPr>
            <w:rFonts w:asciiTheme="minorHAnsi" w:eastAsiaTheme="minorEastAsia" w:hAnsiTheme="minorHAnsi" w:cstheme="minorBidi"/>
            <w:b w:val="0"/>
            <w:bCs w:val="0"/>
            <w:color w:val="auto"/>
            <w:kern w:val="2"/>
            <w:lang w:eastAsia="zh-CN"/>
            <w14:ligatures w14:val="standardContextual"/>
          </w:rPr>
          <w:tab/>
        </w:r>
        <w:r w:rsidR="00F269EC">
          <w:rPr>
            <w:rStyle w:val="Hyperlink"/>
            <w:lang w:val="en-GB"/>
          </w:rPr>
          <w:t>Lợi</w:t>
        </w:r>
        <w:r w:rsidR="00F269EC">
          <w:rPr>
            <w:rStyle w:val="Hyperlink"/>
            <w:lang w:val="vi-VN"/>
          </w:rPr>
          <w:t xml:space="preserve"> ích Kinh tế Tiềm năng của </w:t>
        </w:r>
        <w:r w:rsidR="00F873B7">
          <w:rPr>
            <w:rStyle w:val="Hyperlink"/>
            <w:lang w:val="en-AU"/>
          </w:rPr>
          <w:t>TCTMS</w:t>
        </w:r>
        <w:r w:rsidR="00F269EC">
          <w:rPr>
            <w:rStyle w:val="Hyperlink"/>
            <w:lang w:val="vi-VN"/>
          </w:rPr>
          <w:t xml:space="preserve"> Hài hòa tại ASEAN</w:t>
        </w:r>
        <w:r>
          <w:rPr>
            <w:webHidden/>
          </w:rPr>
          <w:tab/>
        </w:r>
        <w:r>
          <w:rPr>
            <w:webHidden/>
          </w:rPr>
          <w:fldChar w:fldCharType="begin"/>
        </w:r>
        <w:r>
          <w:rPr>
            <w:webHidden/>
          </w:rPr>
          <w:instrText xml:space="preserve"> PAGEREF _Toc180743965 \h </w:instrText>
        </w:r>
        <w:r>
          <w:rPr>
            <w:webHidden/>
          </w:rPr>
        </w:r>
        <w:r>
          <w:rPr>
            <w:webHidden/>
          </w:rPr>
          <w:fldChar w:fldCharType="separate"/>
        </w:r>
        <w:r w:rsidR="007718BA">
          <w:rPr>
            <w:webHidden/>
          </w:rPr>
          <w:t>3</w:t>
        </w:r>
        <w:r>
          <w:rPr>
            <w:webHidden/>
          </w:rPr>
          <w:fldChar w:fldCharType="end"/>
        </w:r>
      </w:hyperlink>
      <w:r w:rsidR="007E2D01">
        <w:t>4</w:t>
      </w:r>
    </w:p>
    <w:p w14:paraId="6C10C174" w14:textId="169B4E29" w:rsidR="006043C2" w:rsidRDefault="006043C2">
      <w:pPr>
        <w:pStyle w:val="TOC2"/>
        <w:rPr>
          <w:rFonts w:asciiTheme="minorHAnsi" w:eastAsiaTheme="minorEastAsia" w:hAnsiTheme="minorHAnsi" w:cstheme="minorBidi"/>
          <w:noProof/>
          <w:color w:val="auto"/>
          <w:kern w:val="2"/>
          <w:lang w:eastAsia="zh-CN"/>
          <w14:ligatures w14:val="standardContextual"/>
        </w:rPr>
      </w:pPr>
      <w:hyperlink w:anchor="_Toc180743966" w:history="1">
        <w:r w:rsidRPr="00030267">
          <w:rPr>
            <w:rStyle w:val="Hyperlink"/>
            <w:noProof/>
            <w:lang w:val="en-GB"/>
          </w:rPr>
          <w:t>2.1</w:t>
        </w:r>
        <w:r>
          <w:rPr>
            <w:rFonts w:asciiTheme="minorHAnsi" w:eastAsiaTheme="minorEastAsia" w:hAnsiTheme="minorHAnsi" w:cstheme="minorBidi"/>
            <w:noProof/>
            <w:color w:val="auto"/>
            <w:kern w:val="2"/>
            <w:lang w:eastAsia="zh-CN"/>
            <w14:ligatures w14:val="standardContextual"/>
          </w:rPr>
          <w:tab/>
        </w:r>
        <w:r w:rsidR="00F269EC">
          <w:rPr>
            <w:rStyle w:val="Hyperlink"/>
            <w:noProof/>
            <w:lang w:val="en-GB"/>
          </w:rPr>
          <w:t>Ước</w:t>
        </w:r>
        <w:r w:rsidR="00F269EC">
          <w:rPr>
            <w:rStyle w:val="Hyperlink"/>
            <w:noProof/>
            <w:lang w:val="vi-VN"/>
          </w:rPr>
          <w:t xml:space="preserve"> tính lợi </w:t>
        </w:r>
        <w:r w:rsidR="00F873B7">
          <w:rPr>
            <w:rStyle w:val="Hyperlink"/>
            <w:noProof/>
            <w:lang w:val="en-AU"/>
          </w:rPr>
          <w:t>ích</w:t>
        </w:r>
        <w:r w:rsidR="00F269EC">
          <w:rPr>
            <w:rStyle w:val="Hyperlink"/>
            <w:noProof/>
            <w:lang w:val="vi-VN"/>
          </w:rPr>
          <w:t xml:space="preserve"> kinh tế</w:t>
        </w:r>
        <w:r>
          <w:rPr>
            <w:noProof/>
            <w:webHidden/>
          </w:rPr>
          <w:tab/>
        </w:r>
        <w:r>
          <w:rPr>
            <w:noProof/>
            <w:webHidden/>
          </w:rPr>
          <w:fldChar w:fldCharType="begin"/>
        </w:r>
        <w:r>
          <w:rPr>
            <w:noProof/>
            <w:webHidden/>
          </w:rPr>
          <w:instrText xml:space="preserve"> PAGEREF _Toc180743966 \h </w:instrText>
        </w:r>
        <w:r>
          <w:rPr>
            <w:noProof/>
            <w:webHidden/>
          </w:rPr>
        </w:r>
        <w:r>
          <w:rPr>
            <w:noProof/>
            <w:webHidden/>
          </w:rPr>
          <w:fldChar w:fldCharType="separate"/>
        </w:r>
        <w:r w:rsidR="007718BA">
          <w:rPr>
            <w:noProof/>
            <w:webHidden/>
          </w:rPr>
          <w:t>3</w:t>
        </w:r>
        <w:r>
          <w:rPr>
            <w:noProof/>
            <w:webHidden/>
          </w:rPr>
          <w:fldChar w:fldCharType="end"/>
        </w:r>
      </w:hyperlink>
      <w:r w:rsidR="007E2D01">
        <w:t>5</w:t>
      </w:r>
    </w:p>
    <w:p w14:paraId="59DA6E8F" w14:textId="540CC67F" w:rsidR="006043C2" w:rsidRDefault="006043C2">
      <w:pPr>
        <w:pStyle w:val="TOC2"/>
        <w:rPr>
          <w:rFonts w:asciiTheme="minorHAnsi" w:eastAsiaTheme="minorEastAsia" w:hAnsiTheme="minorHAnsi" w:cstheme="minorBidi"/>
          <w:noProof/>
          <w:color w:val="auto"/>
          <w:kern w:val="2"/>
          <w:lang w:eastAsia="zh-CN"/>
          <w14:ligatures w14:val="standardContextual"/>
        </w:rPr>
      </w:pPr>
      <w:hyperlink w:anchor="_Toc180743967" w:history="1">
        <w:r w:rsidRPr="00030267">
          <w:rPr>
            <w:rStyle w:val="Hyperlink"/>
            <w:noProof/>
            <w:lang w:val="en-GB"/>
          </w:rPr>
          <w:t>2.2</w:t>
        </w:r>
        <w:r>
          <w:rPr>
            <w:rFonts w:asciiTheme="minorHAnsi" w:eastAsiaTheme="minorEastAsia" w:hAnsiTheme="minorHAnsi" w:cstheme="minorBidi"/>
            <w:noProof/>
            <w:color w:val="auto"/>
            <w:kern w:val="2"/>
            <w:lang w:eastAsia="zh-CN"/>
            <w14:ligatures w14:val="standardContextual"/>
          </w:rPr>
          <w:tab/>
        </w:r>
        <w:r w:rsidR="00F269EC">
          <w:rPr>
            <w:rStyle w:val="Hyperlink"/>
            <w:noProof/>
            <w:lang w:val="en-GB"/>
          </w:rPr>
          <w:t>Xem</w:t>
        </w:r>
        <w:r w:rsidR="00F269EC">
          <w:rPr>
            <w:rStyle w:val="Hyperlink"/>
            <w:noProof/>
            <w:lang w:val="vi-VN"/>
          </w:rPr>
          <w:t xml:space="preserve"> xét tác động của các nỗ lực hài hòa trước đây</w:t>
        </w:r>
        <w:r>
          <w:rPr>
            <w:noProof/>
            <w:webHidden/>
          </w:rPr>
          <w:tab/>
        </w:r>
        <w:r>
          <w:rPr>
            <w:noProof/>
            <w:webHidden/>
          </w:rPr>
          <w:fldChar w:fldCharType="begin"/>
        </w:r>
        <w:r>
          <w:rPr>
            <w:noProof/>
            <w:webHidden/>
          </w:rPr>
          <w:instrText xml:space="preserve"> PAGEREF _Toc180743967 \h </w:instrText>
        </w:r>
        <w:r>
          <w:rPr>
            <w:noProof/>
            <w:webHidden/>
          </w:rPr>
        </w:r>
        <w:r>
          <w:rPr>
            <w:noProof/>
            <w:webHidden/>
          </w:rPr>
          <w:fldChar w:fldCharType="separate"/>
        </w:r>
        <w:r w:rsidR="007718BA">
          <w:rPr>
            <w:noProof/>
            <w:webHidden/>
          </w:rPr>
          <w:t>4</w:t>
        </w:r>
        <w:r>
          <w:rPr>
            <w:noProof/>
            <w:webHidden/>
          </w:rPr>
          <w:fldChar w:fldCharType="end"/>
        </w:r>
      </w:hyperlink>
      <w:r w:rsidR="009D5D96">
        <w:t>1</w:t>
      </w:r>
    </w:p>
    <w:p w14:paraId="2BD041B0" w14:textId="5C813AFB" w:rsidR="006043C2" w:rsidRDefault="006043C2">
      <w:pPr>
        <w:pStyle w:val="TOC2"/>
        <w:rPr>
          <w:rFonts w:asciiTheme="minorHAnsi" w:eastAsiaTheme="minorEastAsia" w:hAnsiTheme="minorHAnsi" w:cstheme="minorBidi"/>
          <w:noProof/>
          <w:color w:val="auto"/>
          <w:kern w:val="2"/>
          <w:lang w:eastAsia="zh-CN"/>
          <w14:ligatures w14:val="standardContextual"/>
        </w:rPr>
      </w:pPr>
      <w:hyperlink w:anchor="_Toc180743968" w:history="1">
        <w:r w:rsidRPr="00030267">
          <w:rPr>
            <w:rStyle w:val="Hyperlink"/>
            <w:noProof/>
            <w:lang w:val="en-GB"/>
          </w:rPr>
          <w:t>2.3</w:t>
        </w:r>
        <w:r>
          <w:rPr>
            <w:rFonts w:asciiTheme="minorHAnsi" w:eastAsiaTheme="minorEastAsia" w:hAnsiTheme="minorHAnsi" w:cstheme="minorBidi"/>
            <w:noProof/>
            <w:color w:val="auto"/>
            <w:kern w:val="2"/>
            <w:lang w:eastAsia="zh-CN"/>
            <w14:ligatures w14:val="standardContextual"/>
          </w:rPr>
          <w:tab/>
        </w:r>
        <w:r w:rsidR="00F269EC">
          <w:rPr>
            <w:rStyle w:val="Hyperlink"/>
            <w:noProof/>
            <w:lang w:val="en-GB"/>
          </w:rPr>
          <w:t>Lợi</w:t>
        </w:r>
        <w:r w:rsidR="00F269EC">
          <w:rPr>
            <w:rStyle w:val="Hyperlink"/>
            <w:noProof/>
            <w:lang w:val="vi-VN"/>
          </w:rPr>
          <w:t xml:space="preserve"> ích kinh tế tiềm năng cho ASEAN</w:t>
        </w:r>
        <w:r>
          <w:rPr>
            <w:noProof/>
            <w:webHidden/>
          </w:rPr>
          <w:tab/>
        </w:r>
        <w:r>
          <w:rPr>
            <w:noProof/>
            <w:webHidden/>
          </w:rPr>
          <w:fldChar w:fldCharType="begin"/>
        </w:r>
        <w:r>
          <w:rPr>
            <w:noProof/>
            <w:webHidden/>
          </w:rPr>
          <w:instrText xml:space="preserve"> PAGEREF _Toc180743968 \h </w:instrText>
        </w:r>
        <w:r>
          <w:rPr>
            <w:noProof/>
            <w:webHidden/>
          </w:rPr>
        </w:r>
        <w:r>
          <w:rPr>
            <w:noProof/>
            <w:webHidden/>
          </w:rPr>
          <w:fldChar w:fldCharType="separate"/>
        </w:r>
        <w:r w:rsidR="007718BA">
          <w:rPr>
            <w:noProof/>
            <w:webHidden/>
          </w:rPr>
          <w:t>4</w:t>
        </w:r>
        <w:r>
          <w:rPr>
            <w:noProof/>
            <w:webHidden/>
          </w:rPr>
          <w:fldChar w:fldCharType="end"/>
        </w:r>
      </w:hyperlink>
      <w:r w:rsidR="009D5D96">
        <w:t>3</w:t>
      </w:r>
    </w:p>
    <w:p w14:paraId="6F74B954" w14:textId="5D5BC826" w:rsidR="006043C2" w:rsidRDefault="006043C2">
      <w:pPr>
        <w:pStyle w:val="TOC1"/>
        <w:rPr>
          <w:rFonts w:asciiTheme="minorHAnsi" w:eastAsiaTheme="minorEastAsia" w:hAnsiTheme="minorHAnsi" w:cstheme="minorBidi"/>
          <w:b w:val="0"/>
          <w:bCs w:val="0"/>
          <w:color w:val="auto"/>
          <w:kern w:val="2"/>
          <w:lang w:eastAsia="zh-CN"/>
          <w14:ligatures w14:val="standardContextual"/>
        </w:rPr>
      </w:pPr>
      <w:hyperlink w:anchor="_Toc180743969" w:history="1">
        <w:r w:rsidRPr="00030267">
          <w:rPr>
            <w:rStyle w:val="Hyperlink"/>
            <w:lang w:val="en-GB"/>
          </w:rPr>
          <w:t>3.</w:t>
        </w:r>
        <w:r>
          <w:rPr>
            <w:rFonts w:asciiTheme="minorHAnsi" w:eastAsiaTheme="minorEastAsia" w:hAnsiTheme="minorHAnsi" w:cstheme="minorBidi"/>
            <w:b w:val="0"/>
            <w:bCs w:val="0"/>
            <w:color w:val="auto"/>
            <w:kern w:val="2"/>
            <w:lang w:eastAsia="zh-CN"/>
            <w14:ligatures w14:val="standardContextual"/>
          </w:rPr>
          <w:tab/>
        </w:r>
        <w:r w:rsidR="00F269EC">
          <w:rPr>
            <w:rStyle w:val="Hyperlink"/>
            <w:lang w:val="en-GB"/>
          </w:rPr>
          <w:t>Tổng</w:t>
        </w:r>
        <w:r w:rsidR="00F269EC">
          <w:rPr>
            <w:rStyle w:val="Hyperlink"/>
            <w:lang w:val="vi-VN"/>
          </w:rPr>
          <w:t xml:space="preserve"> quan về </w:t>
        </w:r>
        <w:r w:rsidR="00F873B7">
          <w:rPr>
            <w:rStyle w:val="Hyperlink"/>
            <w:lang w:val="en-AU"/>
          </w:rPr>
          <w:t>TCTMS</w:t>
        </w:r>
        <w:r w:rsidR="00F269EC">
          <w:rPr>
            <w:rStyle w:val="Hyperlink"/>
            <w:lang w:val="vi-VN"/>
          </w:rPr>
          <w:t xml:space="preserve"> t</w:t>
        </w:r>
        <w:r w:rsidR="00F873B7">
          <w:rPr>
            <w:rStyle w:val="Hyperlink"/>
            <w:lang w:val="en-AU"/>
          </w:rPr>
          <w:t>rong</w:t>
        </w:r>
        <w:r w:rsidR="00F269EC">
          <w:rPr>
            <w:rStyle w:val="Hyperlink"/>
            <w:lang w:val="vi-VN"/>
          </w:rPr>
          <w:t xml:space="preserve"> ASEAN</w:t>
        </w:r>
        <w:r>
          <w:rPr>
            <w:webHidden/>
          </w:rPr>
          <w:tab/>
        </w:r>
        <w:r>
          <w:rPr>
            <w:webHidden/>
          </w:rPr>
          <w:fldChar w:fldCharType="begin"/>
        </w:r>
        <w:r>
          <w:rPr>
            <w:webHidden/>
          </w:rPr>
          <w:instrText xml:space="preserve"> PAGEREF _Toc180743969 \h </w:instrText>
        </w:r>
        <w:r>
          <w:rPr>
            <w:webHidden/>
          </w:rPr>
        </w:r>
        <w:r>
          <w:rPr>
            <w:webHidden/>
          </w:rPr>
          <w:fldChar w:fldCharType="separate"/>
        </w:r>
        <w:r w:rsidR="007718BA">
          <w:rPr>
            <w:webHidden/>
          </w:rPr>
          <w:t>4</w:t>
        </w:r>
        <w:r>
          <w:rPr>
            <w:webHidden/>
          </w:rPr>
          <w:fldChar w:fldCharType="end"/>
        </w:r>
      </w:hyperlink>
      <w:r w:rsidR="00815A45">
        <w:t>5</w:t>
      </w:r>
    </w:p>
    <w:p w14:paraId="6BF6B4CA" w14:textId="294398DB" w:rsidR="006043C2" w:rsidRDefault="006043C2">
      <w:pPr>
        <w:pStyle w:val="TOC2"/>
        <w:rPr>
          <w:rFonts w:asciiTheme="minorHAnsi" w:eastAsiaTheme="minorEastAsia" w:hAnsiTheme="minorHAnsi" w:cstheme="minorBidi"/>
          <w:noProof/>
          <w:color w:val="auto"/>
          <w:kern w:val="2"/>
          <w:lang w:eastAsia="zh-CN"/>
          <w14:ligatures w14:val="standardContextual"/>
        </w:rPr>
      </w:pPr>
      <w:hyperlink w:anchor="_Toc180743970" w:history="1">
        <w:r w:rsidRPr="00030267">
          <w:rPr>
            <w:rStyle w:val="Hyperlink"/>
            <w:noProof/>
            <w:lang w:val="en-GB"/>
          </w:rPr>
          <w:t>3.1</w:t>
        </w:r>
        <w:r>
          <w:rPr>
            <w:rFonts w:asciiTheme="minorHAnsi" w:eastAsiaTheme="minorEastAsia" w:hAnsiTheme="minorHAnsi" w:cstheme="minorBidi"/>
            <w:noProof/>
            <w:color w:val="auto"/>
            <w:kern w:val="2"/>
            <w:lang w:eastAsia="zh-CN"/>
            <w14:ligatures w14:val="standardContextual"/>
          </w:rPr>
          <w:tab/>
        </w:r>
        <w:r w:rsidR="00F269EC">
          <w:rPr>
            <w:rStyle w:val="Hyperlink"/>
            <w:noProof/>
            <w:lang w:val="en-GB"/>
          </w:rPr>
          <w:t>Xác</w:t>
        </w:r>
        <w:r w:rsidR="00F269EC">
          <w:rPr>
            <w:rStyle w:val="Hyperlink"/>
            <w:noProof/>
            <w:lang w:val="vi-VN"/>
          </w:rPr>
          <w:t xml:space="preserve"> định các lĩnh vực thương mại số chính</w:t>
        </w:r>
        <w:r>
          <w:rPr>
            <w:noProof/>
            <w:webHidden/>
          </w:rPr>
          <w:tab/>
        </w:r>
        <w:r>
          <w:rPr>
            <w:noProof/>
            <w:webHidden/>
          </w:rPr>
          <w:fldChar w:fldCharType="begin"/>
        </w:r>
        <w:r>
          <w:rPr>
            <w:noProof/>
            <w:webHidden/>
          </w:rPr>
          <w:instrText xml:space="preserve"> PAGEREF _Toc180743970 \h </w:instrText>
        </w:r>
        <w:r>
          <w:rPr>
            <w:noProof/>
            <w:webHidden/>
          </w:rPr>
        </w:r>
        <w:r>
          <w:rPr>
            <w:noProof/>
            <w:webHidden/>
          </w:rPr>
          <w:fldChar w:fldCharType="separate"/>
        </w:r>
        <w:r w:rsidR="007718BA">
          <w:rPr>
            <w:noProof/>
            <w:webHidden/>
          </w:rPr>
          <w:t>4</w:t>
        </w:r>
        <w:r>
          <w:rPr>
            <w:noProof/>
            <w:webHidden/>
          </w:rPr>
          <w:fldChar w:fldCharType="end"/>
        </w:r>
      </w:hyperlink>
      <w:r w:rsidR="00815A45">
        <w:t>5</w:t>
      </w:r>
    </w:p>
    <w:p w14:paraId="72828B29" w14:textId="263D1627" w:rsidR="006043C2" w:rsidRDefault="006043C2">
      <w:pPr>
        <w:pStyle w:val="TOC2"/>
        <w:rPr>
          <w:rFonts w:asciiTheme="minorHAnsi" w:eastAsiaTheme="minorEastAsia" w:hAnsiTheme="minorHAnsi" w:cstheme="minorBidi"/>
          <w:noProof/>
          <w:color w:val="auto"/>
          <w:kern w:val="2"/>
          <w:lang w:eastAsia="zh-CN"/>
          <w14:ligatures w14:val="standardContextual"/>
        </w:rPr>
      </w:pPr>
      <w:hyperlink w:anchor="_Toc180743971" w:history="1">
        <w:r w:rsidRPr="00030267">
          <w:rPr>
            <w:rStyle w:val="Hyperlink"/>
            <w:noProof/>
            <w:lang w:val="en-GB"/>
          </w:rPr>
          <w:t>3.2</w:t>
        </w:r>
        <w:r>
          <w:rPr>
            <w:rFonts w:asciiTheme="minorHAnsi" w:eastAsiaTheme="minorEastAsia" w:hAnsiTheme="minorHAnsi" w:cstheme="minorBidi"/>
            <w:noProof/>
            <w:color w:val="auto"/>
            <w:kern w:val="2"/>
            <w:lang w:eastAsia="zh-CN"/>
            <w14:ligatures w14:val="standardContextual"/>
          </w:rPr>
          <w:tab/>
        </w:r>
        <w:r w:rsidR="00F269EC">
          <w:rPr>
            <w:rStyle w:val="Hyperlink"/>
            <w:noProof/>
            <w:lang w:val="en-GB"/>
          </w:rPr>
          <w:t>Đánh</w:t>
        </w:r>
        <w:r w:rsidR="00F269EC">
          <w:rPr>
            <w:rStyle w:val="Hyperlink"/>
            <w:noProof/>
            <w:lang w:val="vi-VN"/>
          </w:rPr>
          <w:t xml:space="preserve"> giá khoảng cách về </w:t>
        </w:r>
        <w:r w:rsidR="004B421F">
          <w:rPr>
            <w:rStyle w:val="Hyperlink"/>
            <w:noProof/>
            <w:lang w:val="vi-VN"/>
          </w:rPr>
          <w:t>việc</w:t>
        </w:r>
        <w:r w:rsidR="00F269EC">
          <w:rPr>
            <w:rStyle w:val="Hyperlink"/>
            <w:noProof/>
            <w:lang w:val="vi-VN"/>
          </w:rPr>
          <w:t xml:space="preserve"> áp dụng </w:t>
        </w:r>
        <w:r w:rsidR="00F873B7">
          <w:rPr>
            <w:rStyle w:val="Hyperlink"/>
            <w:noProof/>
            <w:lang w:val="vi-VN"/>
          </w:rPr>
          <w:t>TCTMS</w:t>
        </w:r>
        <w:r w:rsidR="00F269EC">
          <w:rPr>
            <w:rStyle w:val="Hyperlink"/>
            <w:noProof/>
            <w:lang w:val="vi-VN"/>
          </w:rPr>
          <w:t xml:space="preserve"> trong ASEAN</w:t>
        </w:r>
        <w:r>
          <w:rPr>
            <w:noProof/>
            <w:webHidden/>
          </w:rPr>
          <w:tab/>
        </w:r>
        <w:r>
          <w:rPr>
            <w:noProof/>
            <w:webHidden/>
          </w:rPr>
          <w:fldChar w:fldCharType="begin"/>
        </w:r>
        <w:r>
          <w:rPr>
            <w:noProof/>
            <w:webHidden/>
          </w:rPr>
          <w:instrText xml:space="preserve"> PAGEREF _Toc180743971 \h </w:instrText>
        </w:r>
        <w:r>
          <w:rPr>
            <w:noProof/>
            <w:webHidden/>
          </w:rPr>
        </w:r>
        <w:r>
          <w:rPr>
            <w:noProof/>
            <w:webHidden/>
          </w:rPr>
          <w:fldChar w:fldCharType="separate"/>
        </w:r>
        <w:r w:rsidR="007718BA">
          <w:rPr>
            <w:noProof/>
            <w:webHidden/>
          </w:rPr>
          <w:t>4</w:t>
        </w:r>
        <w:r>
          <w:rPr>
            <w:noProof/>
            <w:webHidden/>
          </w:rPr>
          <w:fldChar w:fldCharType="end"/>
        </w:r>
      </w:hyperlink>
      <w:r w:rsidR="00815A45">
        <w:t>7</w:t>
      </w:r>
    </w:p>
    <w:p w14:paraId="1521A5C0" w14:textId="5CE01335" w:rsidR="006043C2" w:rsidRDefault="006043C2">
      <w:pPr>
        <w:pStyle w:val="TOC2"/>
        <w:rPr>
          <w:rFonts w:asciiTheme="minorHAnsi" w:eastAsiaTheme="minorEastAsia" w:hAnsiTheme="minorHAnsi" w:cstheme="minorBidi"/>
          <w:noProof/>
          <w:color w:val="auto"/>
          <w:kern w:val="2"/>
          <w:lang w:eastAsia="zh-CN"/>
          <w14:ligatures w14:val="standardContextual"/>
        </w:rPr>
      </w:pPr>
      <w:hyperlink w:anchor="_Toc180743972" w:history="1">
        <w:r w:rsidRPr="00030267">
          <w:rPr>
            <w:rStyle w:val="Hyperlink"/>
            <w:noProof/>
            <w:lang w:val="en-GB"/>
          </w:rPr>
          <w:t>3.3</w:t>
        </w:r>
        <w:r>
          <w:rPr>
            <w:rFonts w:asciiTheme="minorHAnsi" w:eastAsiaTheme="minorEastAsia" w:hAnsiTheme="minorHAnsi" w:cstheme="minorBidi"/>
            <w:noProof/>
            <w:color w:val="auto"/>
            <w:kern w:val="2"/>
            <w:lang w:eastAsia="zh-CN"/>
            <w14:ligatures w14:val="standardContextual"/>
          </w:rPr>
          <w:tab/>
        </w:r>
        <w:r w:rsidR="00F269EC">
          <w:rPr>
            <w:rStyle w:val="Hyperlink"/>
            <w:bCs/>
            <w:noProof/>
            <w:lang w:val="en-GB"/>
          </w:rPr>
          <w:t>Kết</w:t>
        </w:r>
        <w:r w:rsidR="00F269EC">
          <w:rPr>
            <w:rStyle w:val="Hyperlink"/>
            <w:bCs/>
            <w:noProof/>
            <w:lang w:val="vi-VN"/>
          </w:rPr>
          <w:t xml:space="preserve"> luận và các bước tiếp theo</w:t>
        </w:r>
        <w:r>
          <w:rPr>
            <w:noProof/>
            <w:webHidden/>
          </w:rPr>
          <w:tab/>
        </w:r>
        <w:r>
          <w:rPr>
            <w:noProof/>
            <w:webHidden/>
          </w:rPr>
          <w:fldChar w:fldCharType="begin"/>
        </w:r>
        <w:r>
          <w:rPr>
            <w:noProof/>
            <w:webHidden/>
          </w:rPr>
          <w:instrText xml:space="preserve"> PAGEREF _Toc180743972 \h </w:instrText>
        </w:r>
        <w:r>
          <w:rPr>
            <w:noProof/>
            <w:webHidden/>
          </w:rPr>
        </w:r>
        <w:r>
          <w:rPr>
            <w:noProof/>
            <w:webHidden/>
          </w:rPr>
          <w:fldChar w:fldCharType="separate"/>
        </w:r>
        <w:r w:rsidR="007718BA">
          <w:rPr>
            <w:noProof/>
            <w:webHidden/>
          </w:rPr>
          <w:t>9</w:t>
        </w:r>
        <w:r>
          <w:rPr>
            <w:noProof/>
            <w:webHidden/>
          </w:rPr>
          <w:fldChar w:fldCharType="end"/>
        </w:r>
      </w:hyperlink>
      <w:r w:rsidR="00815A45">
        <w:t>6</w:t>
      </w:r>
    </w:p>
    <w:p w14:paraId="46E061FC" w14:textId="3BB5453C" w:rsidR="006043C2" w:rsidRDefault="006043C2">
      <w:pPr>
        <w:pStyle w:val="TOC1"/>
        <w:rPr>
          <w:rFonts w:asciiTheme="minorHAnsi" w:eastAsiaTheme="minorEastAsia" w:hAnsiTheme="minorHAnsi" w:cstheme="minorBidi"/>
          <w:b w:val="0"/>
          <w:bCs w:val="0"/>
          <w:color w:val="auto"/>
          <w:kern w:val="2"/>
          <w:lang w:eastAsia="zh-CN"/>
          <w14:ligatures w14:val="standardContextual"/>
        </w:rPr>
      </w:pPr>
      <w:hyperlink w:anchor="_Toc180743973" w:history="1">
        <w:r w:rsidRPr="00030267">
          <w:rPr>
            <w:rStyle w:val="Hyperlink"/>
            <w:lang w:val="en-GB"/>
          </w:rPr>
          <w:t>4.</w:t>
        </w:r>
        <w:r>
          <w:rPr>
            <w:rFonts w:asciiTheme="minorHAnsi" w:eastAsiaTheme="minorEastAsia" w:hAnsiTheme="minorHAnsi" w:cstheme="minorBidi"/>
            <w:b w:val="0"/>
            <w:bCs w:val="0"/>
            <w:color w:val="auto"/>
            <w:kern w:val="2"/>
            <w:lang w:eastAsia="zh-CN"/>
            <w14:ligatures w14:val="standardContextual"/>
          </w:rPr>
          <w:tab/>
        </w:r>
        <w:r w:rsidR="00F269EC">
          <w:rPr>
            <w:rStyle w:val="Hyperlink"/>
            <w:lang w:val="en-GB"/>
          </w:rPr>
          <w:t>Khung</w:t>
        </w:r>
        <w:r w:rsidR="00F269EC">
          <w:rPr>
            <w:rStyle w:val="Hyperlink"/>
            <w:lang w:val="vi-VN"/>
          </w:rPr>
          <w:t xml:space="preserve"> chiến lược cho việc hài hòa </w:t>
        </w:r>
        <w:r w:rsidR="00F873B7">
          <w:rPr>
            <w:rStyle w:val="Hyperlink"/>
            <w:lang w:val="vi-VN"/>
          </w:rPr>
          <w:t>TCTMS</w:t>
        </w:r>
        <w:r w:rsidR="00F269EC">
          <w:rPr>
            <w:rStyle w:val="Hyperlink"/>
            <w:lang w:val="vi-VN"/>
          </w:rPr>
          <w:t xml:space="preserve"> tại ASEAN</w:t>
        </w:r>
        <w:r>
          <w:rPr>
            <w:webHidden/>
          </w:rPr>
          <w:tab/>
        </w:r>
        <w:r>
          <w:rPr>
            <w:webHidden/>
          </w:rPr>
          <w:fldChar w:fldCharType="begin"/>
        </w:r>
        <w:r>
          <w:rPr>
            <w:webHidden/>
          </w:rPr>
          <w:instrText xml:space="preserve"> PAGEREF _Toc180743973 \h </w:instrText>
        </w:r>
        <w:r>
          <w:rPr>
            <w:webHidden/>
          </w:rPr>
        </w:r>
        <w:r>
          <w:rPr>
            <w:webHidden/>
          </w:rPr>
          <w:fldChar w:fldCharType="separate"/>
        </w:r>
        <w:r w:rsidR="007718BA">
          <w:rPr>
            <w:webHidden/>
          </w:rPr>
          <w:t>9</w:t>
        </w:r>
        <w:r>
          <w:rPr>
            <w:webHidden/>
          </w:rPr>
          <w:fldChar w:fldCharType="end"/>
        </w:r>
      </w:hyperlink>
      <w:r w:rsidR="00815A45">
        <w:t>7</w:t>
      </w:r>
    </w:p>
    <w:p w14:paraId="291BD2F8" w14:textId="42457DD7" w:rsidR="006043C2" w:rsidRDefault="006043C2">
      <w:pPr>
        <w:pStyle w:val="TOC2"/>
        <w:rPr>
          <w:rFonts w:asciiTheme="minorHAnsi" w:eastAsiaTheme="minorEastAsia" w:hAnsiTheme="minorHAnsi" w:cstheme="minorBidi"/>
          <w:noProof/>
          <w:color w:val="auto"/>
          <w:kern w:val="2"/>
          <w:lang w:eastAsia="zh-CN"/>
          <w14:ligatures w14:val="standardContextual"/>
        </w:rPr>
      </w:pPr>
      <w:hyperlink w:anchor="_Toc180743974" w:history="1">
        <w:r w:rsidRPr="00030267">
          <w:rPr>
            <w:rStyle w:val="Hyperlink"/>
            <w:noProof/>
            <w:lang w:val="en-GB"/>
          </w:rPr>
          <w:t>4.1</w:t>
        </w:r>
        <w:r>
          <w:rPr>
            <w:rFonts w:asciiTheme="minorHAnsi" w:eastAsiaTheme="minorEastAsia" w:hAnsiTheme="minorHAnsi" w:cstheme="minorBidi"/>
            <w:noProof/>
            <w:color w:val="auto"/>
            <w:kern w:val="2"/>
            <w:lang w:eastAsia="zh-CN"/>
            <w14:ligatures w14:val="standardContextual"/>
          </w:rPr>
          <w:tab/>
        </w:r>
        <w:r w:rsidR="00F269EC">
          <w:rPr>
            <w:rStyle w:val="Hyperlink"/>
            <w:noProof/>
            <w:lang w:val="en-GB"/>
          </w:rPr>
          <w:t>Khung</w:t>
        </w:r>
        <w:r w:rsidR="00F269EC">
          <w:rPr>
            <w:rStyle w:val="Hyperlink"/>
            <w:noProof/>
            <w:lang w:val="vi-VN"/>
          </w:rPr>
          <w:t xml:space="preserve"> chiến lược</w:t>
        </w:r>
        <w:r>
          <w:rPr>
            <w:noProof/>
            <w:webHidden/>
          </w:rPr>
          <w:tab/>
        </w:r>
        <w:r>
          <w:rPr>
            <w:noProof/>
            <w:webHidden/>
          </w:rPr>
          <w:fldChar w:fldCharType="begin"/>
        </w:r>
        <w:r>
          <w:rPr>
            <w:noProof/>
            <w:webHidden/>
          </w:rPr>
          <w:instrText xml:space="preserve"> PAGEREF _Toc180743974 \h </w:instrText>
        </w:r>
        <w:r>
          <w:rPr>
            <w:noProof/>
            <w:webHidden/>
          </w:rPr>
        </w:r>
        <w:r>
          <w:rPr>
            <w:noProof/>
            <w:webHidden/>
          </w:rPr>
          <w:fldChar w:fldCharType="separate"/>
        </w:r>
        <w:r w:rsidR="007718BA">
          <w:rPr>
            <w:noProof/>
            <w:webHidden/>
          </w:rPr>
          <w:t>9</w:t>
        </w:r>
        <w:r>
          <w:rPr>
            <w:noProof/>
            <w:webHidden/>
          </w:rPr>
          <w:fldChar w:fldCharType="end"/>
        </w:r>
      </w:hyperlink>
      <w:r w:rsidR="00815A45">
        <w:t>7</w:t>
      </w:r>
    </w:p>
    <w:p w14:paraId="2B794671" w14:textId="664B4D61" w:rsidR="006043C2" w:rsidRDefault="006043C2">
      <w:pPr>
        <w:pStyle w:val="TOC2"/>
        <w:rPr>
          <w:rFonts w:asciiTheme="minorHAnsi" w:eastAsiaTheme="minorEastAsia" w:hAnsiTheme="minorHAnsi" w:cstheme="minorBidi"/>
          <w:noProof/>
          <w:color w:val="auto"/>
          <w:kern w:val="2"/>
          <w:lang w:eastAsia="zh-CN"/>
          <w14:ligatures w14:val="standardContextual"/>
        </w:rPr>
      </w:pPr>
      <w:hyperlink w:anchor="_Toc180743975" w:history="1">
        <w:r w:rsidRPr="00030267">
          <w:rPr>
            <w:rStyle w:val="Hyperlink"/>
            <w:noProof/>
            <w:lang w:val="en-GB"/>
          </w:rPr>
          <w:t>4.2</w:t>
        </w:r>
        <w:r>
          <w:rPr>
            <w:rFonts w:asciiTheme="minorHAnsi" w:eastAsiaTheme="minorEastAsia" w:hAnsiTheme="minorHAnsi" w:cstheme="minorBidi"/>
            <w:noProof/>
            <w:color w:val="auto"/>
            <w:kern w:val="2"/>
            <w:lang w:eastAsia="zh-CN"/>
            <w14:ligatures w14:val="standardContextual"/>
          </w:rPr>
          <w:tab/>
        </w:r>
        <w:r w:rsidR="00F269EC">
          <w:rPr>
            <w:rStyle w:val="Hyperlink"/>
            <w:noProof/>
            <w:lang w:val="en-GB"/>
          </w:rPr>
          <w:t>Các</w:t>
        </w:r>
        <w:r w:rsidR="00F269EC">
          <w:rPr>
            <w:rStyle w:val="Hyperlink"/>
            <w:noProof/>
            <w:lang w:val="vi-VN"/>
          </w:rPr>
          <w:t xml:space="preserve"> yếu tố cần cân nhắc khi thiết kế lộ trình</w:t>
        </w:r>
        <w:r>
          <w:rPr>
            <w:noProof/>
            <w:webHidden/>
          </w:rPr>
          <w:tab/>
        </w:r>
        <w:r>
          <w:rPr>
            <w:noProof/>
            <w:webHidden/>
          </w:rPr>
          <w:fldChar w:fldCharType="begin"/>
        </w:r>
        <w:r>
          <w:rPr>
            <w:noProof/>
            <w:webHidden/>
          </w:rPr>
          <w:instrText xml:space="preserve"> PAGEREF _Toc180743975 \h </w:instrText>
        </w:r>
        <w:r>
          <w:rPr>
            <w:noProof/>
            <w:webHidden/>
          </w:rPr>
        </w:r>
        <w:r>
          <w:rPr>
            <w:noProof/>
            <w:webHidden/>
          </w:rPr>
          <w:fldChar w:fldCharType="separate"/>
        </w:r>
        <w:r w:rsidR="007718BA">
          <w:rPr>
            <w:noProof/>
            <w:webHidden/>
          </w:rPr>
          <w:t>10</w:t>
        </w:r>
        <w:r>
          <w:rPr>
            <w:noProof/>
            <w:webHidden/>
          </w:rPr>
          <w:fldChar w:fldCharType="end"/>
        </w:r>
      </w:hyperlink>
      <w:r w:rsidR="00815A45">
        <w:t>5</w:t>
      </w:r>
    </w:p>
    <w:p w14:paraId="6690286D" w14:textId="5D9665AA" w:rsidR="006043C2" w:rsidRDefault="006043C2">
      <w:pPr>
        <w:pStyle w:val="TOC1"/>
        <w:rPr>
          <w:rFonts w:asciiTheme="minorHAnsi" w:eastAsiaTheme="minorEastAsia" w:hAnsiTheme="minorHAnsi" w:cstheme="minorBidi"/>
          <w:b w:val="0"/>
          <w:bCs w:val="0"/>
          <w:color w:val="auto"/>
          <w:kern w:val="2"/>
          <w:lang w:eastAsia="zh-CN"/>
          <w14:ligatures w14:val="standardContextual"/>
        </w:rPr>
      </w:pPr>
      <w:hyperlink w:anchor="_Toc180743976" w:history="1">
        <w:r w:rsidRPr="00030267">
          <w:rPr>
            <w:rStyle w:val="Hyperlink"/>
            <w:lang w:val="en-GB"/>
          </w:rPr>
          <w:t>5.</w:t>
        </w:r>
        <w:r>
          <w:rPr>
            <w:rFonts w:asciiTheme="minorHAnsi" w:eastAsiaTheme="minorEastAsia" w:hAnsiTheme="minorHAnsi" w:cstheme="minorBidi"/>
            <w:b w:val="0"/>
            <w:bCs w:val="0"/>
            <w:color w:val="auto"/>
            <w:kern w:val="2"/>
            <w:lang w:eastAsia="zh-CN"/>
            <w14:ligatures w14:val="standardContextual"/>
          </w:rPr>
          <w:tab/>
        </w:r>
        <w:r w:rsidR="00F269EC">
          <w:rPr>
            <w:rStyle w:val="Hyperlink"/>
            <w:lang w:val="en-GB"/>
          </w:rPr>
          <w:t>Khuyến</w:t>
        </w:r>
        <w:r w:rsidR="00F269EC">
          <w:rPr>
            <w:rStyle w:val="Hyperlink"/>
            <w:lang w:val="vi-VN"/>
          </w:rPr>
          <w:t xml:space="preserve"> nghị chính cho </w:t>
        </w:r>
        <w:r w:rsidR="00917BBA">
          <w:rPr>
            <w:rStyle w:val="Hyperlink"/>
            <w:lang w:val="vi-VN"/>
          </w:rPr>
          <w:t xml:space="preserve">Hòa hợp </w:t>
        </w:r>
        <w:r w:rsidR="00F873B7">
          <w:rPr>
            <w:rStyle w:val="Hyperlink"/>
            <w:lang w:val="vi-VN"/>
          </w:rPr>
          <w:t>TCTMS</w:t>
        </w:r>
        <w:r w:rsidR="00917BBA">
          <w:rPr>
            <w:rStyle w:val="Hyperlink"/>
            <w:lang w:val="vi-VN"/>
          </w:rPr>
          <w:t xml:space="preserve"> tại ASEAN</w:t>
        </w:r>
        <w:r>
          <w:rPr>
            <w:webHidden/>
          </w:rPr>
          <w:tab/>
        </w:r>
        <w:r>
          <w:rPr>
            <w:webHidden/>
          </w:rPr>
          <w:fldChar w:fldCharType="begin"/>
        </w:r>
        <w:r>
          <w:rPr>
            <w:webHidden/>
          </w:rPr>
          <w:instrText xml:space="preserve"> PAGEREF _Toc180743976 \h </w:instrText>
        </w:r>
        <w:r>
          <w:rPr>
            <w:webHidden/>
          </w:rPr>
        </w:r>
        <w:r>
          <w:rPr>
            <w:webHidden/>
          </w:rPr>
          <w:fldChar w:fldCharType="separate"/>
        </w:r>
        <w:r w:rsidR="007718BA">
          <w:rPr>
            <w:webHidden/>
          </w:rPr>
          <w:t>10</w:t>
        </w:r>
        <w:r>
          <w:rPr>
            <w:webHidden/>
          </w:rPr>
          <w:fldChar w:fldCharType="end"/>
        </w:r>
      </w:hyperlink>
      <w:r w:rsidR="00815A45">
        <w:t>7</w:t>
      </w:r>
    </w:p>
    <w:p w14:paraId="436BD376" w14:textId="4295D568" w:rsidR="006043C2" w:rsidRDefault="006043C2">
      <w:pPr>
        <w:pStyle w:val="TOC2"/>
        <w:rPr>
          <w:rFonts w:asciiTheme="minorHAnsi" w:eastAsiaTheme="minorEastAsia" w:hAnsiTheme="minorHAnsi" w:cstheme="minorBidi"/>
          <w:noProof/>
          <w:color w:val="auto"/>
          <w:kern w:val="2"/>
          <w:lang w:eastAsia="zh-CN"/>
          <w14:ligatures w14:val="standardContextual"/>
        </w:rPr>
      </w:pPr>
      <w:hyperlink w:anchor="_Toc180743977" w:history="1">
        <w:r w:rsidRPr="00030267">
          <w:rPr>
            <w:rStyle w:val="Hyperlink"/>
            <w:noProof/>
            <w:lang w:val="en-GB"/>
          </w:rPr>
          <w:t>5.1</w:t>
        </w:r>
        <w:r>
          <w:rPr>
            <w:rFonts w:asciiTheme="minorHAnsi" w:eastAsiaTheme="minorEastAsia" w:hAnsiTheme="minorHAnsi" w:cstheme="minorBidi"/>
            <w:noProof/>
            <w:color w:val="auto"/>
            <w:kern w:val="2"/>
            <w:lang w:eastAsia="zh-CN"/>
            <w14:ligatures w14:val="standardContextual"/>
          </w:rPr>
          <w:tab/>
        </w:r>
        <w:r w:rsidR="00917BBA">
          <w:rPr>
            <w:rStyle w:val="Hyperlink"/>
            <w:noProof/>
            <w:lang w:val="en-GB"/>
          </w:rPr>
          <w:t>Tổng</w:t>
        </w:r>
        <w:r w:rsidR="00917BBA">
          <w:rPr>
            <w:rStyle w:val="Hyperlink"/>
            <w:noProof/>
            <w:lang w:val="vi-VN"/>
          </w:rPr>
          <w:t xml:space="preserve"> quan về các sáng kiến Số chính của ASEAN</w:t>
        </w:r>
        <w:r>
          <w:rPr>
            <w:noProof/>
            <w:webHidden/>
          </w:rPr>
          <w:tab/>
        </w:r>
        <w:r>
          <w:rPr>
            <w:noProof/>
            <w:webHidden/>
          </w:rPr>
          <w:fldChar w:fldCharType="begin"/>
        </w:r>
        <w:r>
          <w:rPr>
            <w:noProof/>
            <w:webHidden/>
          </w:rPr>
          <w:instrText xml:space="preserve"> PAGEREF _Toc180743977 \h </w:instrText>
        </w:r>
        <w:r>
          <w:rPr>
            <w:noProof/>
            <w:webHidden/>
          </w:rPr>
        </w:r>
        <w:r>
          <w:rPr>
            <w:noProof/>
            <w:webHidden/>
          </w:rPr>
          <w:fldChar w:fldCharType="separate"/>
        </w:r>
        <w:r w:rsidR="007718BA">
          <w:rPr>
            <w:noProof/>
            <w:webHidden/>
          </w:rPr>
          <w:t>10</w:t>
        </w:r>
        <w:r>
          <w:rPr>
            <w:noProof/>
            <w:webHidden/>
          </w:rPr>
          <w:fldChar w:fldCharType="end"/>
        </w:r>
      </w:hyperlink>
      <w:r w:rsidR="00815A45">
        <w:t>7</w:t>
      </w:r>
    </w:p>
    <w:p w14:paraId="1A9C24FE" w14:textId="177CB93C" w:rsidR="006043C2" w:rsidRDefault="006043C2">
      <w:pPr>
        <w:pStyle w:val="TOC2"/>
        <w:rPr>
          <w:rFonts w:asciiTheme="minorHAnsi" w:eastAsiaTheme="minorEastAsia" w:hAnsiTheme="minorHAnsi" w:cstheme="minorBidi"/>
          <w:noProof/>
          <w:color w:val="auto"/>
          <w:kern w:val="2"/>
          <w:lang w:eastAsia="zh-CN"/>
          <w14:ligatures w14:val="standardContextual"/>
        </w:rPr>
      </w:pPr>
      <w:hyperlink w:anchor="_Toc180743978" w:history="1">
        <w:r w:rsidRPr="00030267">
          <w:rPr>
            <w:rStyle w:val="Hyperlink"/>
            <w:noProof/>
            <w:lang w:val="en-GB"/>
          </w:rPr>
          <w:t>5.2</w:t>
        </w:r>
        <w:r>
          <w:rPr>
            <w:rFonts w:asciiTheme="minorHAnsi" w:eastAsiaTheme="minorEastAsia" w:hAnsiTheme="minorHAnsi" w:cstheme="minorBidi"/>
            <w:noProof/>
            <w:color w:val="auto"/>
            <w:kern w:val="2"/>
            <w:lang w:eastAsia="zh-CN"/>
            <w14:ligatures w14:val="standardContextual"/>
          </w:rPr>
          <w:tab/>
        </w:r>
        <w:r w:rsidR="00917BBA">
          <w:rPr>
            <w:rStyle w:val="Hyperlink"/>
            <w:noProof/>
            <w:lang w:val="en-GB"/>
          </w:rPr>
          <w:t>Lộ</w:t>
        </w:r>
        <w:r w:rsidR="00917BBA">
          <w:rPr>
            <w:rStyle w:val="Hyperlink"/>
            <w:noProof/>
            <w:lang w:val="vi-VN"/>
          </w:rPr>
          <w:t xml:space="preserve"> trình tiêu chuẩn Thương mại </w:t>
        </w:r>
        <w:r w:rsidR="008F3F10">
          <w:rPr>
            <w:rStyle w:val="Hyperlink"/>
            <w:noProof/>
            <w:lang w:val="vi-VN"/>
          </w:rPr>
          <w:t>Số</w:t>
        </w:r>
        <w:r>
          <w:rPr>
            <w:noProof/>
            <w:webHidden/>
          </w:rPr>
          <w:tab/>
        </w:r>
        <w:r>
          <w:rPr>
            <w:noProof/>
            <w:webHidden/>
          </w:rPr>
          <w:fldChar w:fldCharType="begin"/>
        </w:r>
        <w:r>
          <w:rPr>
            <w:noProof/>
            <w:webHidden/>
          </w:rPr>
          <w:instrText xml:space="preserve"> PAGEREF _Toc180743978 \h </w:instrText>
        </w:r>
        <w:r>
          <w:rPr>
            <w:noProof/>
            <w:webHidden/>
          </w:rPr>
        </w:r>
        <w:r>
          <w:rPr>
            <w:noProof/>
            <w:webHidden/>
          </w:rPr>
          <w:fldChar w:fldCharType="separate"/>
        </w:r>
        <w:r w:rsidR="007718BA">
          <w:rPr>
            <w:noProof/>
            <w:webHidden/>
          </w:rPr>
          <w:t>10</w:t>
        </w:r>
        <w:r>
          <w:rPr>
            <w:noProof/>
            <w:webHidden/>
          </w:rPr>
          <w:fldChar w:fldCharType="end"/>
        </w:r>
      </w:hyperlink>
      <w:r w:rsidR="00815A45">
        <w:t>8</w:t>
      </w:r>
    </w:p>
    <w:p w14:paraId="7343F6EB" w14:textId="790E34E0" w:rsidR="006043C2" w:rsidRPr="006043C2" w:rsidRDefault="008F3F10">
      <w:pPr>
        <w:pStyle w:val="TOC2"/>
        <w:rPr>
          <w:rFonts w:asciiTheme="minorHAnsi" w:eastAsiaTheme="minorEastAsia" w:hAnsiTheme="minorHAnsi" w:cstheme="minorBidi"/>
          <w:noProof/>
          <w:color w:val="auto"/>
          <w:kern w:val="2"/>
          <w:lang w:eastAsia="zh-CN"/>
          <w14:ligatures w14:val="standardContextual"/>
        </w:rPr>
      </w:pPr>
      <w:hyperlink w:anchor="_Toc180743979" w:history="1">
        <w:r>
          <w:rPr>
            <w:rStyle w:val="Hyperlink"/>
            <w:noProof/>
            <w:lang w:val="en-GB"/>
          </w:rPr>
          <w:t>Lộ</w:t>
        </w:r>
        <w:r>
          <w:rPr>
            <w:rStyle w:val="Hyperlink"/>
            <w:noProof/>
            <w:lang w:val="vi-VN"/>
          </w:rPr>
          <w:t xml:space="preserve"> trình cho lĩnh vực Thương mại Số 1: </w:t>
        </w:r>
        <w:r w:rsidR="006578C8">
          <w:rPr>
            <w:rStyle w:val="Hyperlink"/>
            <w:noProof/>
            <w:lang w:val="vi-VN"/>
          </w:rPr>
          <w:t>Logistics và Giao nhận Số</w:t>
        </w:r>
        <w:r w:rsidR="006043C2" w:rsidRPr="006043C2">
          <w:rPr>
            <w:noProof/>
            <w:webHidden/>
          </w:rPr>
          <w:tab/>
        </w:r>
        <w:r w:rsidR="006043C2" w:rsidRPr="006043C2">
          <w:rPr>
            <w:noProof/>
            <w:webHidden/>
          </w:rPr>
          <w:fldChar w:fldCharType="begin"/>
        </w:r>
        <w:r w:rsidR="006043C2" w:rsidRPr="006043C2">
          <w:rPr>
            <w:noProof/>
            <w:webHidden/>
          </w:rPr>
          <w:instrText xml:space="preserve"> PAGEREF _Toc180743979 \h </w:instrText>
        </w:r>
        <w:r w:rsidR="006043C2" w:rsidRPr="006043C2">
          <w:rPr>
            <w:noProof/>
            <w:webHidden/>
          </w:rPr>
        </w:r>
        <w:r w:rsidR="006043C2" w:rsidRPr="006043C2">
          <w:rPr>
            <w:noProof/>
            <w:webHidden/>
          </w:rPr>
          <w:fldChar w:fldCharType="separate"/>
        </w:r>
        <w:r w:rsidR="007718BA">
          <w:rPr>
            <w:noProof/>
            <w:webHidden/>
          </w:rPr>
          <w:t>1</w:t>
        </w:r>
        <w:r w:rsidR="006043C2" w:rsidRPr="006043C2">
          <w:rPr>
            <w:noProof/>
            <w:webHidden/>
          </w:rPr>
          <w:fldChar w:fldCharType="end"/>
        </w:r>
      </w:hyperlink>
      <w:r w:rsidR="00815A45">
        <w:t>10</w:t>
      </w:r>
    </w:p>
    <w:p w14:paraId="11647CA0" w14:textId="27BB3F20" w:rsidR="006043C2" w:rsidRPr="006043C2" w:rsidRDefault="006578C8">
      <w:pPr>
        <w:pStyle w:val="TOC2"/>
        <w:rPr>
          <w:rFonts w:asciiTheme="minorHAnsi" w:eastAsiaTheme="minorEastAsia" w:hAnsiTheme="minorHAnsi" w:cstheme="minorBidi"/>
          <w:noProof/>
          <w:color w:val="auto"/>
          <w:kern w:val="2"/>
          <w:lang w:eastAsia="zh-CN"/>
          <w14:ligatures w14:val="standardContextual"/>
        </w:rPr>
      </w:pPr>
      <w:hyperlink w:anchor="_Toc180743980" w:history="1">
        <w:r>
          <w:rPr>
            <w:rStyle w:val="Hyperlink"/>
            <w:noProof/>
            <w:lang w:val="en-GB"/>
          </w:rPr>
          <w:t>Lộ</w:t>
        </w:r>
        <w:r>
          <w:rPr>
            <w:rStyle w:val="Hyperlink"/>
            <w:noProof/>
            <w:lang w:val="vi-VN"/>
          </w:rPr>
          <w:t xml:space="preserve"> trình cho lĩnh vực Thương mại Số 2: Giao dịch Số</w:t>
        </w:r>
        <w:r w:rsidR="006043C2" w:rsidRPr="006043C2">
          <w:rPr>
            <w:noProof/>
            <w:webHidden/>
          </w:rPr>
          <w:tab/>
        </w:r>
        <w:r w:rsidR="006043C2" w:rsidRPr="006043C2">
          <w:rPr>
            <w:noProof/>
            <w:webHidden/>
          </w:rPr>
          <w:fldChar w:fldCharType="begin"/>
        </w:r>
        <w:r w:rsidR="006043C2" w:rsidRPr="006043C2">
          <w:rPr>
            <w:noProof/>
            <w:webHidden/>
          </w:rPr>
          <w:instrText xml:space="preserve"> PAGEREF _Toc180743980 \h </w:instrText>
        </w:r>
        <w:r w:rsidR="006043C2" w:rsidRPr="006043C2">
          <w:rPr>
            <w:noProof/>
            <w:webHidden/>
          </w:rPr>
        </w:r>
        <w:r w:rsidR="006043C2" w:rsidRPr="006043C2">
          <w:rPr>
            <w:noProof/>
            <w:webHidden/>
          </w:rPr>
          <w:fldChar w:fldCharType="separate"/>
        </w:r>
        <w:r w:rsidR="007718BA">
          <w:rPr>
            <w:noProof/>
            <w:webHidden/>
          </w:rPr>
          <w:t>123</w:t>
        </w:r>
        <w:r w:rsidR="006043C2" w:rsidRPr="006043C2">
          <w:rPr>
            <w:noProof/>
            <w:webHidden/>
          </w:rPr>
          <w:fldChar w:fldCharType="end"/>
        </w:r>
      </w:hyperlink>
    </w:p>
    <w:p w14:paraId="570DC54A" w14:textId="5E0097BE" w:rsidR="006043C2" w:rsidRPr="006043C2" w:rsidRDefault="006578C8">
      <w:pPr>
        <w:pStyle w:val="TOC2"/>
        <w:rPr>
          <w:rFonts w:asciiTheme="minorHAnsi" w:eastAsiaTheme="minorEastAsia" w:hAnsiTheme="minorHAnsi" w:cstheme="minorBidi"/>
          <w:noProof/>
          <w:color w:val="auto"/>
          <w:kern w:val="2"/>
          <w:lang w:eastAsia="zh-CN"/>
          <w14:ligatures w14:val="standardContextual"/>
        </w:rPr>
      </w:pPr>
      <w:hyperlink w:anchor="_Toc180743981" w:history="1">
        <w:r>
          <w:rPr>
            <w:rStyle w:val="Hyperlink"/>
            <w:noProof/>
            <w:lang w:val="en-GB"/>
          </w:rPr>
          <w:t>Lộ</w:t>
        </w:r>
        <w:r>
          <w:rPr>
            <w:rStyle w:val="Hyperlink"/>
            <w:noProof/>
            <w:lang w:val="vi-VN"/>
          </w:rPr>
          <w:t xml:space="preserve"> trình cho lĩnh vực Thương mại Số 3: Niềm tin Số</w:t>
        </w:r>
        <w:r w:rsidR="006043C2" w:rsidRPr="006043C2">
          <w:rPr>
            <w:noProof/>
            <w:webHidden/>
          </w:rPr>
          <w:tab/>
        </w:r>
        <w:r w:rsidR="006043C2" w:rsidRPr="006043C2">
          <w:rPr>
            <w:noProof/>
            <w:webHidden/>
          </w:rPr>
          <w:fldChar w:fldCharType="begin"/>
        </w:r>
        <w:r w:rsidR="006043C2" w:rsidRPr="006043C2">
          <w:rPr>
            <w:noProof/>
            <w:webHidden/>
          </w:rPr>
          <w:instrText xml:space="preserve"> PAGEREF _Toc180743981 \h </w:instrText>
        </w:r>
        <w:r w:rsidR="006043C2" w:rsidRPr="006043C2">
          <w:rPr>
            <w:noProof/>
            <w:webHidden/>
          </w:rPr>
        </w:r>
        <w:r w:rsidR="006043C2" w:rsidRPr="006043C2">
          <w:rPr>
            <w:noProof/>
            <w:webHidden/>
          </w:rPr>
          <w:fldChar w:fldCharType="separate"/>
        </w:r>
        <w:r w:rsidR="007718BA">
          <w:rPr>
            <w:noProof/>
            <w:webHidden/>
          </w:rPr>
          <w:t>144</w:t>
        </w:r>
        <w:r w:rsidR="006043C2" w:rsidRPr="006043C2">
          <w:rPr>
            <w:noProof/>
            <w:webHidden/>
          </w:rPr>
          <w:fldChar w:fldCharType="end"/>
        </w:r>
      </w:hyperlink>
    </w:p>
    <w:p w14:paraId="46568671" w14:textId="7F25B09E" w:rsidR="006043C2" w:rsidRDefault="006578C8">
      <w:pPr>
        <w:pStyle w:val="TOC2"/>
        <w:rPr>
          <w:rFonts w:asciiTheme="minorHAnsi" w:eastAsiaTheme="minorEastAsia" w:hAnsiTheme="minorHAnsi" w:cstheme="minorBidi"/>
          <w:noProof/>
          <w:color w:val="auto"/>
          <w:kern w:val="2"/>
          <w:lang w:eastAsia="zh-CN"/>
          <w14:ligatures w14:val="standardContextual"/>
        </w:rPr>
      </w:pPr>
      <w:hyperlink w:anchor="_Toc180743982" w:history="1">
        <w:r>
          <w:rPr>
            <w:rStyle w:val="Hyperlink"/>
            <w:noProof/>
            <w:lang w:val="en-GB"/>
          </w:rPr>
          <w:t>Lộ</w:t>
        </w:r>
        <w:r>
          <w:rPr>
            <w:rStyle w:val="Hyperlink"/>
            <w:noProof/>
            <w:lang w:val="vi-VN"/>
          </w:rPr>
          <w:t xml:space="preserve"> trình cho lĩnh vực Thương mại Số 4: Hợp tác về các chủ đề mới nổi</w:t>
        </w:r>
        <w:r w:rsidR="006043C2" w:rsidRPr="006043C2">
          <w:rPr>
            <w:noProof/>
            <w:webHidden/>
          </w:rPr>
          <w:tab/>
        </w:r>
        <w:r w:rsidR="006043C2" w:rsidRPr="006043C2">
          <w:rPr>
            <w:noProof/>
            <w:webHidden/>
          </w:rPr>
          <w:fldChar w:fldCharType="begin"/>
        </w:r>
        <w:r w:rsidR="006043C2" w:rsidRPr="006043C2">
          <w:rPr>
            <w:noProof/>
            <w:webHidden/>
          </w:rPr>
          <w:instrText xml:space="preserve"> PAGEREF _Toc180743982 \h </w:instrText>
        </w:r>
        <w:r w:rsidR="006043C2" w:rsidRPr="006043C2">
          <w:rPr>
            <w:noProof/>
            <w:webHidden/>
          </w:rPr>
        </w:r>
        <w:r w:rsidR="006043C2" w:rsidRPr="006043C2">
          <w:rPr>
            <w:noProof/>
            <w:webHidden/>
          </w:rPr>
          <w:fldChar w:fldCharType="separate"/>
        </w:r>
        <w:r w:rsidR="007718BA">
          <w:rPr>
            <w:noProof/>
            <w:webHidden/>
          </w:rPr>
          <w:t>16</w:t>
        </w:r>
        <w:r w:rsidR="006043C2" w:rsidRPr="006043C2">
          <w:rPr>
            <w:noProof/>
            <w:webHidden/>
          </w:rPr>
          <w:fldChar w:fldCharType="end"/>
        </w:r>
      </w:hyperlink>
      <w:r w:rsidR="006E0070">
        <w:t>8</w:t>
      </w:r>
    </w:p>
    <w:p w14:paraId="00707FBC" w14:textId="796789DA" w:rsidR="006043C2" w:rsidRDefault="006043C2">
      <w:pPr>
        <w:pStyle w:val="TOC1"/>
        <w:rPr>
          <w:rFonts w:asciiTheme="minorHAnsi" w:eastAsiaTheme="minorEastAsia" w:hAnsiTheme="minorHAnsi" w:cstheme="minorBidi"/>
          <w:b w:val="0"/>
          <w:bCs w:val="0"/>
          <w:color w:val="auto"/>
          <w:kern w:val="2"/>
          <w:lang w:eastAsia="zh-CN"/>
          <w14:ligatures w14:val="standardContextual"/>
        </w:rPr>
      </w:pPr>
      <w:hyperlink w:anchor="_Toc180743983" w:history="1">
        <w:r w:rsidRPr="00030267">
          <w:rPr>
            <w:rStyle w:val="Hyperlink"/>
            <w:lang w:val="en-GB"/>
          </w:rPr>
          <w:t>6.</w:t>
        </w:r>
        <w:r>
          <w:rPr>
            <w:rFonts w:asciiTheme="minorHAnsi" w:eastAsiaTheme="minorEastAsia" w:hAnsiTheme="minorHAnsi" w:cstheme="minorBidi"/>
            <w:b w:val="0"/>
            <w:bCs w:val="0"/>
            <w:color w:val="auto"/>
            <w:kern w:val="2"/>
            <w:lang w:eastAsia="zh-CN"/>
            <w14:ligatures w14:val="standardContextual"/>
          </w:rPr>
          <w:tab/>
        </w:r>
        <w:r w:rsidR="006578C8">
          <w:rPr>
            <w:rStyle w:val="Hyperlink"/>
            <w:lang w:val="en-GB"/>
          </w:rPr>
          <w:t>Kết</w:t>
        </w:r>
        <w:r w:rsidR="006578C8">
          <w:rPr>
            <w:rStyle w:val="Hyperlink"/>
            <w:lang w:val="vi-VN"/>
          </w:rPr>
          <w:t xml:space="preserve"> luận</w:t>
        </w:r>
        <w:r>
          <w:rPr>
            <w:webHidden/>
          </w:rPr>
          <w:tab/>
        </w:r>
        <w:r>
          <w:rPr>
            <w:webHidden/>
          </w:rPr>
          <w:fldChar w:fldCharType="begin"/>
        </w:r>
        <w:r>
          <w:rPr>
            <w:webHidden/>
          </w:rPr>
          <w:instrText xml:space="preserve"> PAGEREF _Toc180743983 \h </w:instrText>
        </w:r>
        <w:r>
          <w:rPr>
            <w:webHidden/>
          </w:rPr>
        </w:r>
        <w:r>
          <w:rPr>
            <w:webHidden/>
          </w:rPr>
          <w:fldChar w:fldCharType="separate"/>
        </w:r>
        <w:r w:rsidR="007718BA">
          <w:rPr>
            <w:webHidden/>
          </w:rPr>
          <w:t>191</w:t>
        </w:r>
        <w:r>
          <w:rPr>
            <w:webHidden/>
          </w:rPr>
          <w:fldChar w:fldCharType="end"/>
        </w:r>
      </w:hyperlink>
    </w:p>
    <w:p w14:paraId="76E10B3D" w14:textId="3BF73C23" w:rsidR="006043C2" w:rsidRDefault="006578C8">
      <w:pPr>
        <w:pStyle w:val="TOC1"/>
        <w:rPr>
          <w:rFonts w:asciiTheme="minorHAnsi" w:eastAsiaTheme="minorEastAsia" w:hAnsiTheme="minorHAnsi" w:cstheme="minorBidi"/>
          <w:b w:val="0"/>
          <w:bCs w:val="0"/>
          <w:color w:val="auto"/>
          <w:kern w:val="2"/>
          <w:lang w:eastAsia="zh-CN"/>
          <w14:ligatures w14:val="standardContextual"/>
        </w:rPr>
      </w:pPr>
      <w:hyperlink w:anchor="_Toc180743984" w:history="1">
        <w:r>
          <w:rPr>
            <w:rStyle w:val="Hyperlink"/>
            <w:lang w:val="en-GB"/>
          </w:rPr>
          <w:t>Phụ</w:t>
        </w:r>
        <w:r>
          <w:rPr>
            <w:rStyle w:val="Hyperlink"/>
            <w:lang w:val="vi-VN"/>
          </w:rPr>
          <w:t xml:space="preserve"> lục I: Các sáng kiến Số chủ chốt của ASEAN</w:t>
        </w:r>
        <w:r w:rsidR="006043C2">
          <w:rPr>
            <w:webHidden/>
          </w:rPr>
          <w:tab/>
        </w:r>
        <w:r w:rsidR="006043C2">
          <w:rPr>
            <w:webHidden/>
          </w:rPr>
          <w:fldChar w:fldCharType="begin"/>
        </w:r>
        <w:r w:rsidR="006043C2">
          <w:rPr>
            <w:webHidden/>
          </w:rPr>
          <w:instrText xml:space="preserve"> PAGEREF _Toc180743984 \h </w:instrText>
        </w:r>
        <w:r w:rsidR="006043C2">
          <w:rPr>
            <w:webHidden/>
          </w:rPr>
        </w:r>
        <w:r w:rsidR="006043C2">
          <w:rPr>
            <w:webHidden/>
          </w:rPr>
          <w:fldChar w:fldCharType="separate"/>
        </w:r>
        <w:r w:rsidR="007718BA">
          <w:rPr>
            <w:webHidden/>
          </w:rPr>
          <w:t>192</w:t>
        </w:r>
        <w:r w:rsidR="006043C2">
          <w:rPr>
            <w:webHidden/>
          </w:rPr>
          <w:fldChar w:fldCharType="end"/>
        </w:r>
      </w:hyperlink>
    </w:p>
    <w:p w14:paraId="327908FD" w14:textId="43699D49" w:rsidR="006043C2" w:rsidRDefault="006578C8">
      <w:pPr>
        <w:pStyle w:val="TOC2"/>
        <w:rPr>
          <w:rFonts w:asciiTheme="minorHAnsi" w:eastAsiaTheme="minorEastAsia" w:hAnsiTheme="minorHAnsi" w:cstheme="minorBidi"/>
          <w:noProof/>
          <w:color w:val="auto"/>
          <w:kern w:val="2"/>
          <w:lang w:eastAsia="zh-CN"/>
          <w14:ligatures w14:val="standardContextual"/>
        </w:rPr>
      </w:pPr>
      <w:hyperlink w:anchor="_Toc180743985" w:history="1">
        <w:r>
          <w:rPr>
            <w:rStyle w:val="Hyperlink"/>
            <w:noProof/>
            <w:lang w:val="en-GB"/>
          </w:rPr>
          <w:t>Các</w:t>
        </w:r>
        <w:r>
          <w:rPr>
            <w:rStyle w:val="Hyperlink"/>
            <w:noProof/>
            <w:lang w:val="vi-VN"/>
          </w:rPr>
          <w:t xml:space="preserve"> sáng kiến </w:t>
        </w:r>
        <w:r w:rsidR="005741D7" w:rsidRPr="005741D7">
          <w:rPr>
            <w:rStyle w:val="Hyperlink"/>
            <w:noProof/>
            <w:lang w:val="vi-VN"/>
          </w:rPr>
          <w:t>liên ngành</w:t>
        </w:r>
        <w:r w:rsidR="005741D7" w:rsidRPr="005741D7">
          <w:rPr>
            <w:rStyle w:val="Hyperlink"/>
            <w:noProof/>
            <w:lang w:val="vi-VN"/>
          </w:rPr>
          <w:t xml:space="preserve"> </w:t>
        </w:r>
        <w:r>
          <w:rPr>
            <w:rStyle w:val="Hyperlink"/>
            <w:noProof/>
            <w:lang w:val="vi-VN"/>
          </w:rPr>
          <w:t>Số ASEAN</w:t>
        </w:r>
        <w:r w:rsidR="006043C2">
          <w:rPr>
            <w:noProof/>
            <w:webHidden/>
          </w:rPr>
          <w:tab/>
        </w:r>
        <w:r w:rsidR="006043C2">
          <w:rPr>
            <w:noProof/>
            <w:webHidden/>
          </w:rPr>
          <w:fldChar w:fldCharType="begin"/>
        </w:r>
        <w:r w:rsidR="006043C2">
          <w:rPr>
            <w:noProof/>
            <w:webHidden/>
          </w:rPr>
          <w:instrText xml:space="preserve"> PAGEREF _Toc180743985 \h </w:instrText>
        </w:r>
        <w:r w:rsidR="006043C2">
          <w:rPr>
            <w:noProof/>
            <w:webHidden/>
          </w:rPr>
        </w:r>
        <w:r w:rsidR="006043C2">
          <w:rPr>
            <w:noProof/>
            <w:webHidden/>
          </w:rPr>
          <w:fldChar w:fldCharType="separate"/>
        </w:r>
        <w:r w:rsidR="007718BA">
          <w:rPr>
            <w:noProof/>
            <w:webHidden/>
          </w:rPr>
          <w:t>192</w:t>
        </w:r>
        <w:r w:rsidR="006043C2">
          <w:rPr>
            <w:noProof/>
            <w:webHidden/>
          </w:rPr>
          <w:fldChar w:fldCharType="end"/>
        </w:r>
      </w:hyperlink>
    </w:p>
    <w:p w14:paraId="685AB197" w14:textId="0598B633" w:rsidR="006043C2" w:rsidRDefault="006578C8">
      <w:pPr>
        <w:pStyle w:val="TOC2"/>
        <w:rPr>
          <w:rFonts w:asciiTheme="minorHAnsi" w:eastAsiaTheme="minorEastAsia" w:hAnsiTheme="minorHAnsi" w:cstheme="minorBidi"/>
          <w:noProof/>
          <w:color w:val="auto"/>
          <w:kern w:val="2"/>
          <w:lang w:eastAsia="zh-CN"/>
          <w14:ligatures w14:val="standardContextual"/>
        </w:rPr>
      </w:pPr>
      <w:hyperlink w:anchor="_Toc180743986" w:history="1">
        <w:r>
          <w:rPr>
            <w:rStyle w:val="Hyperlink"/>
            <w:noProof/>
            <w:lang w:val="en-GB"/>
          </w:rPr>
          <w:t>Các</w:t>
        </w:r>
        <w:r>
          <w:rPr>
            <w:rStyle w:val="Hyperlink"/>
            <w:noProof/>
            <w:lang w:val="vi-VN"/>
          </w:rPr>
          <w:t xml:space="preserve"> sáng kiến Số chủ chốt của ASEAN liên quan đến Logistics và Giao nhận Số</w:t>
        </w:r>
        <w:r w:rsidR="006043C2">
          <w:rPr>
            <w:noProof/>
            <w:webHidden/>
          </w:rPr>
          <w:tab/>
        </w:r>
        <w:r w:rsidR="006043C2">
          <w:rPr>
            <w:noProof/>
            <w:webHidden/>
          </w:rPr>
          <w:fldChar w:fldCharType="begin"/>
        </w:r>
        <w:r w:rsidR="006043C2">
          <w:rPr>
            <w:noProof/>
            <w:webHidden/>
          </w:rPr>
          <w:instrText xml:space="preserve"> PAGEREF _Toc180743986 \h </w:instrText>
        </w:r>
        <w:r w:rsidR="006043C2">
          <w:rPr>
            <w:noProof/>
            <w:webHidden/>
          </w:rPr>
        </w:r>
        <w:r w:rsidR="006043C2">
          <w:rPr>
            <w:noProof/>
            <w:webHidden/>
          </w:rPr>
          <w:fldChar w:fldCharType="separate"/>
        </w:r>
        <w:r w:rsidR="007718BA">
          <w:rPr>
            <w:noProof/>
            <w:webHidden/>
          </w:rPr>
          <w:t>193</w:t>
        </w:r>
        <w:r w:rsidR="006043C2">
          <w:rPr>
            <w:noProof/>
            <w:webHidden/>
          </w:rPr>
          <w:fldChar w:fldCharType="end"/>
        </w:r>
      </w:hyperlink>
    </w:p>
    <w:p w14:paraId="7A5BEC55" w14:textId="490C1DB0" w:rsidR="006043C2" w:rsidRDefault="006578C8">
      <w:pPr>
        <w:pStyle w:val="TOC2"/>
        <w:rPr>
          <w:rFonts w:asciiTheme="minorHAnsi" w:eastAsiaTheme="minorEastAsia" w:hAnsiTheme="minorHAnsi" w:cstheme="minorBidi"/>
          <w:noProof/>
          <w:color w:val="auto"/>
          <w:kern w:val="2"/>
          <w:lang w:eastAsia="zh-CN"/>
          <w14:ligatures w14:val="standardContextual"/>
        </w:rPr>
      </w:pPr>
      <w:hyperlink w:anchor="_Toc180743987" w:history="1">
        <w:r>
          <w:rPr>
            <w:rStyle w:val="Hyperlink"/>
            <w:noProof/>
            <w:lang w:val="en-GB"/>
          </w:rPr>
          <w:t>Các</w:t>
        </w:r>
        <w:r>
          <w:rPr>
            <w:rStyle w:val="Hyperlink"/>
            <w:noProof/>
            <w:lang w:val="vi-VN"/>
          </w:rPr>
          <w:t xml:space="preserve"> sáng kiến Số chủ chốt của ASEAN liên quan đến Giao dịch Số</w:t>
        </w:r>
        <w:r w:rsidR="006043C2">
          <w:rPr>
            <w:noProof/>
            <w:webHidden/>
          </w:rPr>
          <w:tab/>
        </w:r>
        <w:r w:rsidR="006043C2">
          <w:rPr>
            <w:noProof/>
            <w:webHidden/>
          </w:rPr>
          <w:fldChar w:fldCharType="begin"/>
        </w:r>
        <w:r w:rsidR="006043C2">
          <w:rPr>
            <w:noProof/>
            <w:webHidden/>
          </w:rPr>
          <w:instrText xml:space="preserve"> PAGEREF _Toc180743987 \h </w:instrText>
        </w:r>
        <w:r w:rsidR="006043C2">
          <w:rPr>
            <w:noProof/>
            <w:webHidden/>
          </w:rPr>
        </w:r>
        <w:r w:rsidR="006043C2">
          <w:rPr>
            <w:noProof/>
            <w:webHidden/>
          </w:rPr>
          <w:fldChar w:fldCharType="separate"/>
        </w:r>
        <w:r w:rsidR="007718BA">
          <w:rPr>
            <w:noProof/>
            <w:webHidden/>
          </w:rPr>
          <w:t>194</w:t>
        </w:r>
        <w:r w:rsidR="006043C2">
          <w:rPr>
            <w:noProof/>
            <w:webHidden/>
          </w:rPr>
          <w:fldChar w:fldCharType="end"/>
        </w:r>
      </w:hyperlink>
    </w:p>
    <w:p w14:paraId="33866A19" w14:textId="31D8D863" w:rsidR="006043C2" w:rsidRDefault="006578C8">
      <w:pPr>
        <w:pStyle w:val="TOC2"/>
        <w:rPr>
          <w:rFonts w:asciiTheme="minorHAnsi" w:eastAsiaTheme="minorEastAsia" w:hAnsiTheme="minorHAnsi" w:cstheme="minorBidi"/>
          <w:noProof/>
          <w:color w:val="auto"/>
          <w:kern w:val="2"/>
          <w:lang w:eastAsia="zh-CN"/>
          <w14:ligatures w14:val="standardContextual"/>
        </w:rPr>
      </w:pPr>
      <w:hyperlink w:anchor="_Toc180743988" w:history="1">
        <w:r>
          <w:rPr>
            <w:rStyle w:val="Hyperlink"/>
            <w:noProof/>
            <w:lang w:val="en-GB"/>
          </w:rPr>
          <w:t>Các</w:t>
        </w:r>
        <w:r>
          <w:rPr>
            <w:rStyle w:val="Hyperlink"/>
            <w:noProof/>
            <w:lang w:val="vi-VN"/>
          </w:rPr>
          <w:t xml:space="preserve"> sáng kiến Số chủ chốt của ASEAN liên quan đến Niềm tin Số</w:t>
        </w:r>
        <w:r w:rsidR="006043C2">
          <w:rPr>
            <w:noProof/>
            <w:webHidden/>
          </w:rPr>
          <w:tab/>
        </w:r>
        <w:r w:rsidR="006043C2">
          <w:rPr>
            <w:noProof/>
            <w:webHidden/>
          </w:rPr>
          <w:fldChar w:fldCharType="begin"/>
        </w:r>
        <w:r w:rsidR="006043C2">
          <w:rPr>
            <w:noProof/>
            <w:webHidden/>
          </w:rPr>
          <w:instrText xml:space="preserve"> PAGEREF _Toc180743988 \h </w:instrText>
        </w:r>
        <w:r w:rsidR="006043C2">
          <w:rPr>
            <w:noProof/>
            <w:webHidden/>
          </w:rPr>
        </w:r>
        <w:r w:rsidR="006043C2">
          <w:rPr>
            <w:noProof/>
            <w:webHidden/>
          </w:rPr>
          <w:fldChar w:fldCharType="separate"/>
        </w:r>
        <w:r w:rsidR="007718BA">
          <w:rPr>
            <w:noProof/>
            <w:webHidden/>
          </w:rPr>
          <w:t>196</w:t>
        </w:r>
        <w:r w:rsidR="006043C2">
          <w:rPr>
            <w:noProof/>
            <w:webHidden/>
          </w:rPr>
          <w:fldChar w:fldCharType="end"/>
        </w:r>
      </w:hyperlink>
    </w:p>
    <w:p w14:paraId="46A1063E" w14:textId="325D0B45" w:rsidR="006043C2" w:rsidRDefault="006578C8">
      <w:pPr>
        <w:pStyle w:val="TOC2"/>
        <w:rPr>
          <w:rFonts w:asciiTheme="minorHAnsi" w:eastAsiaTheme="minorEastAsia" w:hAnsiTheme="minorHAnsi" w:cstheme="minorBidi"/>
          <w:noProof/>
          <w:color w:val="auto"/>
          <w:kern w:val="2"/>
          <w:lang w:eastAsia="zh-CN"/>
          <w14:ligatures w14:val="standardContextual"/>
        </w:rPr>
      </w:pPr>
      <w:hyperlink w:anchor="_Toc180743989" w:history="1">
        <w:r>
          <w:rPr>
            <w:rStyle w:val="Hyperlink"/>
            <w:noProof/>
            <w:lang w:val="en-GB"/>
          </w:rPr>
          <w:t>Các</w:t>
        </w:r>
        <w:r>
          <w:rPr>
            <w:rStyle w:val="Hyperlink"/>
            <w:noProof/>
            <w:lang w:val="vi-VN"/>
          </w:rPr>
          <w:t xml:space="preserve"> sáng kiến Số chủ chốt của ASEAN liên quan đến hợp tác về các chủ đề mới nổi</w:t>
        </w:r>
        <w:r w:rsidR="006043C2">
          <w:rPr>
            <w:noProof/>
            <w:webHidden/>
          </w:rPr>
          <w:tab/>
        </w:r>
        <w:r w:rsidR="006043C2">
          <w:rPr>
            <w:noProof/>
            <w:webHidden/>
          </w:rPr>
          <w:fldChar w:fldCharType="begin"/>
        </w:r>
        <w:r w:rsidR="006043C2">
          <w:rPr>
            <w:noProof/>
            <w:webHidden/>
          </w:rPr>
          <w:instrText xml:space="preserve"> PAGEREF _Toc180743989 \h </w:instrText>
        </w:r>
        <w:r w:rsidR="006043C2">
          <w:rPr>
            <w:noProof/>
            <w:webHidden/>
          </w:rPr>
        </w:r>
        <w:r w:rsidR="006043C2">
          <w:rPr>
            <w:noProof/>
            <w:webHidden/>
          </w:rPr>
          <w:fldChar w:fldCharType="separate"/>
        </w:r>
        <w:r w:rsidR="007718BA">
          <w:rPr>
            <w:noProof/>
            <w:webHidden/>
          </w:rPr>
          <w:t>201</w:t>
        </w:r>
        <w:r w:rsidR="006043C2">
          <w:rPr>
            <w:noProof/>
            <w:webHidden/>
          </w:rPr>
          <w:fldChar w:fldCharType="end"/>
        </w:r>
      </w:hyperlink>
    </w:p>
    <w:p w14:paraId="2A79451A" w14:textId="54BD9943" w:rsidR="006043C2" w:rsidRDefault="006578C8">
      <w:pPr>
        <w:pStyle w:val="TOC1"/>
        <w:rPr>
          <w:rFonts w:asciiTheme="minorHAnsi" w:eastAsiaTheme="minorEastAsia" w:hAnsiTheme="minorHAnsi" w:cstheme="minorBidi"/>
          <w:b w:val="0"/>
          <w:bCs w:val="0"/>
          <w:color w:val="auto"/>
          <w:kern w:val="2"/>
          <w:lang w:eastAsia="zh-CN"/>
          <w14:ligatures w14:val="standardContextual"/>
        </w:rPr>
      </w:pPr>
      <w:hyperlink w:anchor="_Toc180743990" w:history="1">
        <w:r>
          <w:rPr>
            <w:rStyle w:val="Hyperlink"/>
            <w:lang w:val="en-GB"/>
          </w:rPr>
          <w:t>Phụ</w:t>
        </w:r>
        <w:r>
          <w:rPr>
            <w:rStyle w:val="Hyperlink"/>
            <w:lang w:val="vi-VN"/>
          </w:rPr>
          <w:t xml:space="preserve"> lục II: Một số cơ quan </w:t>
        </w:r>
        <w:r w:rsidR="005741D7">
          <w:rPr>
            <w:rStyle w:val="Hyperlink"/>
            <w:lang w:val="en-AU"/>
          </w:rPr>
          <w:t xml:space="preserve">chuyên </w:t>
        </w:r>
        <w:r>
          <w:rPr>
            <w:rStyle w:val="Hyperlink"/>
            <w:lang w:val="vi-VN"/>
          </w:rPr>
          <w:t>ngành của ASEAN và cơ cấu quản trị</w:t>
        </w:r>
        <w:r w:rsidR="006043C2">
          <w:rPr>
            <w:webHidden/>
          </w:rPr>
          <w:tab/>
        </w:r>
        <w:r w:rsidR="006043C2">
          <w:rPr>
            <w:webHidden/>
          </w:rPr>
          <w:fldChar w:fldCharType="begin"/>
        </w:r>
        <w:r w:rsidR="006043C2">
          <w:rPr>
            <w:webHidden/>
          </w:rPr>
          <w:instrText xml:space="preserve"> PAGEREF _Toc180743990 \h </w:instrText>
        </w:r>
        <w:r w:rsidR="006043C2">
          <w:rPr>
            <w:webHidden/>
          </w:rPr>
        </w:r>
        <w:r w:rsidR="006043C2">
          <w:rPr>
            <w:webHidden/>
          </w:rPr>
          <w:fldChar w:fldCharType="separate"/>
        </w:r>
        <w:r w:rsidR="007718BA">
          <w:rPr>
            <w:webHidden/>
          </w:rPr>
          <w:t>20</w:t>
        </w:r>
        <w:r w:rsidR="006043C2">
          <w:rPr>
            <w:webHidden/>
          </w:rPr>
          <w:fldChar w:fldCharType="end"/>
        </w:r>
      </w:hyperlink>
      <w:r w:rsidR="00B251BC">
        <w:t>3</w:t>
      </w:r>
    </w:p>
    <w:p w14:paraId="28C6A284" w14:textId="091BBAA6" w:rsidR="00B229F0" w:rsidRPr="00516087" w:rsidRDefault="006B0F97" w:rsidP="0085797B">
      <w:pPr>
        <w:pStyle w:val="TOC2"/>
        <w:rPr>
          <w:lang w:val="en-GB"/>
        </w:rPr>
      </w:pPr>
      <w:r w:rsidRPr="00516087">
        <w:rPr>
          <w:lang w:val="en-GB"/>
        </w:rPr>
        <w:fldChar w:fldCharType="end"/>
      </w:r>
    </w:p>
    <w:p w14:paraId="203DE679" w14:textId="7D522A72" w:rsidR="00822C1B" w:rsidRPr="004F1D15" w:rsidRDefault="00822C1B" w:rsidP="007664A3"/>
    <w:p w14:paraId="27EE98A2" w14:textId="77777777" w:rsidR="00822C1B" w:rsidRPr="004F1D15" w:rsidRDefault="00822C1B" w:rsidP="007664A3"/>
    <w:p w14:paraId="616A7890" w14:textId="77777777" w:rsidR="00822C1B" w:rsidRPr="004F1D15" w:rsidRDefault="00822C1B" w:rsidP="007664A3"/>
    <w:p w14:paraId="342C9FEA" w14:textId="77777777" w:rsidR="00822C1B" w:rsidRPr="004F1D15" w:rsidRDefault="00822C1B" w:rsidP="007664A3"/>
    <w:p w14:paraId="69FDA43D" w14:textId="77777777" w:rsidR="008946C2" w:rsidRDefault="008946C2" w:rsidP="007664A3"/>
    <w:p w14:paraId="41B3E118" w14:textId="77777777" w:rsidR="008946C2" w:rsidRDefault="008946C2" w:rsidP="007664A3"/>
    <w:p w14:paraId="63488764" w14:textId="702DD7E1" w:rsidR="00B229F0" w:rsidRPr="004F1D15" w:rsidRDefault="00B229F0" w:rsidP="00DE4AAF">
      <w:pPr>
        <w:spacing w:line="276" w:lineRule="auto"/>
      </w:pPr>
    </w:p>
    <w:p w14:paraId="635F5C08" w14:textId="77777777" w:rsidR="00C26C7F" w:rsidRPr="00516087" w:rsidRDefault="00C26C7F" w:rsidP="00DE4AAF">
      <w:pPr>
        <w:spacing w:line="276" w:lineRule="auto"/>
      </w:pPr>
    </w:p>
    <w:p w14:paraId="1A2C9724" w14:textId="77777777" w:rsidR="00C26C7F" w:rsidRPr="00516087" w:rsidRDefault="00C26C7F" w:rsidP="00DE4AAF">
      <w:pPr>
        <w:spacing w:line="276" w:lineRule="auto"/>
      </w:pPr>
    </w:p>
    <w:p w14:paraId="3748BE85" w14:textId="77777777" w:rsidR="00C26C7F" w:rsidRPr="00516087" w:rsidRDefault="00C26C7F" w:rsidP="00DE4AAF">
      <w:pPr>
        <w:spacing w:line="276" w:lineRule="auto"/>
      </w:pPr>
    </w:p>
    <w:p w14:paraId="62E26A69" w14:textId="0018CE88" w:rsidR="008239EC" w:rsidRPr="005741D7" w:rsidRDefault="006578C8" w:rsidP="0012732E">
      <w:pPr>
        <w:rPr>
          <w:lang w:val="en-AU"/>
        </w:rPr>
      </w:pPr>
      <w:r>
        <w:rPr>
          <w:rFonts w:ascii="Segoe UI Semibold" w:eastAsia="Arial" w:hAnsi="Segoe UI Semibold"/>
          <w:color w:val="44546A" w:themeColor="text2"/>
          <w:sz w:val="32"/>
          <w:szCs w:val="56"/>
        </w:rPr>
        <w:t>Bảng</w:t>
      </w:r>
      <w:r>
        <w:rPr>
          <w:rFonts w:ascii="Segoe UI Semibold" w:eastAsia="Arial" w:hAnsi="Segoe UI Semibold"/>
          <w:color w:val="44546A" w:themeColor="text2"/>
          <w:sz w:val="32"/>
          <w:szCs w:val="56"/>
          <w:lang w:val="vi-VN"/>
        </w:rPr>
        <w:t xml:space="preserve"> thuật ngữ</w:t>
      </w:r>
      <w:r w:rsidR="005741D7">
        <w:rPr>
          <w:rFonts w:ascii="Segoe UI Semibold" w:eastAsia="Arial" w:hAnsi="Segoe UI Semibold"/>
          <w:color w:val="44546A" w:themeColor="text2"/>
          <w:sz w:val="32"/>
          <w:szCs w:val="56"/>
          <w:lang w:val="en-AU"/>
        </w:rPr>
        <w:t xml:space="preserve"> viết tắt</w:t>
      </w:r>
    </w:p>
    <w:tbl>
      <w:tblPr>
        <w:tblStyle w:val="ListTable3-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7879"/>
      </w:tblGrid>
      <w:tr w:rsidR="004D67CB" w:rsidRPr="004D67CB" w14:paraId="1EF5794A" w14:textId="77777777" w:rsidTr="00E94EE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15" w:type="dxa"/>
            <w:hideMark/>
          </w:tcPr>
          <w:p w14:paraId="337ED65B" w14:textId="1C336304" w:rsidR="004D67CB" w:rsidRPr="00015DA0" w:rsidRDefault="00015DA0" w:rsidP="004D67CB">
            <w:pPr>
              <w:spacing w:after="160"/>
              <w:jc w:val="center"/>
              <w:rPr>
                <w:b w:val="0"/>
                <w:bCs w:val="0"/>
                <w:lang w:val="vi-VN"/>
              </w:rPr>
            </w:pPr>
            <w:r>
              <w:t>Viết</w:t>
            </w:r>
            <w:r>
              <w:rPr>
                <w:lang w:val="vi-VN"/>
              </w:rPr>
              <w:t xml:space="preserve"> tắt</w:t>
            </w:r>
          </w:p>
        </w:tc>
        <w:tc>
          <w:tcPr>
            <w:tcW w:w="0" w:type="auto"/>
            <w:hideMark/>
          </w:tcPr>
          <w:p w14:paraId="23F23C06" w14:textId="7060903A" w:rsidR="004D67CB" w:rsidRPr="00015DA0" w:rsidRDefault="00015DA0" w:rsidP="004D67CB">
            <w:pPr>
              <w:spacing w:after="160"/>
              <w:jc w:val="center"/>
              <w:cnfStyle w:val="100000000000" w:firstRow="1" w:lastRow="0" w:firstColumn="0" w:lastColumn="0" w:oddVBand="0" w:evenVBand="0" w:oddHBand="0" w:evenHBand="0" w:firstRowFirstColumn="0" w:firstRowLastColumn="0" w:lastRowFirstColumn="0" w:lastRowLastColumn="0"/>
              <w:rPr>
                <w:b w:val="0"/>
                <w:bCs w:val="0"/>
                <w:lang w:val="vi-VN"/>
              </w:rPr>
            </w:pPr>
            <w:r>
              <w:t>Tên</w:t>
            </w:r>
            <w:r>
              <w:rPr>
                <w:lang w:val="vi-VN"/>
              </w:rPr>
              <w:t xml:space="preserve"> đầy đủ</w:t>
            </w:r>
          </w:p>
        </w:tc>
      </w:tr>
      <w:tr w:rsidR="00E94EE5" w:rsidRPr="004D67CB" w14:paraId="29603B0B" w14:textId="77777777" w:rsidTr="00E94EE5">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615" w:type="dxa"/>
            <w:hideMark/>
          </w:tcPr>
          <w:p w14:paraId="6E10D0EC" w14:textId="77777777" w:rsidR="00E94EE5" w:rsidRPr="004D67CB" w:rsidRDefault="00E94EE5" w:rsidP="00731EBA">
            <w:pPr>
              <w:spacing w:after="160"/>
            </w:pPr>
            <w:r w:rsidRPr="004D67CB">
              <w:t>ACCED</w:t>
            </w:r>
          </w:p>
        </w:tc>
        <w:tc>
          <w:tcPr>
            <w:tcW w:w="0" w:type="auto"/>
            <w:hideMark/>
          </w:tcPr>
          <w:p w14:paraId="162BCCE5" w14:textId="38D63DD7" w:rsidR="00E94EE5" w:rsidRPr="004D67CB" w:rsidRDefault="00B103FA" w:rsidP="00731EBA">
            <w:pPr>
              <w:spacing w:after="160"/>
              <w:cnfStyle w:val="000000100000" w:firstRow="0" w:lastRow="0" w:firstColumn="0" w:lastColumn="0" w:oddVBand="0" w:evenVBand="0" w:oddHBand="1" w:evenHBand="0" w:firstRowFirstColumn="0" w:firstRowLastColumn="0" w:lastRowFirstColumn="0" w:lastRowLastColumn="0"/>
            </w:pPr>
            <w:r w:rsidRPr="00B103FA">
              <w:t>Ủy ban Điều phối ASEAN về Thương mại Điện tử và Kinh tế Số</w:t>
            </w:r>
          </w:p>
        </w:tc>
      </w:tr>
      <w:tr w:rsidR="00E94EE5" w:rsidRPr="004D67CB" w14:paraId="178B850D" w14:textId="77777777" w:rsidTr="00731EBA">
        <w:tc>
          <w:tcPr>
            <w:cnfStyle w:val="001000000000" w:firstRow="0" w:lastRow="0" w:firstColumn="1" w:lastColumn="0" w:oddVBand="0" w:evenVBand="0" w:oddHBand="0" w:evenHBand="0" w:firstRowFirstColumn="0" w:firstRowLastColumn="0" w:lastRowFirstColumn="0" w:lastRowLastColumn="0"/>
            <w:tcW w:w="1615" w:type="dxa"/>
            <w:hideMark/>
          </w:tcPr>
          <w:p w14:paraId="27E55815" w14:textId="77777777" w:rsidR="00E94EE5" w:rsidRPr="004D67CB" w:rsidRDefault="00E94EE5" w:rsidP="00731EBA">
            <w:pPr>
              <w:spacing w:after="160"/>
            </w:pPr>
            <w:r w:rsidRPr="004D67CB">
              <w:t>ACCMSME</w:t>
            </w:r>
          </w:p>
        </w:tc>
        <w:tc>
          <w:tcPr>
            <w:tcW w:w="0" w:type="auto"/>
            <w:hideMark/>
          </w:tcPr>
          <w:p w14:paraId="2470D441" w14:textId="068F784A" w:rsidR="00E94EE5" w:rsidRPr="004D67CB" w:rsidRDefault="00B103FA" w:rsidP="00731EBA">
            <w:pPr>
              <w:spacing w:after="160"/>
              <w:cnfStyle w:val="000000000000" w:firstRow="0" w:lastRow="0" w:firstColumn="0" w:lastColumn="0" w:oddVBand="0" w:evenVBand="0" w:oddHBand="0" w:evenHBand="0" w:firstRowFirstColumn="0" w:firstRowLastColumn="0" w:lastRowFirstColumn="0" w:lastRowLastColumn="0"/>
            </w:pPr>
            <w:r w:rsidRPr="00B103FA">
              <w:t>Ủy ban Điều phối ASEAN về Doanh nghiệp Siêu nhỏ, Nhỏ và Vừa</w:t>
            </w:r>
          </w:p>
        </w:tc>
      </w:tr>
      <w:tr w:rsidR="00E94EE5" w:rsidRPr="004D67CB" w14:paraId="159483E8" w14:textId="77777777" w:rsidTr="0073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61E3B0B1" w14:textId="77777777" w:rsidR="00E94EE5" w:rsidRPr="004D67CB" w:rsidRDefault="00E94EE5" w:rsidP="00731EBA">
            <w:pPr>
              <w:spacing w:after="160"/>
            </w:pPr>
            <w:r w:rsidRPr="004D67CB">
              <w:t>ACCSQ</w:t>
            </w:r>
          </w:p>
        </w:tc>
        <w:tc>
          <w:tcPr>
            <w:tcW w:w="0" w:type="auto"/>
            <w:hideMark/>
          </w:tcPr>
          <w:p w14:paraId="76FE51C9" w14:textId="41580DFF" w:rsidR="00E94EE5" w:rsidRPr="004D67CB" w:rsidRDefault="00B103FA" w:rsidP="00731EBA">
            <w:pPr>
              <w:spacing w:after="160"/>
              <w:cnfStyle w:val="000000100000" w:firstRow="0" w:lastRow="0" w:firstColumn="0" w:lastColumn="0" w:oddVBand="0" w:evenVBand="0" w:oddHBand="1" w:evenHBand="0" w:firstRowFirstColumn="0" w:firstRowLastColumn="0" w:lastRowFirstColumn="0" w:lastRowLastColumn="0"/>
            </w:pPr>
            <w:r w:rsidRPr="00B103FA">
              <w:t>Ủy ban Tư vấn ASEAN về Tiêu chuẩn và Chất lượng</w:t>
            </w:r>
          </w:p>
        </w:tc>
      </w:tr>
      <w:tr w:rsidR="00E94EE5" w:rsidRPr="004D67CB" w14:paraId="5167DB66" w14:textId="77777777" w:rsidTr="00731EBA">
        <w:tc>
          <w:tcPr>
            <w:cnfStyle w:val="001000000000" w:firstRow="0" w:lastRow="0" w:firstColumn="1" w:lastColumn="0" w:oddVBand="0" w:evenVBand="0" w:oddHBand="0" w:evenHBand="0" w:firstRowFirstColumn="0" w:firstRowLastColumn="0" w:lastRowFirstColumn="0" w:lastRowLastColumn="0"/>
            <w:tcW w:w="1615" w:type="dxa"/>
            <w:hideMark/>
          </w:tcPr>
          <w:p w14:paraId="0B6600A7" w14:textId="77777777" w:rsidR="00E94EE5" w:rsidRPr="004D67CB" w:rsidRDefault="00E94EE5" w:rsidP="00731EBA">
            <w:pPr>
              <w:spacing w:after="160"/>
            </w:pPr>
            <w:r w:rsidRPr="004D67CB">
              <w:t>ACTS</w:t>
            </w:r>
          </w:p>
        </w:tc>
        <w:tc>
          <w:tcPr>
            <w:tcW w:w="0" w:type="auto"/>
            <w:hideMark/>
          </w:tcPr>
          <w:p w14:paraId="6333B306" w14:textId="21358404" w:rsidR="00E94EE5" w:rsidRPr="004D67CB" w:rsidRDefault="00B103FA" w:rsidP="00731EBA">
            <w:pPr>
              <w:spacing w:after="160"/>
              <w:cnfStyle w:val="000000000000" w:firstRow="0" w:lastRow="0" w:firstColumn="0" w:lastColumn="0" w:oddVBand="0" w:evenVBand="0" w:oddHBand="0" w:evenHBand="0" w:firstRowFirstColumn="0" w:firstRowLastColumn="0" w:lastRowFirstColumn="0" w:lastRowLastColumn="0"/>
            </w:pPr>
            <w:r w:rsidRPr="00B103FA">
              <w:t>Hệ thống Quá cảnh Hải quan ASEAN</w:t>
            </w:r>
          </w:p>
        </w:tc>
      </w:tr>
      <w:tr w:rsidR="00E94EE5" w:rsidRPr="004D67CB" w14:paraId="1C37FF78" w14:textId="77777777" w:rsidTr="0073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59DD68CF" w14:textId="77777777" w:rsidR="00E94EE5" w:rsidRPr="004D67CB" w:rsidRDefault="00E94EE5" w:rsidP="00731EBA">
            <w:pPr>
              <w:spacing w:after="160"/>
            </w:pPr>
            <w:r w:rsidRPr="004D67CB">
              <w:t>ACW</w:t>
            </w:r>
          </w:p>
        </w:tc>
        <w:tc>
          <w:tcPr>
            <w:tcW w:w="0" w:type="auto"/>
            <w:hideMark/>
          </w:tcPr>
          <w:p w14:paraId="1E0AB7C0" w14:textId="37BAC1B5" w:rsidR="00E94EE5" w:rsidRPr="004D67CB" w:rsidRDefault="00B103FA" w:rsidP="00731EBA">
            <w:pPr>
              <w:spacing w:after="160"/>
              <w:cnfStyle w:val="000000100000" w:firstRow="0" w:lastRow="0" w:firstColumn="0" w:lastColumn="0" w:oddVBand="0" w:evenVBand="0" w:oddHBand="1" w:evenHBand="0" w:firstRowFirstColumn="0" w:firstRowLastColumn="0" w:lastRowFirstColumn="0" w:lastRowLastColumn="0"/>
            </w:pPr>
            <w:r w:rsidRPr="00B103FA">
              <w:t>Ủy ban ASEAN về Phụ nữ</w:t>
            </w:r>
          </w:p>
        </w:tc>
      </w:tr>
      <w:tr w:rsidR="00E94EE5" w:rsidRPr="004D67CB" w14:paraId="4EE5CCFA" w14:textId="77777777" w:rsidTr="00731EBA">
        <w:tc>
          <w:tcPr>
            <w:cnfStyle w:val="001000000000" w:firstRow="0" w:lastRow="0" w:firstColumn="1" w:lastColumn="0" w:oddVBand="0" w:evenVBand="0" w:oddHBand="0" w:evenHBand="0" w:firstRowFirstColumn="0" w:firstRowLastColumn="0" w:lastRowFirstColumn="0" w:lastRowLastColumn="0"/>
            <w:tcW w:w="1615" w:type="dxa"/>
            <w:hideMark/>
          </w:tcPr>
          <w:p w14:paraId="55541815" w14:textId="77777777" w:rsidR="00E94EE5" w:rsidRPr="004D67CB" w:rsidRDefault="00E94EE5" w:rsidP="00731EBA">
            <w:pPr>
              <w:spacing w:after="160"/>
            </w:pPr>
            <w:r w:rsidRPr="004D67CB">
              <w:t>ADGSOM</w:t>
            </w:r>
          </w:p>
        </w:tc>
        <w:tc>
          <w:tcPr>
            <w:tcW w:w="0" w:type="auto"/>
            <w:hideMark/>
          </w:tcPr>
          <w:p w14:paraId="162CC748" w14:textId="2D91F76A" w:rsidR="00E94EE5" w:rsidRPr="004D67CB" w:rsidRDefault="00B103FA" w:rsidP="00731EBA">
            <w:pPr>
              <w:spacing w:after="160"/>
              <w:cnfStyle w:val="000000000000" w:firstRow="0" w:lastRow="0" w:firstColumn="0" w:lastColumn="0" w:oddVBand="0" w:evenVBand="0" w:oddHBand="0" w:evenHBand="0" w:firstRowFirstColumn="0" w:firstRowLastColumn="0" w:lastRowFirstColumn="0" w:lastRowLastColumn="0"/>
            </w:pPr>
            <w:r w:rsidRPr="00B103FA">
              <w:t>Hội nghị Quan chức Cao cấp số ASEAN</w:t>
            </w:r>
          </w:p>
        </w:tc>
      </w:tr>
      <w:tr w:rsidR="00E94EE5" w:rsidRPr="004D67CB" w14:paraId="75CF6CCB" w14:textId="77777777" w:rsidTr="0073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1CB20E09" w14:textId="77777777" w:rsidR="00E94EE5" w:rsidRPr="004D67CB" w:rsidRDefault="00E94EE5" w:rsidP="00731EBA">
            <w:pPr>
              <w:spacing w:after="160"/>
            </w:pPr>
            <w:r w:rsidRPr="004D67CB">
              <w:t>ADII</w:t>
            </w:r>
          </w:p>
        </w:tc>
        <w:tc>
          <w:tcPr>
            <w:tcW w:w="0" w:type="auto"/>
            <w:hideMark/>
          </w:tcPr>
          <w:p w14:paraId="75D13447" w14:textId="0C0C6725" w:rsidR="00E94EE5" w:rsidRPr="004D67CB" w:rsidRDefault="00B103FA" w:rsidP="00731EBA">
            <w:pPr>
              <w:spacing w:after="160"/>
              <w:cnfStyle w:val="000000100000" w:firstRow="0" w:lastRow="0" w:firstColumn="0" w:lastColumn="0" w:oddVBand="0" w:evenVBand="0" w:oddHBand="1" w:evenHBand="0" w:firstRowFirstColumn="0" w:firstRowLastColumn="0" w:lastRowFirstColumn="0" w:lastRowLastColumn="0"/>
            </w:pPr>
            <w:r w:rsidRPr="00B103FA">
              <w:t xml:space="preserve">Chỉ số Hội nhập </w:t>
            </w:r>
            <w:r w:rsidR="00616696">
              <w:t>Số</w:t>
            </w:r>
            <w:r w:rsidRPr="00B103FA">
              <w:t xml:space="preserve"> ASEAN</w:t>
            </w:r>
          </w:p>
        </w:tc>
      </w:tr>
      <w:tr w:rsidR="00E94EE5" w:rsidRPr="004D67CB" w14:paraId="2B47CF89" w14:textId="77777777" w:rsidTr="00731EBA">
        <w:tc>
          <w:tcPr>
            <w:cnfStyle w:val="001000000000" w:firstRow="0" w:lastRow="0" w:firstColumn="1" w:lastColumn="0" w:oddVBand="0" w:evenVBand="0" w:oddHBand="0" w:evenHBand="0" w:firstRowFirstColumn="0" w:firstRowLastColumn="0" w:lastRowFirstColumn="0" w:lastRowLastColumn="0"/>
            <w:tcW w:w="1615" w:type="dxa"/>
            <w:hideMark/>
          </w:tcPr>
          <w:p w14:paraId="55B4975B" w14:textId="77777777" w:rsidR="00E94EE5" w:rsidRPr="004D67CB" w:rsidRDefault="00E94EE5" w:rsidP="00731EBA">
            <w:pPr>
              <w:spacing w:after="160"/>
            </w:pPr>
            <w:r w:rsidRPr="004D67CB">
              <w:t>AHLPCP</w:t>
            </w:r>
          </w:p>
        </w:tc>
        <w:tc>
          <w:tcPr>
            <w:tcW w:w="0" w:type="auto"/>
            <w:hideMark/>
          </w:tcPr>
          <w:p w14:paraId="0C1F63E4" w14:textId="5922F09E" w:rsidR="00E94EE5" w:rsidRPr="004D67CB" w:rsidRDefault="009159B5" w:rsidP="00731EBA">
            <w:pPr>
              <w:spacing w:after="160"/>
              <w:cnfStyle w:val="000000000000" w:firstRow="0" w:lastRow="0" w:firstColumn="0" w:lastColumn="0" w:oddVBand="0" w:evenVBand="0" w:oddHBand="0" w:evenHBand="0" w:firstRowFirstColumn="0" w:firstRowLastColumn="0" w:lastRowFirstColumn="0" w:lastRowLastColumn="0"/>
            </w:pPr>
            <w:r w:rsidRPr="009159B5">
              <w:t>Nguyên tắc Cấp cao ASEAN về Bảo vệ Người tiêu dùng</w:t>
            </w:r>
          </w:p>
        </w:tc>
      </w:tr>
      <w:tr w:rsidR="00E94EE5" w:rsidRPr="004D67CB" w14:paraId="6CDF95F9" w14:textId="77777777" w:rsidTr="0073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014DEF7A" w14:textId="77777777" w:rsidR="00E94EE5" w:rsidRPr="004D67CB" w:rsidRDefault="00E94EE5" w:rsidP="00731EBA">
            <w:pPr>
              <w:spacing w:after="160"/>
            </w:pPr>
            <w:r w:rsidRPr="004D67CB">
              <w:t>AI</w:t>
            </w:r>
          </w:p>
        </w:tc>
        <w:tc>
          <w:tcPr>
            <w:tcW w:w="0" w:type="auto"/>
            <w:hideMark/>
          </w:tcPr>
          <w:p w14:paraId="25E8BE77" w14:textId="061BBA46" w:rsidR="00E94EE5" w:rsidRPr="004D67CB" w:rsidRDefault="009159B5" w:rsidP="00731EBA">
            <w:pPr>
              <w:spacing w:after="160"/>
              <w:cnfStyle w:val="000000100000" w:firstRow="0" w:lastRow="0" w:firstColumn="0" w:lastColumn="0" w:oddVBand="0" w:evenVBand="0" w:oddHBand="1" w:evenHBand="0" w:firstRowFirstColumn="0" w:firstRowLastColumn="0" w:lastRowFirstColumn="0" w:lastRowLastColumn="0"/>
            </w:pPr>
            <w:r w:rsidRPr="009159B5">
              <w:t>Trí tuệ Nhân tạo</w:t>
            </w:r>
          </w:p>
        </w:tc>
      </w:tr>
      <w:tr w:rsidR="00E94EE5" w:rsidRPr="004D67CB" w14:paraId="62ECDCCD" w14:textId="77777777" w:rsidTr="00731EBA">
        <w:tc>
          <w:tcPr>
            <w:cnfStyle w:val="001000000000" w:firstRow="0" w:lastRow="0" w:firstColumn="1" w:lastColumn="0" w:oddVBand="0" w:evenVBand="0" w:oddHBand="0" w:evenHBand="0" w:firstRowFirstColumn="0" w:firstRowLastColumn="0" w:lastRowFirstColumn="0" w:lastRowLastColumn="0"/>
            <w:tcW w:w="1615" w:type="dxa"/>
            <w:hideMark/>
          </w:tcPr>
          <w:p w14:paraId="69A0DA1F" w14:textId="77777777" w:rsidR="00E94EE5" w:rsidRPr="004D67CB" w:rsidRDefault="00E94EE5" w:rsidP="00731EBA">
            <w:pPr>
              <w:spacing w:after="160"/>
            </w:pPr>
            <w:r w:rsidRPr="004D67CB">
              <w:t>AMS</w:t>
            </w:r>
          </w:p>
        </w:tc>
        <w:tc>
          <w:tcPr>
            <w:tcW w:w="0" w:type="auto"/>
            <w:hideMark/>
          </w:tcPr>
          <w:p w14:paraId="5ADCC7E1" w14:textId="25104204" w:rsidR="00E94EE5" w:rsidRPr="004D67CB" w:rsidRDefault="009159B5" w:rsidP="00731EBA">
            <w:pPr>
              <w:spacing w:after="160"/>
              <w:cnfStyle w:val="000000000000" w:firstRow="0" w:lastRow="0" w:firstColumn="0" w:lastColumn="0" w:oddVBand="0" w:evenVBand="0" w:oddHBand="0" w:evenHBand="0" w:firstRowFirstColumn="0" w:firstRowLastColumn="0" w:lastRowFirstColumn="0" w:lastRowLastColumn="0"/>
            </w:pPr>
            <w:r w:rsidRPr="009159B5">
              <w:t>Các Quốc gia Thành viên ASEAN</w:t>
            </w:r>
          </w:p>
        </w:tc>
      </w:tr>
      <w:tr w:rsidR="00E94EE5" w:rsidRPr="004D67CB" w14:paraId="01B7750C" w14:textId="77777777" w:rsidTr="0073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48A58962" w14:textId="77777777" w:rsidR="00E94EE5" w:rsidRPr="004D67CB" w:rsidRDefault="00E94EE5" w:rsidP="00731EBA">
            <w:pPr>
              <w:spacing w:after="160"/>
            </w:pPr>
            <w:r w:rsidRPr="004D67CB">
              <w:t>APEC</w:t>
            </w:r>
          </w:p>
        </w:tc>
        <w:tc>
          <w:tcPr>
            <w:tcW w:w="0" w:type="auto"/>
            <w:hideMark/>
          </w:tcPr>
          <w:p w14:paraId="11944F6B" w14:textId="43DC776F" w:rsidR="00E94EE5" w:rsidRPr="004D67CB" w:rsidRDefault="009159B5" w:rsidP="00731EBA">
            <w:pPr>
              <w:spacing w:after="160"/>
              <w:cnfStyle w:val="000000100000" w:firstRow="0" w:lastRow="0" w:firstColumn="0" w:lastColumn="0" w:oddVBand="0" w:evenVBand="0" w:oddHBand="1" w:evenHBand="0" w:firstRowFirstColumn="0" w:firstRowLastColumn="0" w:lastRowFirstColumn="0" w:lastRowLastColumn="0"/>
            </w:pPr>
            <w:r w:rsidRPr="009159B5">
              <w:t>Diễn đàn Hợp tác Kinh tế châu Á – Thái Bình Dương</w:t>
            </w:r>
          </w:p>
        </w:tc>
      </w:tr>
      <w:tr w:rsidR="00E94EE5" w:rsidRPr="004D67CB" w14:paraId="3897EBF1" w14:textId="77777777" w:rsidTr="00731EBA">
        <w:tc>
          <w:tcPr>
            <w:cnfStyle w:val="001000000000" w:firstRow="0" w:lastRow="0" w:firstColumn="1" w:lastColumn="0" w:oddVBand="0" w:evenVBand="0" w:oddHBand="0" w:evenHBand="0" w:firstRowFirstColumn="0" w:firstRowLastColumn="0" w:lastRowFirstColumn="0" w:lastRowLastColumn="0"/>
            <w:tcW w:w="1615" w:type="dxa"/>
            <w:hideMark/>
          </w:tcPr>
          <w:p w14:paraId="2426CEA3" w14:textId="77777777" w:rsidR="00E94EE5" w:rsidRPr="004D67CB" w:rsidRDefault="00E94EE5" w:rsidP="00731EBA">
            <w:pPr>
              <w:spacing w:after="160"/>
            </w:pPr>
            <w:r w:rsidRPr="004D67CB">
              <w:t>ASAPCP</w:t>
            </w:r>
          </w:p>
        </w:tc>
        <w:tc>
          <w:tcPr>
            <w:tcW w:w="0" w:type="auto"/>
            <w:hideMark/>
          </w:tcPr>
          <w:p w14:paraId="7FD20F0A" w14:textId="153E35FE" w:rsidR="00E94EE5" w:rsidRPr="004D67CB" w:rsidRDefault="009159B5" w:rsidP="00731EBA">
            <w:pPr>
              <w:spacing w:after="160"/>
              <w:cnfStyle w:val="000000000000" w:firstRow="0" w:lastRow="0" w:firstColumn="0" w:lastColumn="0" w:oddVBand="0" w:evenVBand="0" w:oddHBand="0" w:evenHBand="0" w:firstRowFirstColumn="0" w:firstRowLastColumn="0" w:lastRowFirstColumn="0" w:lastRowLastColumn="0"/>
            </w:pPr>
            <w:r w:rsidRPr="009159B5">
              <w:t>Kế hoạch Hành động Chiến lược ASEAN về Bảo vệ Người tiêu dùng</w:t>
            </w:r>
          </w:p>
        </w:tc>
      </w:tr>
      <w:tr w:rsidR="00E94EE5" w:rsidRPr="004D67CB" w14:paraId="214BBEC6" w14:textId="77777777" w:rsidTr="0073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66338D39" w14:textId="77777777" w:rsidR="00E94EE5" w:rsidRPr="004D67CB" w:rsidRDefault="00E94EE5" w:rsidP="00731EBA">
            <w:pPr>
              <w:spacing w:after="160"/>
            </w:pPr>
            <w:r w:rsidRPr="004D67CB">
              <w:t>ASEAN</w:t>
            </w:r>
          </w:p>
        </w:tc>
        <w:tc>
          <w:tcPr>
            <w:tcW w:w="0" w:type="auto"/>
            <w:hideMark/>
          </w:tcPr>
          <w:p w14:paraId="62BDAABB" w14:textId="3C1AD548" w:rsidR="00E94EE5" w:rsidRPr="004D67CB" w:rsidRDefault="009159B5" w:rsidP="00731EBA">
            <w:pPr>
              <w:spacing w:after="160"/>
              <w:cnfStyle w:val="000000100000" w:firstRow="0" w:lastRow="0" w:firstColumn="0" w:lastColumn="0" w:oddVBand="0" w:evenVBand="0" w:oddHBand="1" w:evenHBand="0" w:firstRowFirstColumn="0" w:firstRowLastColumn="0" w:lastRowFirstColumn="0" w:lastRowLastColumn="0"/>
            </w:pPr>
            <w:r w:rsidRPr="009159B5">
              <w:t>Hiệp hội các Quốc gia Đông Nam Á</w:t>
            </w:r>
          </w:p>
        </w:tc>
      </w:tr>
      <w:tr w:rsidR="00E94EE5" w:rsidRPr="004D67CB" w14:paraId="2D9952F0" w14:textId="77777777" w:rsidTr="00731EBA">
        <w:tc>
          <w:tcPr>
            <w:cnfStyle w:val="001000000000" w:firstRow="0" w:lastRow="0" w:firstColumn="1" w:lastColumn="0" w:oddVBand="0" w:evenVBand="0" w:oddHBand="0" w:evenHBand="0" w:firstRowFirstColumn="0" w:firstRowLastColumn="0" w:lastRowFirstColumn="0" w:lastRowLastColumn="0"/>
            <w:tcW w:w="1615" w:type="dxa"/>
            <w:hideMark/>
          </w:tcPr>
          <w:p w14:paraId="71E2688D" w14:textId="77777777" w:rsidR="00E94EE5" w:rsidRPr="004D67CB" w:rsidRDefault="00E94EE5" w:rsidP="00731EBA">
            <w:pPr>
              <w:spacing w:after="160"/>
            </w:pPr>
            <w:r w:rsidRPr="004D67CB">
              <w:t>ASW</w:t>
            </w:r>
          </w:p>
        </w:tc>
        <w:tc>
          <w:tcPr>
            <w:tcW w:w="0" w:type="auto"/>
            <w:hideMark/>
          </w:tcPr>
          <w:p w14:paraId="15D1D306" w14:textId="36650F60" w:rsidR="00E94EE5" w:rsidRPr="004D67CB" w:rsidRDefault="009159B5" w:rsidP="00731EBA">
            <w:pPr>
              <w:spacing w:after="160"/>
              <w:cnfStyle w:val="000000000000" w:firstRow="0" w:lastRow="0" w:firstColumn="0" w:lastColumn="0" w:oddVBand="0" w:evenVBand="0" w:oddHBand="0" w:evenHBand="0" w:firstRowFirstColumn="0" w:firstRowLastColumn="0" w:lastRowFirstColumn="0" w:lastRowLastColumn="0"/>
            </w:pPr>
            <w:r w:rsidRPr="009159B5">
              <w:t>Cơ chế Một cửa ASEAN</w:t>
            </w:r>
          </w:p>
        </w:tc>
      </w:tr>
      <w:tr w:rsidR="00E94EE5" w:rsidRPr="004D67CB" w14:paraId="445F8EA8" w14:textId="77777777" w:rsidTr="0073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68D23BAD" w14:textId="77777777" w:rsidR="00E94EE5" w:rsidRPr="004D67CB" w:rsidRDefault="00E94EE5" w:rsidP="00731EBA">
            <w:pPr>
              <w:spacing w:after="160"/>
            </w:pPr>
            <w:r w:rsidRPr="004D67CB">
              <w:t>ASWSC</w:t>
            </w:r>
          </w:p>
        </w:tc>
        <w:tc>
          <w:tcPr>
            <w:tcW w:w="0" w:type="auto"/>
            <w:hideMark/>
          </w:tcPr>
          <w:p w14:paraId="64484A84" w14:textId="78EB555B" w:rsidR="00E94EE5" w:rsidRPr="004D67CB" w:rsidRDefault="009159B5" w:rsidP="00731EBA">
            <w:pPr>
              <w:spacing w:after="160"/>
              <w:cnfStyle w:val="000000100000" w:firstRow="0" w:lastRow="0" w:firstColumn="0" w:lastColumn="0" w:oddVBand="0" w:evenVBand="0" w:oddHBand="1" w:evenHBand="0" w:firstRowFirstColumn="0" w:firstRowLastColumn="0" w:lastRowFirstColumn="0" w:lastRowLastColumn="0"/>
            </w:pPr>
            <w:r w:rsidRPr="009159B5">
              <w:t>Ban Chỉ đạo Cơ chế Một cửa ASEAN</w:t>
            </w:r>
          </w:p>
        </w:tc>
      </w:tr>
      <w:tr w:rsidR="00E94EE5" w:rsidRPr="004D67CB" w14:paraId="4AAF5109" w14:textId="77777777" w:rsidTr="00731EBA">
        <w:tc>
          <w:tcPr>
            <w:cnfStyle w:val="001000000000" w:firstRow="0" w:lastRow="0" w:firstColumn="1" w:lastColumn="0" w:oddVBand="0" w:evenVBand="0" w:oddHBand="0" w:evenHBand="0" w:firstRowFirstColumn="0" w:firstRowLastColumn="0" w:lastRowFirstColumn="0" w:lastRowLastColumn="0"/>
            <w:tcW w:w="1615" w:type="dxa"/>
            <w:hideMark/>
          </w:tcPr>
          <w:p w14:paraId="4CF44BBC" w14:textId="77777777" w:rsidR="00E94EE5" w:rsidRPr="004D67CB" w:rsidRDefault="00E94EE5" w:rsidP="00731EBA">
            <w:pPr>
              <w:spacing w:after="160"/>
            </w:pPr>
            <w:r w:rsidRPr="004D67CB">
              <w:t>B2B</w:t>
            </w:r>
          </w:p>
        </w:tc>
        <w:tc>
          <w:tcPr>
            <w:tcW w:w="0" w:type="auto"/>
            <w:hideMark/>
          </w:tcPr>
          <w:p w14:paraId="530A3C12" w14:textId="0A292444" w:rsidR="00E94EE5" w:rsidRPr="004D67CB" w:rsidRDefault="009159B5" w:rsidP="00731EBA">
            <w:pPr>
              <w:spacing w:after="160"/>
              <w:cnfStyle w:val="000000000000" w:firstRow="0" w:lastRow="0" w:firstColumn="0" w:lastColumn="0" w:oddVBand="0" w:evenVBand="0" w:oddHBand="0" w:evenHBand="0" w:firstRowFirstColumn="0" w:firstRowLastColumn="0" w:lastRowFirstColumn="0" w:lastRowLastColumn="0"/>
            </w:pPr>
            <w:r w:rsidRPr="009159B5">
              <w:t>Giao dịch Doanh nghiệp – Doanh nghiệp</w:t>
            </w:r>
          </w:p>
        </w:tc>
      </w:tr>
      <w:tr w:rsidR="00E94EE5" w:rsidRPr="004D67CB" w14:paraId="4A5CED50" w14:textId="77777777" w:rsidTr="0073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7A760AD0" w14:textId="77777777" w:rsidR="00E94EE5" w:rsidRPr="004D67CB" w:rsidRDefault="00E94EE5" w:rsidP="00731EBA">
            <w:pPr>
              <w:spacing w:after="160"/>
            </w:pPr>
            <w:r w:rsidRPr="004D67CB">
              <w:t>B2C</w:t>
            </w:r>
          </w:p>
        </w:tc>
        <w:tc>
          <w:tcPr>
            <w:tcW w:w="0" w:type="auto"/>
            <w:hideMark/>
          </w:tcPr>
          <w:p w14:paraId="1D89CBD2" w14:textId="0D46D593" w:rsidR="00E94EE5" w:rsidRPr="004D67CB" w:rsidRDefault="009159B5" w:rsidP="00731EBA">
            <w:pPr>
              <w:spacing w:after="160"/>
              <w:cnfStyle w:val="000000100000" w:firstRow="0" w:lastRow="0" w:firstColumn="0" w:lastColumn="0" w:oddVBand="0" w:evenVBand="0" w:oddHBand="1" w:evenHBand="0" w:firstRowFirstColumn="0" w:firstRowLastColumn="0" w:lastRowFirstColumn="0" w:lastRowLastColumn="0"/>
            </w:pPr>
            <w:r w:rsidRPr="009159B5">
              <w:t>Giao dịch Doanh nghiệp – Người tiêu dùng</w:t>
            </w:r>
          </w:p>
        </w:tc>
      </w:tr>
      <w:tr w:rsidR="00AF7609" w:rsidRPr="004D67CB" w14:paraId="3D1CF15E" w14:textId="77777777" w:rsidTr="00731EBA">
        <w:tc>
          <w:tcPr>
            <w:cnfStyle w:val="001000000000" w:firstRow="0" w:lastRow="0" w:firstColumn="1" w:lastColumn="0" w:oddVBand="0" w:evenVBand="0" w:oddHBand="0" w:evenHBand="0" w:firstRowFirstColumn="0" w:firstRowLastColumn="0" w:lastRowFirstColumn="0" w:lastRowLastColumn="0"/>
            <w:tcW w:w="1615" w:type="dxa"/>
            <w:hideMark/>
          </w:tcPr>
          <w:p w14:paraId="77EFEE43" w14:textId="77777777" w:rsidR="00AF7609" w:rsidRPr="004D67CB" w:rsidRDefault="00AF7609" w:rsidP="00731EBA">
            <w:pPr>
              <w:spacing w:after="160"/>
            </w:pPr>
            <w:r w:rsidRPr="004D67CB">
              <w:t>B2G</w:t>
            </w:r>
          </w:p>
        </w:tc>
        <w:tc>
          <w:tcPr>
            <w:tcW w:w="0" w:type="auto"/>
            <w:hideMark/>
          </w:tcPr>
          <w:p w14:paraId="4A947A19" w14:textId="4D1A9334" w:rsidR="00AF7609" w:rsidRPr="004D67CB" w:rsidRDefault="009159B5" w:rsidP="00731EBA">
            <w:pPr>
              <w:spacing w:after="160"/>
              <w:cnfStyle w:val="000000000000" w:firstRow="0" w:lastRow="0" w:firstColumn="0" w:lastColumn="0" w:oddVBand="0" w:evenVBand="0" w:oddHBand="0" w:evenHBand="0" w:firstRowFirstColumn="0" w:firstRowLastColumn="0" w:lastRowFirstColumn="0" w:lastRowLastColumn="0"/>
            </w:pPr>
            <w:r w:rsidRPr="009159B5">
              <w:t>Giao dịch Doanh nghiệp – Chính phủ</w:t>
            </w:r>
          </w:p>
        </w:tc>
      </w:tr>
      <w:tr w:rsidR="00AF7609" w:rsidRPr="004D67CB" w14:paraId="32BFF342" w14:textId="77777777" w:rsidTr="0073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4B996A33" w14:textId="77777777" w:rsidR="00AF7609" w:rsidRPr="004D67CB" w:rsidRDefault="00AF7609" w:rsidP="00731EBA">
            <w:pPr>
              <w:spacing w:after="160"/>
            </w:pPr>
            <w:r w:rsidRPr="004D67CB">
              <w:t>CBDCs</w:t>
            </w:r>
          </w:p>
        </w:tc>
        <w:tc>
          <w:tcPr>
            <w:tcW w:w="0" w:type="auto"/>
            <w:hideMark/>
          </w:tcPr>
          <w:p w14:paraId="578C0C47" w14:textId="1F3F11DA" w:rsidR="00AF7609" w:rsidRPr="004D67CB" w:rsidRDefault="009159B5" w:rsidP="00731EBA">
            <w:pPr>
              <w:spacing w:after="160"/>
              <w:cnfStyle w:val="000000100000" w:firstRow="0" w:lastRow="0" w:firstColumn="0" w:lastColumn="0" w:oddVBand="0" w:evenVBand="0" w:oddHBand="1" w:evenHBand="0" w:firstRowFirstColumn="0" w:firstRowLastColumn="0" w:lastRowFirstColumn="0" w:lastRowLastColumn="0"/>
            </w:pPr>
            <w:r w:rsidRPr="009159B5">
              <w:t xml:space="preserve">Tiền </w:t>
            </w:r>
            <w:r w:rsidR="00616696">
              <w:t>số</w:t>
            </w:r>
            <w:r w:rsidRPr="009159B5">
              <w:t xml:space="preserve"> của Ngân hàng Trung ương</w:t>
            </w:r>
          </w:p>
        </w:tc>
      </w:tr>
      <w:tr w:rsidR="00AF7609" w:rsidRPr="004D67CB" w14:paraId="4BA8DC1A" w14:textId="77777777" w:rsidTr="00731EBA">
        <w:tc>
          <w:tcPr>
            <w:cnfStyle w:val="001000000000" w:firstRow="0" w:lastRow="0" w:firstColumn="1" w:lastColumn="0" w:oddVBand="0" w:evenVBand="0" w:oddHBand="0" w:evenHBand="0" w:firstRowFirstColumn="0" w:firstRowLastColumn="0" w:lastRowFirstColumn="0" w:lastRowLastColumn="0"/>
            <w:tcW w:w="1615" w:type="dxa"/>
            <w:hideMark/>
          </w:tcPr>
          <w:p w14:paraId="1EF17096" w14:textId="77777777" w:rsidR="00AF7609" w:rsidRPr="004D67CB" w:rsidRDefault="00AF7609" w:rsidP="00731EBA">
            <w:pPr>
              <w:spacing w:after="160"/>
            </w:pPr>
            <w:r w:rsidRPr="004D67CB">
              <w:t>CBDF</w:t>
            </w:r>
          </w:p>
        </w:tc>
        <w:tc>
          <w:tcPr>
            <w:tcW w:w="0" w:type="auto"/>
            <w:hideMark/>
          </w:tcPr>
          <w:p w14:paraId="2F78E2FD" w14:textId="48D8B658" w:rsidR="00AF7609" w:rsidRPr="004D67CB" w:rsidRDefault="009159B5" w:rsidP="00731EBA">
            <w:pPr>
              <w:spacing w:after="160"/>
              <w:cnfStyle w:val="000000000000" w:firstRow="0" w:lastRow="0" w:firstColumn="0" w:lastColumn="0" w:oddVBand="0" w:evenVBand="0" w:oddHBand="0" w:evenHBand="0" w:firstRowFirstColumn="0" w:firstRowLastColumn="0" w:lastRowFirstColumn="0" w:lastRowLastColumn="0"/>
            </w:pPr>
            <w:r w:rsidRPr="009159B5">
              <w:t>Dòng dữ liệu xuyên biên giới</w:t>
            </w:r>
          </w:p>
        </w:tc>
      </w:tr>
      <w:tr w:rsidR="00AF7609" w:rsidRPr="004D67CB" w14:paraId="471E652C" w14:textId="77777777" w:rsidTr="000A0D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52D968BF" w14:textId="77777777" w:rsidR="00AF7609" w:rsidRPr="004D67CB" w:rsidRDefault="00AF7609" w:rsidP="000A0DDC">
            <w:pPr>
              <w:spacing w:after="160"/>
            </w:pPr>
            <w:r w:rsidRPr="004D67CB">
              <w:t>CBPR</w:t>
            </w:r>
          </w:p>
        </w:tc>
        <w:tc>
          <w:tcPr>
            <w:tcW w:w="0" w:type="auto"/>
            <w:hideMark/>
          </w:tcPr>
          <w:p w14:paraId="79943E13" w14:textId="7CE1EB92" w:rsidR="00AF7609" w:rsidRPr="004D67CB" w:rsidRDefault="00C81986" w:rsidP="000A0DDC">
            <w:pPr>
              <w:spacing w:after="160"/>
              <w:cnfStyle w:val="000000100000" w:firstRow="0" w:lastRow="0" w:firstColumn="0" w:lastColumn="0" w:oddVBand="0" w:evenVBand="0" w:oddHBand="1" w:evenHBand="0" w:firstRowFirstColumn="0" w:firstRowLastColumn="0" w:lastRowFirstColumn="0" w:lastRowLastColumn="0"/>
            </w:pPr>
            <w:r w:rsidRPr="00C81986">
              <w:t>Quy tắc Quyền riêng tư Xuyên biên giới</w:t>
            </w:r>
          </w:p>
        </w:tc>
      </w:tr>
      <w:tr w:rsidR="00AF7609" w:rsidRPr="004D67CB" w14:paraId="28826BB3" w14:textId="77777777" w:rsidTr="00731EBA">
        <w:tc>
          <w:tcPr>
            <w:cnfStyle w:val="001000000000" w:firstRow="0" w:lastRow="0" w:firstColumn="1" w:lastColumn="0" w:oddVBand="0" w:evenVBand="0" w:oddHBand="0" w:evenHBand="0" w:firstRowFirstColumn="0" w:firstRowLastColumn="0" w:lastRowFirstColumn="0" w:lastRowLastColumn="0"/>
            <w:tcW w:w="1615" w:type="dxa"/>
            <w:hideMark/>
          </w:tcPr>
          <w:p w14:paraId="08C03CD5" w14:textId="77777777" w:rsidR="00AF7609" w:rsidRPr="004D67CB" w:rsidRDefault="00AF7609" w:rsidP="00731EBA">
            <w:pPr>
              <w:spacing w:after="160"/>
            </w:pPr>
            <w:r w:rsidRPr="004D67CB">
              <w:t>CBPR+</w:t>
            </w:r>
          </w:p>
        </w:tc>
        <w:tc>
          <w:tcPr>
            <w:tcW w:w="0" w:type="auto"/>
            <w:hideMark/>
          </w:tcPr>
          <w:p w14:paraId="51EA671C" w14:textId="2DCE2F6C" w:rsidR="00AF7609" w:rsidRPr="004D67CB" w:rsidRDefault="00C81986" w:rsidP="00731EBA">
            <w:pPr>
              <w:spacing w:after="160"/>
              <w:cnfStyle w:val="000000000000" w:firstRow="0" w:lastRow="0" w:firstColumn="0" w:lastColumn="0" w:oddVBand="0" w:evenVBand="0" w:oddHBand="0" w:evenHBand="0" w:firstRowFirstColumn="0" w:firstRowLastColumn="0" w:lastRowFirstColumn="0" w:lastRowLastColumn="0"/>
            </w:pPr>
            <w:r w:rsidRPr="00C81986">
              <w:t>Hệ thống Thanh toán và Báo cáo Xuyên biên giới Plus</w:t>
            </w:r>
          </w:p>
        </w:tc>
      </w:tr>
      <w:tr w:rsidR="00AF7609" w:rsidRPr="004D67CB" w14:paraId="73FCE62E" w14:textId="77777777" w:rsidTr="0073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7D09D485" w14:textId="77777777" w:rsidR="00AF7609" w:rsidRPr="004D67CB" w:rsidRDefault="00AF7609" w:rsidP="00731EBA">
            <w:pPr>
              <w:spacing w:after="160"/>
            </w:pPr>
            <w:r w:rsidRPr="004D67CB">
              <w:lastRenderedPageBreak/>
              <w:t>CIS</w:t>
            </w:r>
          </w:p>
        </w:tc>
        <w:tc>
          <w:tcPr>
            <w:tcW w:w="0" w:type="auto"/>
            <w:hideMark/>
          </w:tcPr>
          <w:p w14:paraId="7D2AF4C3" w14:textId="049F4AA4" w:rsidR="00AF7609" w:rsidRPr="004D67CB" w:rsidRDefault="00C81986" w:rsidP="00731EBA">
            <w:pPr>
              <w:spacing w:after="160"/>
              <w:cnfStyle w:val="000000100000" w:firstRow="0" w:lastRow="0" w:firstColumn="0" w:lastColumn="0" w:oddVBand="0" w:evenVBand="0" w:oddHBand="1" w:evenHBand="0" w:firstRowFirstColumn="0" w:firstRowLastColumn="0" w:lastRowFirstColumn="0" w:lastRowLastColumn="0"/>
            </w:pPr>
            <w:r w:rsidRPr="00C81986">
              <w:t>Trung tâm An ninh Internet</w:t>
            </w:r>
          </w:p>
        </w:tc>
      </w:tr>
      <w:tr w:rsidR="00AF7609" w:rsidRPr="004D67CB" w14:paraId="70D7C17C" w14:textId="77777777" w:rsidTr="00731EBA">
        <w:tc>
          <w:tcPr>
            <w:cnfStyle w:val="001000000000" w:firstRow="0" w:lastRow="0" w:firstColumn="1" w:lastColumn="0" w:oddVBand="0" w:evenVBand="0" w:oddHBand="0" w:evenHBand="0" w:firstRowFirstColumn="0" w:firstRowLastColumn="0" w:lastRowFirstColumn="0" w:lastRowLastColumn="0"/>
            <w:tcW w:w="1615" w:type="dxa"/>
            <w:hideMark/>
          </w:tcPr>
          <w:p w14:paraId="23AEE1E4" w14:textId="77777777" w:rsidR="00AF7609" w:rsidRPr="004D67CB" w:rsidRDefault="00AF7609" w:rsidP="00731EBA">
            <w:pPr>
              <w:spacing w:after="160"/>
            </w:pPr>
            <w:r w:rsidRPr="004D67CB">
              <w:t>COC</w:t>
            </w:r>
          </w:p>
        </w:tc>
        <w:tc>
          <w:tcPr>
            <w:tcW w:w="0" w:type="auto"/>
            <w:hideMark/>
          </w:tcPr>
          <w:p w14:paraId="071CA44D" w14:textId="69EF8CC1" w:rsidR="00AF7609" w:rsidRPr="004D67CB" w:rsidRDefault="00C81986" w:rsidP="00731EBA">
            <w:pPr>
              <w:spacing w:after="160"/>
              <w:cnfStyle w:val="000000000000" w:firstRow="0" w:lastRow="0" w:firstColumn="0" w:lastColumn="0" w:oddVBand="0" w:evenVBand="0" w:oddHBand="0" w:evenHBand="0" w:firstRowFirstColumn="0" w:firstRowLastColumn="0" w:lastRowFirstColumn="0" w:lastRowLastColumn="0"/>
            </w:pPr>
            <w:r w:rsidRPr="00C81986">
              <w:t>Bộ Quy tắc Ứng xử</w:t>
            </w:r>
          </w:p>
        </w:tc>
      </w:tr>
      <w:tr w:rsidR="00AF7609" w:rsidRPr="004D67CB" w14:paraId="03085348" w14:textId="77777777" w:rsidTr="0073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129CF0FC" w14:textId="77777777" w:rsidR="00AF7609" w:rsidRPr="004D67CB" w:rsidRDefault="00AF7609" w:rsidP="00731EBA">
            <w:pPr>
              <w:spacing w:after="160"/>
            </w:pPr>
            <w:r w:rsidRPr="004D67CB">
              <w:t>COSTI</w:t>
            </w:r>
          </w:p>
        </w:tc>
        <w:tc>
          <w:tcPr>
            <w:tcW w:w="0" w:type="auto"/>
            <w:hideMark/>
          </w:tcPr>
          <w:p w14:paraId="29D59D82" w14:textId="651532C5" w:rsidR="00AF7609" w:rsidRPr="004D67CB" w:rsidRDefault="00C81986" w:rsidP="00731EBA">
            <w:pPr>
              <w:spacing w:after="160"/>
              <w:cnfStyle w:val="000000100000" w:firstRow="0" w:lastRow="0" w:firstColumn="0" w:lastColumn="0" w:oddVBand="0" w:evenVBand="0" w:oddHBand="1" w:evenHBand="0" w:firstRowFirstColumn="0" w:firstRowLastColumn="0" w:lastRowFirstColumn="0" w:lastRowLastColumn="0"/>
            </w:pPr>
            <w:r w:rsidRPr="00C81986">
              <w:t>Ủy ban ASEAN về Khoa học, Công nghệ và Đổi mới</w:t>
            </w:r>
          </w:p>
        </w:tc>
      </w:tr>
      <w:tr w:rsidR="00AF7609" w:rsidRPr="004D67CB" w14:paraId="79464EA3" w14:textId="77777777" w:rsidTr="00731EBA">
        <w:tc>
          <w:tcPr>
            <w:cnfStyle w:val="001000000000" w:firstRow="0" w:lastRow="0" w:firstColumn="1" w:lastColumn="0" w:oddVBand="0" w:evenVBand="0" w:oddHBand="0" w:evenHBand="0" w:firstRowFirstColumn="0" w:firstRowLastColumn="0" w:lastRowFirstColumn="0" w:lastRowLastColumn="0"/>
            <w:tcW w:w="1615" w:type="dxa"/>
            <w:hideMark/>
          </w:tcPr>
          <w:p w14:paraId="06A1E47D" w14:textId="77777777" w:rsidR="00AF7609" w:rsidRPr="004D67CB" w:rsidRDefault="00AF7609" w:rsidP="00731EBA">
            <w:pPr>
              <w:spacing w:after="160"/>
            </w:pPr>
            <w:r w:rsidRPr="004D67CB">
              <w:t>CPMI</w:t>
            </w:r>
          </w:p>
        </w:tc>
        <w:tc>
          <w:tcPr>
            <w:tcW w:w="0" w:type="auto"/>
            <w:hideMark/>
          </w:tcPr>
          <w:p w14:paraId="0BC7564C" w14:textId="22515846" w:rsidR="00AF7609" w:rsidRPr="004D67CB" w:rsidRDefault="00C81986" w:rsidP="00731EBA">
            <w:pPr>
              <w:spacing w:after="160"/>
              <w:cnfStyle w:val="000000000000" w:firstRow="0" w:lastRow="0" w:firstColumn="0" w:lastColumn="0" w:oddVBand="0" w:evenVBand="0" w:oddHBand="0" w:evenHBand="0" w:firstRowFirstColumn="0" w:firstRowLastColumn="0" w:lastRowFirstColumn="0" w:lastRowLastColumn="0"/>
            </w:pPr>
            <w:r w:rsidRPr="00C81986">
              <w:t>Ủy ban về Hệ thống Thanh toán và Hạ tầng Thị trường</w:t>
            </w:r>
          </w:p>
        </w:tc>
      </w:tr>
      <w:tr w:rsidR="00AF7609" w:rsidRPr="004D67CB" w14:paraId="3A20F969" w14:textId="77777777" w:rsidTr="0073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2BEC4C22" w14:textId="77777777" w:rsidR="00AF7609" w:rsidRPr="004D67CB" w:rsidRDefault="00AF7609" w:rsidP="00731EBA">
            <w:pPr>
              <w:spacing w:after="160"/>
            </w:pPr>
            <w:r w:rsidRPr="004D67CB">
              <w:t>CSF</w:t>
            </w:r>
          </w:p>
        </w:tc>
        <w:tc>
          <w:tcPr>
            <w:tcW w:w="0" w:type="auto"/>
            <w:hideMark/>
          </w:tcPr>
          <w:p w14:paraId="23316CA0" w14:textId="46C0BBCD" w:rsidR="00AF7609" w:rsidRPr="004D67CB" w:rsidRDefault="00C81986" w:rsidP="00731EBA">
            <w:pPr>
              <w:spacing w:after="160"/>
              <w:cnfStyle w:val="000000100000" w:firstRow="0" w:lastRow="0" w:firstColumn="0" w:lastColumn="0" w:oddVBand="0" w:evenVBand="0" w:oddHBand="1" w:evenHBand="0" w:firstRowFirstColumn="0" w:firstRowLastColumn="0" w:lastRowFirstColumn="0" w:lastRowLastColumn="0"/>
            </w:pPr>
            <w:r w:rsidRPr="00C81986">
              <w:t>Khung An ninh mạng</w:t>
            </w:r>
          </w:p>
        </w:tc>
      </w:tr>
      <w:tr w:rsidR="00AF7609" w:rsidRPr="004D67CB" w14:paraId="3D93CAEC" w14:textId="77777777" w:rsidTr="00731EBA">
        <w:tc>
          <w:tcPr>
            <w:cnfStyle w:val="001000000000" w:firstRow="0" w:lastRow="0" w:firstColumn="1" w:lastColumn="0" w:oddVBand="0" w:evenVBand="0" w:oddHBand="0" w:evenHBand="0" w:firstRowFirstColumn="0" w:firstRowLastColumn="0" w:lastRowFirstColumn="0" w:lastRowLastColumn="0"/>
            <w:tcW w:w="1615" w:type="dxa"/>
            <w:hideMark/>
          </w:tcPr>
          <w:p w14:paraId="097A49A6" w14:textId="77777777" w:rsidR="00AF7609" w:rsidRPr="004D67CB" w:rsidRDefault="00AF7609" w:rsidP="00731EBA">
            <w:pPr>
              <w:spacing w:after="160"/>
            </w:pPr>
            <w:r w:rsidRPr="004D67CB">
              <w:t>DEAs</w:t>
            </w:r>
          </w:p>
        </w:tc>
        <w:tc>
          <w:tcPr>
            <w:tcW w:w="0" w:type="auto"/>
            <w:hideMark/>
          </w:tcPr>
          <w:p w14:paraId="33682658" w14:textId="15630E44" w:rsidR="00AF7609" w:rsidRPr="004D67CB" w:rsidRDefault="00C81986" w:rsidP="00731EBA">
            <w:pPr>
              <w:spacing w:after="160"/>
              <w:cnfStyle w:val="000000000000" w:firstRow="0" w:lastRow="0" w:firstColumn="0" w:lastColumn="0" w:oddVBand="0" w:evenVBand="0" w:oddHBand="0" w:evenHBand="0" w:firstRowFirstColumn="0" w:firstRowLastColumn="0" w:lastRowFirstColumn="0" w:lastRowLastColumn="0"/>
            </w:pPr>
            <w:r w:rsidRPr="00C81986">
              <w:t>Các Hiệp định Kinh tế Số</w:t>
            </w:r>
          </w:p>
        </w:tc>
      </w:tr>
      <w:tr w:rsidR="00AF7609" w:rsidRPr="004D67CB" w14:paraId="006A9301" w14:textId="77777777" w:rsidTr="00731EBA">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615" w:type="dxa"/>
          </w:tcPr>
          <w:p w14:paraId="36F90D83" w14:textId="77777777" w:rsidR="00AF7609" w:rsidRPr="002458C6" w:rsidRDefault="00AF7609" w:rsidP="00731EBA">
            <w:r w:rsidRPr="002458C6">
              <w:t>DEFA</w:t>
            </w:r>
          </w:p>
        </w:tc>
        <w:tc>
          <w:tcPr>
            <w:tcW w:w="0" w:type="auto"/>
          </w:tcPr>
          <w:p w14:paraId="0B88211A" w14:textId="5E4B1C92" w:rsidR="00AF7609" w:rsidRPr="004D67CB" w:rsidRDefault="00C81986" w:rsidP="00731EBA">
            <w:pPr>
              <w:cnfStyle w:val="000000100000" w:firstRow="0" w:lastRow="0" w:firstColumn="0" w:lastColumn="0" w:oddVBand="0" w:evenVBand="0" w:oddHBand="1" w:evenHBand="0" w:firstRowFirstColumn="0" w:firstRowLastColumn="0" w:lastRowFirstColumn="0" w:lastRowLastColumn="0"/>
            </w:pPr>
            <w:r w:rsidRPr="00C81986">
              <w:rPr>
                <w:rFonts w:asciiTheme="minorBidi" w:hAnsiTheme="minorBidi" w:cstheme="minorBidi"/>
              </w:rPr>
              <w:t>Hiệp định Khung về Kinh tế Số của ASEAN</w:t>
            </w:r>
          </w:p>
        </w:tc>
      </w:tr>
      <w:tr w:rsidR="00AF7609" w:rsidRPr="004D67CB" w14:paraId="687E3C13" w14:textId="77777777" w:rsidTr="00731EBA">
        <w:tc>
          <w:tcPr>
            <w:cnfStyle w:val="001000000000" w:firstRow="0" w:lastRow="0" w:firstColumn="1" w:lastColumn="0" w:oddVBand="0" w:evenVBand="0" w:oddHBand="0" w:evenHBand="0" w:firstRowFirstColumn="0" w:firstRowLastColumn="0" w:lastRowFirstColumn="0" w:lastRowLastColumn="0"/>
            <w:tcW w:w="1615" w:type="dxa"/>
            <w:hideMark/>
          </w:tcPr>
          <w:p w14:paraId="15C6BF22" w14:textId="77777777" w:rsidR="00AF7609" w:rsidRPr="004D67CB" w:rsidRDefault="00AF7609" w:rsidP="00731EBA">
            <w:pPr>
              <w:spacing w:after="160"/>
            </w:pPr>
            <w:r w:rsidRPr="004D67CB">
              <w:t>DLT</w:t>
            </w:r>
          </w:p>
        </w:tc>
        <w:tc>
          <w:tcPr>
            <w:tcW w:w="0" w:type="auto"/>
            <w:hideMark/>
          </w:tcPr>
          <w:p w14:paraId="049F25EA" w14:textId="2788F380" w:rsidR="00AF7609" w:rsidRPr="004D67CB" w:rsidRDefault="00C81986" w:rsidP="00731EBA">
            <w:pPr>
              <w:spacing w:after="160"/>
              <w:cnfStyle w:val="000000000000" w:firstRow="0" w:lastRow="0" w:firstColumn="0" w:lastColumn="0" w:oddVBand="0" w:evenVBand="0" w:oddHBand="0" w:evenHBand="0" w:firstRowFirstColumn="0" w:firstRowLastColumn="0" w:lastRowFirstColumn="0" w:lastRowLastColumn="0"/>
            </w:pPr>
            <w:r w:rsidRPr="00C81986">
              <w:t>Công nghệ Sổ cái Phân tán</w:t>
            </w:r>
          </w:p>
        </w:tc>
      </w:tr>
      <w:tr w:rsidR="00AF7609" w:rsidRPr="004D67CB" w14:paraId="3FDAE792" w14:textId="77777777" w:rsidTr="0073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1E06A6B6" w14:textId="77777777" w:rsidR="00AF7609" w:rsidRPr="004D67CB" w:rsidRDefault="00AF7609" w:rsidP="00731EBA">
            <w:pPr>
              <w:spacing w:after="160"/>
            </w:pPr>
            <w:r w:rsidRPr="004D67CB">
              <w:t>DMF</w:t>
            </w:r>
          </w:p>
        </w:tc>
        <w:tc>
          <w:tcPr>
            <w:tcW w:w="0" w:type="auto"/>
            <w:hideMark/>
          </w:tcPr>
          <w:p w14:paraId="00365802" w14:textId="2FAEFB94" w:rsidR="00AF7609" w:rsidRPr="004D67CB" w:rsidRDefault="00E47152" w:rsidP="00731EBA">
            <w:pPr>
              <w:spacing w:after="160"/>
              <w:cnfStyle w:val="000000100000" w:firstRow="0" w:lastRow="0" w:firstColumn="0" w:lastColumn="0" w:oddVBand="0" w:evenVBand="0" w:oddHBand="1" w:evenHBand="0" w:firstRowFirstColumn="0" w:firstRowLastColumn="0" w:lastRowFirstColumn="0" w:lastRowLastColumn="0"/>
            </w:pPr>
            <w:r w:rsidRPr="00E47152">
              <w:t>Khung Quản lý Dữ liệu</w:t>
            </w:r>
          </w:p>
        </w:tc>
      </w:tr>
      <w:tr w:rsidR="00AF7609" w:rsidRPr="004D67CB" w14:paraId="67F14A30" w14:textId="77777777" w:rsidTr="00731EBA">
        <w:tc>
          <w:tcPr>
            <w:cnfStyle w:val="001000000000" w:firstRow="0" w:lastRow="0" w:firstColumn="1" w:lastColumn="0" w:oddVBand="0" w:evenVBand="0" w:oddHBand="0" w:evenHBand="0" w:firstRowFirstColumn="0" w:firstRowLastColumn="0" w:lastRowFirstColumn="0" w:lastRowLastColumn="0"/>
            <w:tcW w:w="1615" w:type="dxa"/>
            <w:hideMark/>
          </w:tcPr>
          <w:p w14:paraId="15F21EA6" w14:textId="77777777" w:rsidR="00AF7609" w:rsidRPr="004D67CB" w:rsidRDefault="00AF7609" w:rsidP="00731EBA">
            <w:pPr>
              <w:spacing w:after="160"/>
            </w:pPr>
            <w:r w:rsidRPr="004D67CB">
              <w:t>DTS</w:t>
            </w:r>
          </w:p>
        </w:tc>
        <w:tc>
          <w:tcPr>
            <w:tcW w:w="0" w:type="auto"/>
            <w:hideMark/>
          </w:tcPr>
          <w:p w14:paraId="048E737E" w14:textId="695F2101" w:rsidR="00AF7609" w:rsidRPr="004D67CB" w:rsidRDefault="00E47152" w:rsidP="00731EBA">
            <w:pPr>
              <w:spacing w:after="160"/>
              <w:cnfStyle w:val="000000000000" w:firstRow="0" w:lastRow="0" w:firstColumn="0" w:lastColumn="0" w:oddVBand="0" w:evenVBand="0" w:oddHBand="0" w:evenHBand="0" w:firstRowFirstColumn="0" w:firstRowLastColumn="0" w:lastRowFirstColumn="0" w:lastRowLastColumn="0"/>
            </w:pPr>
            <w:r w:rsidRPr="00E47152">
              <w:t>Tiêu chuẩn Thương mại Số</w:t>
            </w:r>
            <w:r w:rsidR="00F873B7">
              <w:t xml:space="preserve"> (TCTMS)</w:t>
            </w:r>
          </w:p>
        </w:tc>
      </w:tr>
      <w:tr w:rsidR="00AF7609" w:rsidRPr="004D67CB" w14:paraId="62CC282C" w14:textId="77777777" w:rsidTr="0073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35CC7E52" w14:textId="77777777" w:rsidR="00AF7609" w:rsidRPr="004D67CB" w:rsidRDefault="00AF7609" w:rsidP="00731EBA">
            <w:pPr>
              <w:spacing w:after="160"/>
            </w:pPr>
            <w:r w:rsidRPr="004D67CB">
              <w:t>DTSCWG</w:t>
            </w:r>
          </w:p>
        </w:tc>
        <w:tc>
          <w:tcPr>
            <w:tcW w:w="0" w:type="auto"/>
            <w:hideMark/>
          </w:tcPr>
          <w:p w14:paraId="0116CD3C" w14:textId="4FE63146" w:rsidR="00AF7609" w:rsidRPr="004D67CB" w:rsidRDefault="00E47152" w:rsidP="00731EBA">
            <w:pPr>
              <w:spacing w:after="160"/>
              <w:cnfStyle w:val="000000100000" w:firstRow="0" w:lastRow="0" w:firstColumn="0" w:lastColumn="0" w:oddVBand="0" w:evenVBand="0" w:oddHBand="1" w:evenHBand="0" w:firstRowFirstColumn="0" w:firstRowLastColumn="0" w:lastRowFirstColumn="0" w:lastRowLastColumn="0"/>
            </w:pPr>
            <w:r w:rsidRPr="00E47152">
              <w:t>Nhóm Công tác về Tiêu chuẩn và Đánh giá Sự phù hợp Thương mại Số</w:t>
            </w:r>
          </w:p>
        </w:tc>
      </w:tr>
      <w:tr w:rsidR="00172C33" w:rsidRPr="004D67CB" w14:paraId="0086A895" w14:textId="77777777" w:rsidTr="00731EBA">
        <w:tc>
          <w:tcPr>
            <w:cnfStyle w:val="001000000000" w:firstRow="0" w:lastRow="0" w:firstColumn="1" w:lastColumn="0" w:oddVBand="0" w:evenVBand="0" w:oddHBand="0" w:evenHBand="0" w:firstRowFirstColumn="0" w:firstRowLastColumn="0" w:lastRowFirstColumn="0" w:lastRowLastColumn="0"/>
            <w:tcW w:w="1615" w:type="dxa"/>
            <w:hideMark/>
          </w:tcPr>
          <w:p w14:paraId="4D1D5866" w14:textId="77777777" w:rsidR="00172C33" w:rsidRPr="00EA20FD" w:rsidRDefault="00172C33" w:rsidP="00731EBA">
            <w:pPr>
              <w:spacing w:after="160"/>
            </w:pPr>
            <w:r w:rsidRPr="00EA20FD">
              <w:t>FID</w:t>
            </w:r>
          </w:p>
        </w:tc>
        <w:tc>
          <w:tcPr>
            <w:tcW w:w="0" w:type="auto"/>
            <w:hideMark/>
          </w:tcPr>
          <w:p w14:paraId="79D52202" w14:textId="7C48AD70" w:rsidR="00172C33" w:rsidRPr="004D67CB" w:rsidRDefault="00E47152" w:rsidP="00731EBA">
            <w:pPr>
              <w:spacing w:after="160"/>
              <w:cnfStyle w:val="000000000000" w:firstRow="0" w:lastRow="0" w:firstColumn="0" w:lastColumn="0" w:oddVBand="0" w:evenVBand="0" w:oddHBand="0" w:evenHBand="0" w:firstRowFirstColumn="0" w:firstRowLastColumn="0" w:lastRowFirstColumn="0" w:lastRowLastColumn="0"/>
            </w:pPr>
            <w:r w:rsidRPr="00E47152">
              <w:t>Vụ Hội nhập Tài chính</w:t>
            </w:r>
          </w:p>
        </w:tc>
      </w:tr>
      <w:tr w:rsidR="00172C33" w:rsidRPr="004D67CB" w14:paraId="0ED00DA4" w14:textId="77777777" w:rsidTr="0073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4A526D1E" w14:textId="77777777" w:rsidR="00172C33" w:rsidRPr="004D67CB" w:rsidRDefault="00172C33" w:rsidP="00731EBA">
            <w:pPr>
              <w:spacing w:after="160"/>
            </w:pPr>
            <w:r w:rsidRPr="004D67CB">
              <w:t>FIDO</w:t>
            </w:r>
          </w:p>
        </w:tc>
        <w:tc>
          <w:tcPr>
            <w:tcW w:w="0" w:type="auto"/>
            <w:hideMark/>
          </w:tcPr>
          <w:p w14:paraId="5731066B" w14:textId="48C4AB54" w:rsidR="00172C33" w:rsidRPr="004D67CB" w:rsidRDefault="00E47152" w:rsidP="00731EBA">
            <w:pPr>
              <w:spacing w:after="160"/>
              <w:cnfStyle w:val="000000100000" w:firstRow="0" w:lastRow="0" w:firstColumn="0" w:lastColumn="0" w:oddVBand="0" w:evenVBand="0" w:oddHBand="1" w:evenHBand="0" w:firstRowFirstColumn="0" w:firstRowLastColumn="0" w:lastRowFirstColumn="0" w:lastRowLastColumn="0"/>
            </w:pPr>
            <w:r w:rsidRPr="00E47152">
              <w:t>Xác thực trực tuyến nhanh</w:t>
            </w:r>
          </w:p>
        </w:tc>
      </w:tr>
      <w:tr w:rsidR="00AF7609" w:rsidRPr="004D67CB" w14:paraId="398BAF09" w14:textId="77777777" w:rsidTr="00731EBA">
        <w:tc>
          <w:tcPr>
            <w:cnfStyle w:val="001000000000" w:firstRow="0" w:lastRow="0" w:firstColumn="1" w:lastColumn="0" w:oddVBand="0" w:evenVBand="0" w:oddHBand="0" w:evenHBand="0" w:firstRowFirstColumn="0" w:firstRowLastColumn="0" w:lastRowFirstColumn="0" w:lastRowLastColumn="0"/>
            <w:tcW w:w="1615" w:type="dxa"/>
            <w:hideMark/>
          </w:tcPr>
          <w:p w14:paraId="5AD27B3F" w14:textId="77777777" w:rsidR="00AF7609" w:rsidRPr="004D67CB" w:rsidRDefault="00AF7609" w:rsidP="00731EBA">
            <w:pPr>
              <w:spacing w:after="160"/>
            </w:pPr>
            <w:r w:rsidRPr="004D67CB">
              <w:t>FTAs</w:t>
            </w:r>
          </w:p>
        </w:tc>
        <w:tc>
          <w:tcPr>
            <w:tcW w:w="0" w:type="auto"/>
            <w:hideMark/>
          </w:tcPr>
          <w:p w14:paraId="57CEF4A1" w14:textId="24A8FED7" w:rsidR="00AF7609" w:rsidRPr="004D67CB" w:rsidRDefault="00E47152" w:rsidP="00731EBA">
            <w:pPr>
              <w:spacing w:after="160"/>
              <w:cnfStyle w:val="000000000000" w:firstRow="0" w:lastRow="0" w:firstColumn="0" w:lastColumn="0" w:oddVBand="0" w:evenVBand="0" w:oddHBand="0" w:evenHBand="0" w:firstRowFirstColumn="0" w:firstRowLastColumn="0" w:lastRowFirstColumn="0" w:lastRowLastColumn="0"/>
            </w:pPr>
            <w:r w:rsidRPr="00E47152">
              <w:t>Hiệp định Thương mại Tự do</w:t>
            </w:r>
          </w:p>
        </w:tc>
      </w:tr>
      <w:tr w:rsidR="00172C33" w:rsidRPr="004D67CB" w14:paraId="35F5EF9D" w14:textId="77777777" w:rsidTr="0073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40B909FF" w14:textId="77777777" w:rsidR="00172C33" w:rsidRPr="004D67CB" w:rsidRDefault="00172C33" w:rsidP="00731EBA">
            <w:pPr>
              <w:spacing w:after="160"/>
            </w:pPr>
            <w:r w:rsidRPr="004D67CB">
              <w:t>FW</w:t>
            </w:r>
          </w:p>
        </w:tc>
        <w:tc>
          <w:tcPr>
            <w:tcW w:w="0" w:type="auto"/>
            <w:hideMark/>
          </w:tcPr>
          <w:p w14:paraId="15C15C13" w14:textId="441494E1" w:rsidR="00172C33" w:rsidRPr="004D67CB" w:rsidRDefault="00E47152" w:rsidP="00731EBA">
            <w:pPr>
              <w:spacing w:after="160"/>
              <w:cnfStyle w:val="000000100000" w:firstRow="0" w:lastRow="0" w:firstColumn="0" w:lastColumn="0" w:oddVBand="0" w:evenVBand="0" w:oddHBand="1" w:evenHBand="0" w:firstRowFirstColumn="0" w:firstRowLastColumn="0" w:lastRowFirstColumn="0" w:lastRowLastColumn="0"/>
            </w:pPr>
            <w:r w:rsidRPr="00E47152">
              <w:t>Khung</w:t>
            </w:r>
          </w:p>
        </w:tc>
      </w:tr>
      <w:tr w:rsidR="00172C33" w:rsidRPr="004D67CB" w14:paraId="67D67D16" w14:textId="77777777" w:rsidTr="00731EBA">
        <w:tc>
          <w:tcPr>
            <w:cnfStyle w:val="001000000000" w:firstRow="0" w:lastRow="0" w:firstColumn="1" w:lastColumn="0" w:oddVBand="0" w:evenVBand="0" w:oddHBand="0" w:evenHBand="0" w:firstRowFirstColumn="0" w:firstRowLastColumn="0" w:lastRowFirstColumn="0" w:lastRowLastColumn="0"/>
            <w:tcW w:w="1615" w:type="dxa"/>
            <w:hideMark/>
          </w:tcPr>
          <w:p w14:paraId="5B64B607" w14:textId="77777777" w:rsidR="00172C33" w:rsidRPr="004D67CB" w:rsidRDefault="00172C33" w:rsidP="00731EBA">
            <w:pPr>
              <w:spacing w:after="160"/>
            </w:pPr>
            <w:r w:rsidRPr="004D67CB">
              <w:t>G2G</w:t>
            </w:r>
          </w:p>
        </w:tc>
        <w:tc>
          <w:tcPr>
            <w:tcW w:w="0" w:type="auto"/>
            <w:hideMark/>
          </w:tcPr>
          <w:p w14:paraId="41A81265" w14:textId="1EFC203C" w:rsidR="00172C33" w:rsidRPr="004D67CB" w:rsidRDefault="00E47152" w:rsidP="00731EBA">
            <w:pPr>
              <w:spacing w:after="160"/>
              <w:cnfStyle w:val="000000000000" w:firstRow="0" w:lastRow="0" w:firstColumn="0" w:lastColumn="0" w:oddVBand="0" w:evenVBand="0" w:oddHBand="0" w:evenHBand="0" w:firstRowFirstColumn="0" w:firstRowLastColumn="0" w:lastRowFirstColumn="0" w:lastRowLastColumn="0"/>
            </w:pPr>
            <w:r w:rsidRPr="00E47152">
              <w:t>Giao dịch Chính phủ – Chính phủ</w:t>
            </w:r>
          </w:p>
        </w:tc>
      </w:tr>
      <w:tr w:rsidR="00172C33" w:rsidRPr="004D67CB" w14:paraId="0FB7121F" w14:textId="77777777" w:rsidTr="0073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273FF181" w14:textId="77777777" w:rsidR="00172C33" w:rsidRPr="004D67CB" w:rsidRDefault="00172C33" w:rsidP="00731EBA">
            <w:pPr>
              <w:spacing w:after="160"/>
            </w:pPr>
            <w:r w:rsidRPr="004D67CB">
              <w:t>GDP</w:t>
            </w:r>
          </w:p>
        </w:tc>
        <w:tc>
          <w:tcPr>
            <w:tcW w:w="0" w:type="auto"/>
            <w:hideMark/>
          </w:tcPr>
          <w:p w14:paraId="5B20ADC4" w14:textId="56B6226C" w:rsidR="00172C33" w:rsidRPr="004D67CB" w:rsidRDefault="00E47152" w:rsidP="00731EBA">
            <w:pPr>
              <w:spacing w:after="160"/>
              <w:cnfStyle w:val="000000100000" w:firstRow="0" w:lastRow="0" w:firstColumn="0" w:lastColumn="0" w:oddVBand="0" w:evenVBand="0" w:oddHBand="1" w:evenHBand="0" w:firstRowFirstColumn="0" w:firstRowLastColumn="0" w:lastRowFirstColumn="0" w:lastRowLastColumn="0"/>
            </w:pPr>
            <w:r w:rsidRPr="00E47152">
              <w:t>Tổng sản phẩm quốc nội</w:t>
            </w:r>
          </w:p>
        </w:tc>
      </w:tr>
      <w:tr w:rsidR="00172C33" w:rsidRPr="004D67CB" w14:paraId="3667D2D7" w14:textId="77777777" w:rsidTr="00731EBA">
        <w:tc>
          <w:tcPr>
            <w:cnfStyle w:val="001000000000" w:firstRow="0" w:lastRow="0" w:firstColumn="1" w:lastColumn="0" w:oddVBand="0" w:evenVBand="0" w:oddHBand="0" w:evenHBand="0" w:firstRowFirstColumn="0" w:firstRowLastColumn="0" w:lastRowFirstColumn="0" w:lastRowLastColumn="0"/>
            <w:tcW w:w="1615" w:type="dxa"/>
            <w:hideMark/>
          </w:tcPr>
          <w:p w14:paraId="6BC0FD01" w14:textId="77777777" w:rsidR="00172C33" w:rsidRPr="004D67CB" w:rsidRDefault="00172C33" w:rsidP="00731EBA">
            <w:pPr>
              <w:spacing w:after="160"/>
            </w:pPr>
            <w:r w:rsidRPr="004D67CB">
              <w:t>GII</w:t>
            </w:r>
          </w:p>
        </w:tc>
        <w:tc>
          <w:tcPr>
            <w:tcW w:w="0" w:type="auto"/>
            <w:hideMark/>
          </w:tcPr>
          <w:p w14:paraId="65B6F1D1" w14:textId="77CAFB64" w:rsidR="00172C33" w:rsidRPr="004D67CB" w:rsidRDefault="00E47152" w:rsidP="00731EBA">
            <w:pPr>
              <w:spacing w:after="160"/>
              <w:cnfStyle w:val="000000000000" w:firstRow="0" w:lastRow="0" w:firstColumn="0" w:lastColumn="0" w:oddVBand="0" w:evenVBand="0" w:oddHBand="0" w:evenHBand="0" w:firstRowFirstColumn="0" w:firstRowLastColumn="0" w:lastRowFirstColumn="0" w:lastRowLastColumn="0"/>
            </w:pPr>
            <w:r w:rsidRPr="00E47152">
              <w:t>Chỉ số Đổi mới Toàn cầu</w:t>
            </w:r>
          </w:p>
        </w:tc>
      </w:tr>
      <w:tr w:rsidR="00172C33" w:rsidRPr="004D67CB" w14:paraId="271CD867" w14:textId="77777777" w:rsidTr="0073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4B1EEB77" w14:textId="77777777" w:rsidR="00172C33" w:rsidRPr="004D67CB" w:rsidRDefault="00172C33" w:rsidP="00731EBA">
            <w:pPr>
              <w:spacing w:after="160"/>
            </w:pPr>
            <w:r w:rsidRPr="004D67CB">
              <w:t>GXB</w:t>
            </w:r>
          </w:p>
        </w:tc>
        <w:tc>
          <w:tcPr>
            <w:tcW w:w="0" w:type="auto"/>
            <w:hideMark/>
          </w:tcPr>
          <w:p w14:paraId="7C3C0F1D" w14:textId="68DAFE7D" w:rsidR="00172C33" w:rsidRPr="004D67CB" w:rsidRDefault="00E47152" w:rsidP="00731EBA">
            <w:pPr>
              <w:spacing w:after="160"/>
              <w:cnfStyle w:val="000000100000" w:firstRow="0" w:lastRow="0" w:firstColumn="0" w:lastColumn="0" w:oddVBand="0" w:evenVBand="0" w:oddHBand="1" w:evenHBand="0" w:firstRowFirstColumn="0" w:firstRowLastColumn="0" w:lastRowFirstColumn="0" w:lastRowLastColumn="0"/>
            </w:pPr>
            <w:r w:rsidRPr="00E47152">
              <w:t>Nền tảng Trao đổi Toàn cầu cho Doanh nghiệp</w:t>
            </w:r>
          </w:p>
        </w:tc>
      </w:tr>
      <w:tr w:rsidR="00172C33" w:rsidRPr="004D67CB" w14:paraId="13A36287" w14:textId="77777777" w:rsidTr="00731EBA">
        <w:tc>
          <w:tcPr>
            <w:cnfStyle w:val="001000000000" w:firstRow="0" w:lastRow="0" w:firstColumn="1" w:lastColumn="0" w:oddVBand="0" w:evenVBand="0" w:oddHBand="0" w:evenHBand="0" w:firstRowFirstColumn="0" w:firstRowLastColumn="0" w:lastRowFirstColumn="0" w:lastRowLastColumn="0"/>
            <w:tcW w:w="1615" w:type="dxa"/>
            <w:hideMark/>
          </w:tcPr>
          <w:p w14:paraId="6F3F1D8C" w14:textId="77777777" w:rsidR="00172C33" w:rsidRPr="004D67CB" w:rsidRDefault="00172C33" w:rsidP="00731EBA">
            <w:pPr>
              <w:spacing w:after="160"/>
            </w:pPr>
            <w:r w:rsidRPr="004D67CB">
              <w:t>GXR</w:t>
            </w:r>
          </w:p>
        </w:tc>
        <w:tc>
          <w:tcPr>
            <w:tcW w:w="0" w:type="auto"/>
            <w:hideMark/>
          </w:tcPr>
          <w:p w14:paraId="635D76CC" w14:textId="548379A1" w:rsidR="00172C33" w:rsidRPr="004D67CB" w:rsidRDefault="00E47152" w:rsidP="00731EBA">
            <w:pPr>
              <w:spacing w:after="160"/>
              <w:cnfStyle w:val="000000000000" w:firstRow="0" w:lastRow="0" w:firstColumn="0" w:lastColumn="0" w:oddVBand="0" w:evenVBand="0" w:oddHBand="0" w:evenHBand="0" w:firstRowFirstColumn="0" w:firstRowLastColumn="0" w:lastRowFirstColumn="0" w:lastRowLastColumn="0"/>
            </w:pPr>
            <w:r w:rsidRPr="00E47152">
              <w:t>Nền tảng Trao đổi Toàn cầu cho Nghiên cứu</w:t>
            </w:r>
          </w:p>
        </w:tc>
      </w:tr>
      <w:tr w:rsidR="004C75B5" w:rsidRPr="004D67CB" w14:paraId="494DB12F" w14:textId="77777777" w:rsidTr="0073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1D5D98F0" w14:textId="77777777" w:rsidR="004C75B5" w:rsidRPr="004D67CB" w:rsidRDefault="004C75B5" w:rsidP="00731EBA">
            <w:pPr>
              <w:spacing w:after="160"/>
            </w:pPr>
            <w:r w:rsidRPr="004D67CB">
              <w:t>IDC</w:t>
            </w:r>
          </w:p>
        </w:tc>
        <w:tc>
          <w:tcPr>
            <w:tcW w:w="0" w:type="auto"/>
            <w:hideMark/>
          </w:tcPr>
          <w:p w14:paraId="2AC100F0" w14:textId="5FA18B69" w:rsidR="004C75B5" w:rsidRPr="004D67CB" w:rsidRDefault="00E47152" w:rsidP="00731EBA">
            <w:pPr>
              <w:spacing w:after="160"/>
              <w:cnfStyle w:val="000000100000" w:firstRow="0" w:lastRow="0" w:firstColumn="0" w:lastColumn="0" w:oddVBand="0" w:evenVBand="0" w:oddHBand="1" w:evenHBand="0" w:firstRowFirstColumn="0" w:firstRowLastColumn="0" w:lastRowFirstColumn="0" w:lastRowLastColumn="0"/>
            </w:pPr>
            <w:r w:rsidRPr="00E47152">
              <w:t>Tập đoàn Dữ liệu Quốc tế</w:t>
            </w:r>
          </w:p>
        </w:tc>
      </w:tr>
      <w:tr w:rsidR="004C75B5" w:rsidRPr="004D67CB" w14:paraId="01855CCB" w14:textId="77777777" w:rsidTr="00731EBA">
        <w:tc>
          <w:tcPr>
            <w:cnfStyle w:val="001000000000" w:firstRow="0" w:lastRow="0" w:firstColumn="1" w:lastColumn="0" w:oddVBand="0" w:evenVBand="0" w:oddHBand="0" w:evenHBand="0" w:firstRowFirstColumn="0" w:firstRowLastColumn="0" w:lastRowFirstColumn="0" w:lastRowLastColumn="0"/>
            <w:tcW w:w="1615" w:type="dxa"/>
            <w:hideMark/>
          </w:tcPr>
          <w:p w14:paraId="17821222" w14:textId="77777777" w:rsidR="004C75B5" w:rsidRPr="004D67CB" w:rsidRDefault="004C75B5" w:rsidP="00731EBA">
            <w:pPr>
              <w:spacing w:after="160"/>
            </w:pPr>
            <w:r w:rsidRPr="004D67CB">
              <w:t>IEC</w:t>
            </w:r>
          </w:p>
        </w:tc>
        <w:tc>
          <w:tcPr>
            <w:tcW w:w="0" w:type="auto"/>
            <w:hideMark/>
          </w:tcPr>
          <w:p w14:paraId="73FE6569" w14:textId="688FD514" w:rsidR="004C75B5" w:rsidRPr="004D67CB" w:rsidRDefault="00E47152" w:rsidP="00731EBA">
            <w:pPr>
              <w:spacing w:after="160"/>
              <w:cnfStyle w:val="000000000000" w:firstRow="0" w:lastRow="0" w:firstColumn="0" w:lastColumn="0" w:oddVBand="0" w:evenVBand="0" w:oddHBand="0" w:evenHBand="0" w:firstRowFirstColumn="0" w:firstRowLastColumn="0" w:lastRowFirstColumn="0" w:lastRowLastColumn="0"/>
            </w:pPr>
            <w:r w:rsidRPr="00E47152">
              <w:t>Ủy ban Kỹ thuật Điện Quốc tế</w:t>
            </w:r>
          </w:p>
        </w:tc>
      </w:tr>
      <w:tr w:rsidR="004C75B5" w:rsidRPr="004D67CB" w14:paraId="16F86FD5" w14:textId="77777777" w:rsidTr="0073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430548F5" w14:textId="77777777" w:rsidR="004C75B5" w:rsidRPr="004D67CB" w:rsidRDefault="004C75B5" w:rsidP="00731EBA">
            <w:pPr>
              <w:spacing w:after="160"/>
            </w:pPr>
            <w:r w:rsidRPr="004D67CB">
              <w:t>IEEE</w:t>
            </w:r>
          </w:p>
        </w:tc>
        <w:tc>
          <w:tcPr>
            <w:tcW w:w="0" w:type="auto"/>
            <w:hideMark/>
          </w:tcPr>
          <w:p w14:paraId="3CCCC6EE" w14:textId="6D18D565" w:rsidR="004C75B5" w:rsidRPr="004D67CB" w:rsidRDefault="00E47152" w:rsidP="00731EBA">
            <w:pPr>
              <w:spacing w:after="160"/>
              <w:cnfStyle w:val="000000100000" w:firstRow="0" w:lastRow="0" w:firstColumn="0" w:lastColumn="0" w:oddVBand="0" w:evenVBand="0" w:oddHBand="1" w:evenHBand="0" w:firstRowFirstColumn="0" w:firstRowLastColumn="0" w:lastRowFirstColumn="0" w:lastRowLastColumn="0"/>
            </w:pPr>
            <w:r w:rsidRPr="00E47152">
              <w:t>Viện Kỹ sư Điện và Điện tử</w:t>
            </w:r>
          </w:p>
        </w:tc>
      </w:tr>
      <w:tr w:rsidR="004C75B5" w:rsidRPr="004D67CB" w14:paraId="23C66974" w14:textId="77777777" w:rsidTr="00731EBA">
        <w:tc>
          <w:tcPr>
            <w:cnfStyle w:val="001000000000" w:firstRow="0" w:lastRow="0" w:firstColumn="1" w:lastColumn="0" w:oddVBand="0" w:evenVBand="0" w:oddHBand="0" w:evenHBand="0" w:firstRowFirstColumn="0" w:firstRowLastColumn="0" w:lastRowFirstColumn="0" w:lastRowLastColumn="0"/>
            <w:tcW w:w="1615" w:type="dxa"/>
            <w:hideMark/>
          </w:tcPr>
          <w:p w14:paraId="60A34C33" w14:textId="77777777" w:rsidR="004C75B5" w:rsidRPr="004D67CB" w:rsidRDefault="004C75B5" w:rsidP="00731EBA">
            <w:pPr>
              <w:spacing w:after="160"/>
            </w:pPr>
            <w:r w:rsidRPr="004D67CB">
              <w:t>IP+</w:t>
            </w:r>
          </w:p>
        </w:tc>
        <w:tc>
          <w:tcPr>
            <w:tcW w:w="0" w:type="auto"/>
            <w:hideMark/>
          </w:tcPr>
          <w:p w14:paraId="73AF3663" w14:textId="17B0FC1A" w:rsidR="004C75B5" w:rsidRPr="004D67CB" w:rsidRDefault="00E47152" w:rsidP="00731EBA">
            <w:pPr>
              <w:spacing w:after="160"/>
              <w:cnfStyle w:val="000000000000" w:firstRow="0" w:lastRow="0" w:firstColumn="0" w:lastColumn="0" w:oddVBand="0" w:evenVBand="0" w:oddHBand="0" w:evenHBand="0" w:firstRowFirstColumn="0" w:firstRowLastColumn="0" w:lastRowFirstColumn="0" w:lastRowLastColumn="0"/>
            </w:pPr>
            <w:r w:rsidRPr="00E47152">
              <w:t>Hệ thống Thanh toán Khả chuyển Liên thông Plus</w:t>
            </w:r>
          </w:p>
        </w:tc>
      </w:tr>
      <w:tr w:rsidR="004C75B5" w:rsidRPr="004D67CB" w14:paraId="5F5B179E" w14:textId="77777777" w:rsidTr="0073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05661C9E" w14:textId="77777777" w:rsidR="004C75B5" w:rsidRPr="004D67CB" w:rsidRDefault="004C75B5" w:rsidP="00731EBA">
            <w:pPr>
              <w:spacing w:after="160"/>
            </w:pPr>
            <w:r w:rsidRPr="004D67CB">
              <w:t>ISO</w:t>
            </w:r>
          </w:p>
        </w:tc>
        <w:tc>
          <w:tcPr>
            <w:tcW w:w="0" w:type="auto"/>
            <w:hideMark/>
          </w:tcPr>
          <w:p w14:paraId="39647EA3" w14:textId="64FF94FA" w:rsidR="004C75B5" w:rsidRPr="004D67CB" w:rsidRDefault="00E47152" w:rsidP="00731EBA">
            <w:pPr>
              <w:spacing w:after="160"/>
              <w:cnfStyle w:val="000000100000" w:firstRow="0" w:lastRow="0" w:firstColumn="0" w:lastColumn="0" w:oddVBand="0" w:evenVBand="0" w:oddHBand="1" w:evenHBand="0" w:firstRowFirstColumn="0" w:firstRowLastColumn="0" w:lastRowFirstColumn="0" w:lastRowLastColumn="0"/>
            </w:pPr>
            <w:r w:rsidRPr="00E47152">
              <w:t>Tổ chức Tiêu chuẩn hóa Quốc tế</w:t>
            </w:r>
          </w:p>
        </w:tc>
      </w:tr>
      <w:tr w:rsidR="004C75B5" w:rsidRPr="004D67CB" w14:paraId="0C8C728E" w14:textId="77777777" w:rsidTr="00731EBA">
        <w:tc>
          <w:tcPr>
            <w:cnfStyle w:val="001000000000" w:firstRow="0" w:lastRow="0" w:firstColumn="1" w:lastColumn="0" w:oddVBand="0" w:evenVBand="0" w:oddHBand="0" w:evenHBand="0" w:firstRowFirstColumn="0" w:firstRowLastColumn="0" w:lastRowFirstColumn="0" w:lastRowLastColumn="0"/>
            <w:tcW w:w="1615" w:type="dxa"/>
            <w:hideMark/>
          </w:tcPr>
          <w:p w14:paraId="719D4FAE" w14:textId="77777777" w:rsidR="004C75B5" w:rsidRPr="004D67CB" w:rsidRDefault="004C75B5" w:rsidP="00731EBA">
            <w:pPr>
              <w:spacing w:after="160"/>
            </w:pPr>
            <w:r w:rsidRPr="004D67CB">
              <w:t>ITU-T</w:t>
            </w:r>
          </w:p>
        </w:tc>
        <w:tc>
          <w:tcPr>
            <w:tcW w:w="0" w:type="auto"/>
            <w:hideMark/>
          </w:tcPr>
          <w:p w14:paraId="3B06BCF9" w14:textId="3EB141E5" w:rsidR="004C75B5" w:rsidRPr="004D67CB" w:rsidRDefault="00E47152" w:rsidP="00731EBA">
            <w:pPr>
              <w:spacing w:after="160"/>
              <w:cnfStyle w:val="000000000000" w:firstRow="0" w:lastRow="0" w:firstColumn="0" w:lastColumn="0" w:oddVBand="0" w:evenVBand="0" w:oddHBand="0" w:evenHBand="0" w:firstRowFirstColumn="0" w:firstRowLastColumn="0" w:lastRowFirstColumn="0" w:lastRowLastColumn="0"/>
            </w:pPr>
            <w:r w:rsidRPr="00E47152">
              <w:t>Liên minh Viễn thông Quốc tế – Ngành Tiêu chuẩn hóa Viễn thông</w:t>
            </w:r>
          </w:p>
        </w:tc>
      </w:tr>
      <w:tr w:rsidR="004C75B5" w:rsidRPr="004D67CB" w14:paraId="0A128CA3" w14:textId="77777777" w:rsidTr="0073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6464F67C" w14:textId="77777777" w:rsidR="004C75B5" w:rsidRPr="004D67CB" w:rsidRDefault="004C75B5" w:rsidP="00731EBA">
            <w:pPr>
              <w:spacing w:after="160"/>
            </w:pPr>
            <w:r w:rsidRPr="004D67CB">
              <w:lastRenderedPageBreak/>
              <w:t>JSON</w:t>
            </w:r>
          </w:p>
        </w:tc>
        <w:tc>
          <w:tcPr>
            <w:tcW w:w="0" w:type="auto"/>
            <w:hideMark/>
          </w:tcPr>
          <w:p w14:paraId="1050E29E" w14:textId="3C5E52B5" w:rsidR="004C75B5" w:rsidRPr="004D67CB" w:rsidRDefault="00E47152" w:rsidP="00731EBA">
            <w:pPr>
              <w:spacing w:after="160"/>
              <w:cnfStyle w:val="000000100000" w:firstRow="0" w:lastRow="0" w:firstColumn="0" w:lastColumn="0" w:oddVBand="0" w:evenVBand="0" w:oddHBand="1" w:evenHBand="0" w:firstRowFirstColumn="0" w:firstRowLastColumn="0" w:lastRowFirstColumn="0" w:lastRowLastColumn="0"/>
            </w:pPr>
            <w:r w:rsidRPr="00E47152">
              <w:t>Định dạng đối tượng JavaScript</w:t>
            </w:r>
          </w:p>
        </w:tc>
      </w:tr>
      <w:tr w:rsidR="000C2EE2" w:rsidRPr="004D67CB" w14:paraId="782A009A" w14:textId="77777777" w:rsidTr="00731EBA">
        <w:tc>
          <w:tcPr>
            <w:cnfStyle w:val="001000000000" w:firstRow="0" w:lastRow="0" w:firstColumn="1" w:lastColumn="0" w:oddVBand="0" w:evenVBand="0" w:oddHBand="0" w:evenHBand="0" w:firstRowFirstColumn="0" w:firstRowLastColumn="0" w:lastRowFirstColumn="0" w:lastRowLastColumn="0"/>
            <w:tcW w:w="1615" w:type="dxa"/>
            <w:hideMark/>
          </w:tcPr>
          <w:p w14:paraId="2D033675" w14:textId="77777777" w:rsidR="000C2EE2" w:rsidRPr="004D67CB" w:rsidRDefault="000C2EE2" w:rsidP="00731EBA">
            <w:pPr>
              <w:spacing w:after="160"/>
            </w:pPr>
            <w:r w:rsidRPr="004D67CB">
              <w:t>LEI</w:t>
            </w:r>
          </w:p>
        </w:tc>
        <w:tc>
          <w:tcPr>
            <w:tcW w:w="0" w:type="auto"/>
            <w:hideMark/>
          </w:tcPr>
          <w:p w14:paraId="6F4D00F1" w14:textId="6DBBA54D" w:rsidR="000C2EE2" w:rsidRPr="004D67CB" w:rsidRDefault="00E47152" w:rsidP="00731EBA">
            <w:pPr>
              <w:spacing w:after="160"/>
              <w:cnfStyle w:val="000000000000" w:firstRow="0" w:lastRow="0" w:firstColumn="0" w:lastColumn="0" w:oddVBand="0" w:evenVBand="0" w:oddHBand="0" w:evenHBand="0" w:firstRowFirstColumn="0" w:firstRowLastColumn="0" w:lastRowFirstColumn="0" w:lastRowLastColumn="0"/>
            </w:pPr>
            <w:r w:rsidRPr="00E47152">
              <w:t>Mã định danh pháp nhân</w:t>
            </w:r>
          </w:p>
        </w:tc>
      </w:tr>
      <w:tr w:rsidR="000C2EE2" w:rsidRPr="004D67CB" w14:paraId="46D545AE" w14:textId="77777777" w:rsidTr="0073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5012FDD5" w14:textId="77777777" w:rsidR="000C2EE2" w:rsidRPr="004D67CB" w:rsidRDefault="000C2EE2" w:rsidP="00731EBA">
            <w:pPr>
              <w:spacing w:after="160"/>
            </w:pPr>
            <w:r w:rsidRPr="004D67CB">
              <w:t>MCCs</w:t>
            </w:r>
          </w:p>
        </w:tc>
        <w:tc>
          <w:tcPr>
            <w:tcW w:w="0" w:type="auto"/>
            <w:hideMark/>
          </w:tcPr>
          <w:p w14:paraId="03A0B1E5" w14:textId="1F89FAE7" w:rsidR="000C2EE2" w:rsidRPr="004D67CB" w:rsidRDefault="00E47152" w:rsidP="00731EBA">
            <w:pPr>
              <w:spacing w:after="160"/>
              <w:cnfStyle w:val="000000100000" w:firstRow="0" w:lastRow="0" w:firstColumn="0" w:lastColumn="0" w:oddVBand="0" w:evenVBand="0" w:oddHBand="1" w:evenHBand="0" w:firstRowFirstColumn="0" w:firstRowLastColumn="0" w:lastRowFirstColumn="0" w:lastRowLastColumn="0"/>
            </w:pPr>
            <w:r w:rsidRPr="00E47152">
              <w:t>Các Điều khoản Hợp đồng Mẫu</w:t>
            </w:r>
          </w:p>
        </w:tc>
      </w:tr>
      <w:tr w:rsidR="000C2EE2" w:rsidRPr="004D67CB" w14:paraId="3982936A" w14:textId="77777777" w:rsidTr="00731EBA">
        <w:tc>
          <w:tcPr>
            <w:cnfStyle w:val="001000000000" w:firstRow="0" w:lastRow="0" w:firstColumn="1" w:lastColumn="0" w:oddVBand="0" w:evenVBand="0" w:oddHBand="0" w:evenHBand="0" w:firstRowFirstColumn="0" w:firstRowLastColumn="0" w:lastRowFirstColumn="0" w:lastRowLastColumn="0"/>
            <w:tcW w:w="1615" w:type="dxa"/>
            <w:hideMark/>
          </w:tcPr>
          <w:p w14:paraId="57CBE893" w14:textId="77777777" w:rsidR="000C2EE2" w:rsidRPr="004D67CB" w:rsidRDefault="000C2EE2" w:rsidP="00731EBA">
            <w:pPr>
              <w:spacing w:after="160"/>
            </w:pPr>
            <w:r w:rsidRPr="004D67CB">
              <w:t>MLEC</w:t>
            </w:r>
          </w:p>
        </w:tc>
        <w:tc>
          <w:tcPr>
            <w:tcW w:w="0" w:type="auto"/>
            <w:hideMark/>
          </w:tcPr>
          <w:p w14:paraId="44A643C4" w14:textId="070092C8" w:rsidR="000C2EE2" w:rsidRPr="004D67CB" w:rsidRDefault="00E47152" w:rsidP="00731EBA">
            <w:pPr>
              <w:spacing w:after="160"/>
              <w:cnfStyle w:val="000000000000" w:firstRow="0" w:lastRow="0" w:firstColumn="0" w:lastColumn="0" w:oddVBand="0" w:evenVBand="0" w:oddHBand="0" w:evenHBand="0" w:firstRowFirstColumn="0" w:firstRowLastColumn="0" w:lastRowFirstColumn="0" w:lastRowLastColumn="0"/>
            </w:pPr>
            <w:r w:rsidRPr="00E47152">
              <w:t>Luật Mẫu về Thương mại Điện tử</w:t>
            </w:r>
          </w:p>
        </w:tc>
      </w:tr>
      <w:tr w:rsidR="000C2EE2" w:rsidRPr="004D67CB" w14:paraId="604C1B11" w14:textId="77777777" w:rsidTr="0073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10900B00" w14:textId="77777777" w:rsidR="000C2EE2" w:rsidRPr="004D67CB" w:rsidRDefault="000C2EE2" w:rsidP="00731EBA">
            <w:pPr>
              <w:spacing w:after="160"/>
            </w:pPr>
            <w:r w:rsidRPr="004D67CB">
              <w:t>MLETR</w:t>
            </w:r>
          </w:p>
        </w:tc>
        <w:tc>
          <w:tcPr>
            <w:tcW w:w="0" w:type="auto"/>
            <w:hideMark/>
          </w:tcPr>
          <w:p w14:paraId="0102B7A6" w14:textId="3520307D" w:rsidR="000C2EE2" w:rsidRPr="004D67CB" w:rsidRDefault="00E47152" w:rsidP="00731EBA">
            <w:pPr>
              <w:spacing w:after="160"/>
              <w:cnfStyle w:val="000000100000" w:firstRow="0" w:lastRow="0" w:firstColumn="0" w:lastColumn="0" w:oddVBand="0" w:evenVBand="0" w:oddHBand="1" w:evenHBand="0" w:firstRowFirstColumn="0" w:firstRowLastColumn="0" w:lastRowFirstColumn="0" w:lastRowLastColumn="0"/>
            </w:pPr>
            <w:r w:rsidRPr="00E47152">
              <w:t>Luật Mẫu về Hồ sơ Chuyển nhượng Điện tử</w:t>
            </w:r>
          </w:p>
        </w:tc>
      </w:tr>
      <w:tr w:rsidR="000C2EE2" w:rsidRPr="004D67CB" w14:paraId="27336631" w14:textId="77777777" w:rsidTr="00731EBA">
        <w:tc>
          <w:tcPr>
            <w:cnfStyle w:val="001000000000" w:firstRow="0" w:lastRow="0" w:firstColumn="1" w:lastColumn="0" w:oddVBand="0" w:evenVBand="0" w:oddHBand="0" w:evenHBand="0" w:firstRowFirstColumn="0" w:firstRowLastColumn="0" w:lastRowFirstColumn="0" w:lastRowLastColumn="0"/>
            <w:tcW w:w="1615" w:type="dxa"/>
            <w:hideMark/>
          </w:tcPr>
          <w:p w14:paraId="3002BE7F" w14:textId="77777777" w:rsidR="000C2EE2" w:rsidRPr="004D67CB" w:rsidRDefault="000C2EE2" w:rsidP="00731EBA">
            <w:pPr>
              <w:spacing w:after="160"/>
            </w:pPr>
            <w:r w:rsidRPr="004D67CB">
              <w:t>MSAI</w:t>
            </w:r>
          </w:p>
        </w:tc>
        <w:tc>
          <w:tcPr>
            <w:tcW w:w="0" w:type="auto"/>
            <w:hideMark/>
          </w:tcPr>
          <w:p w14:paraId="7452CA9A" w14:textId="7E4502C9" w:rsidR="000C2EE2" w:rsidRPr="004D67CB" w:rsidRDefault="00E47152" w:rsidP="00731EBA">
            <w:pPr>
              <w:spacing w:after="160"/>
              <w:cnfStyle w:val="000000000000" w:firstRow="0" w:lastRow="0" w:firstColumn="0" w:lastColumn="0" w:oddVBand="0" w:evenVBand="0" w:oddHBand="0" w:evenHBand="0" w:firstRowFirstColumn="0" w:firstRowLastColumn="0" w:lastRowFirstColumn="0" w:lastRowLastColumn="0"/>
            </w:pPr>
            <w:r w:rsidRPr="00E47152">
              <w:t>Trí tuệ Nhân tạo của Microsoft</w:t>
            </w:r>
          </w:p>
        </w:tc>
      </w:tr>
      <w:tr w:rsidR="000C2EE2" w:rsidRPr="004D67CB" w14:paraId="21019F2C" w14:textId="77777777" w:rsidTr="0073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519D8A83" w14:textId="77777777" w:rsidR="000C2EE2" w:rsidRPr="004D67CB" w:rsidRDefault="000C2EE2" w:rsidP="00731EBA">
            <w:pPr>
              <w:spacing w:after="160"/>
            </w:pPr>
            <w:r w:rsidRPr="004D67CB">
              <w:t>NIST</w:t>
            </w:r>
          </w:p>
        </w:tc>
        <w:tc>
          <w:tcPr>
            <w:tcW w:w="0" w:type="auto"/>
            <w:hideMark/>
          </w:tcPr>
          <w:p w14:paraId="23D7987C" w14:textId="38D9CF51" w:rsidR="000C2EE2" w:rsidRPr="004D67CB" w:rsidRDefault="00517657" w:rsidP="00731EBA">
            <w:pPr>
              <w:spacing w:after="160"/>
              <w:cnfStyle w:val="000000100000" w:firstRow="0" w:lastRow="0" w:firstColumn="0" w:lastColumn="0" w:oddVBand="0" w:evenVBand="0" w:oddHBand="1" w:evenHBand="0" w:firstRowFirstColumn="0" w:firstRowLastColumn="0" w:lastRowFirstColumn="0" w:lastRowLastColumn="0"/>
            </w:pPr>
            <w:r w:rsidRPr="00517657">
              <w:t>Viện Tiêu chuẩn và Công nghệ Quốc gia (Hoa Kỳ)</w:t>
            </w:r>
          </w:p>
        </w:tc>
      </w:tr>
      <w:tr w:rsidR="000C2EE2" w:rsidRPr="004D67CB" w14:paraId="0C885B86" w14:textId="77777777" w:rsidTr="00731EBA">
        <w:tc>
          <w:tcPr>
            <w:cnfStyle w:val="001000000000" w:firstRow="0" w:lastRow="0" w:firstColumn="1" w:lastColumn="0" w:oddVBand="0" w:evenVBand="0" w:oddHBand="0" w:evenHBand="0" w:firstRowFirstColumn="0" w:firstRowLastColumn="0" w:lastRowFirstColumn="0" w:lastRowLastColumn="0"/>
            <w:tcW w:w="1615" w:type="dxa"/>
            <w:hideMark/>
          </w:tcPr>
          <w:p w14:paraId="1D213CE1" w14:textId="77777777" w:rsidR="000C2EE2" w:rsidRPr="004D67CB" w:rsidRDefault="000C2EE2" w:rsidP="00731EBA">
            <w:pPr>
              <w:spacing w:after="160"/>
            </w:pPr>
            <w:r w:rsidRPr="004D67CB">
              <w:t>ODR</w:t>
            </w:r>
          </w:p>
        </w:tc>
        <w:tc>
          <w:tcPr>
            <w:tcW w:w="0" w:type="auto"/>
            <w:hideMark/>
          </w:tcPr>
          <w:p w14:paraId="1F293FFC" w14:textId="31104C1E" w:rsidR="000C2EE2" w:rsidRPr="004D67CB" w:rsidRDefault="00517657" w:rsidP="00731EBA">
            <w:pPr>
              <w:spacing w:after="160"/>
              <w:cnfStyle w:val="000000000000" w:firstRow="0" w:lastRow="0" w:firstColumn="0" w:lastColumn="0" w:oddVBand="0" w:evenVBand="0" w:oddHBand="0" w:evenHBand="0" w:firstRowFirstColumn="0" w:firstRowLastColumn="0" w:lastRowFirstColumn="0" w:lastRowLastColumn="0"/>
            </w:pPr>
            <w:r w:rsidRPr="00517657">
              <w:t>Giải quyết Tranh chấp Trực tuyến</w:t>
            </w:r>
          </w:p>
        </w:tc>
      </w:tr>
      <w:tr w:rsidR="000C2EE2" w:rsidRPr="004D67CB" w14:paraId="4764731E" w14:textId="77777777" w:rsidTr="0073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56E67522" w14:textId="77777777" w:rsidR="000C2EE2" w:rsidRPr="004D67CB" w:rsidRDefault="000C2EE2" w:rsidP="00731EBA">
            <w:pPr>
              <w:spacing w:after="160"/>
            </w:pPr>
            <w:r w:rsidRPr="004D67CB">
              <w:t>OECD</w:t>
            </w:r>
          </w:p>
        </w:tc>
        <w:tc>
          <w:tcPr>
            <w:tcW w:w="0" w:type="auto"/>
            <w:hideMark/>
          </w:tcPr>
          <w:p w14:paraId="62288433" w14:textId="49E57E24" w:rsidR="000C2EE2" w:rsidRPr="004D67CB" w:rsidRDefault="00517657" w:rsidP="00731EBA">
            <w:pPr>
              <w:spacing w:after="160"/>
              <w:cnfStyle w:val="000000100000" w:firstRow="0" w:lastRow="0" w:firstColumn="0" w:lastColumn="0" w:oddVBand="0" w:evenVBand="0" w:oddHBand="1" w:evenHBand="0" w:firstRowFirstColumn="0" w:firstRowLastColumn="0" w:lastRowFirstColumn="0" w:lastRowLastColumn="0"/>
            </w:pPr>
            <w:r w:rsidRPr="00517657">
              <w:t>Tổ chức Hợp tác và Phát triển Kinh tế</w:t>
            </w:r>
          </w:p>
        </w:tc>
      </w:tr>
      <w:tr w:rsidR="00517657" w:rsidRPr="004D67CB" w14:paraId="78EEE8C9" w14:textId="77777777" w:rsidTr="00731EBA">
        <w:tc>
          <w:tcPr>
            <w:cnfStyle w:val="001000000000" w:firstRow="0" w:lastRow="0" w:firstColumn="1" w:lastColumn="0" w:oddVBand="0" w:evenVBand="0" w:oddHBand="0" w:evenHBand="0" w:firstRowFirstColumn="0" w:firstRowLastColumn="0" w:lastRowFirstColumn="0" w:lastRowLastColumn="0"/>
            <w:tcW w:w="1615" w:type="dxa"/>
            <w:hideMark/>
          </w:tcPr>
          <w:p w14:paraId="002E89DC" w14:textId="77777777" w:rsidR="00517657" w:rsidRPr="004D67CB" w:rsidRDefault="00517657" w:rsidP="00517657">
            <w:pPr>
              <w:spacing w:after="160"/>
            </w:pPr>
            <w:r w:rsidRPr="004D67CB">
              <w:t>OPR</w:t>
            </w:r>
          </w:p>
        </w:tc>
        <w:tc>
          <w:tcPr>
            <w:tcW w:w="0" w:type="auto"/>
            <w:hideMark/>
          </w:tcPr>
          <w:p w14:paraId="146B7186" w14:textId="6DA86402" w:rsidR="00517657" w:rsidRPr="004D67CB" w:rsidRDefault="00517657" w:rsidP="00517657">
            <w:pPr>
              <w:spacing w:after="160"/>
              <w:cnfStyle w:val="000000000000" w:firstRow="0" w:lastRow="0" w:firstColumn="0" w:lastColumn="0" w:oddVBand="0" w:evenVBand="0" w:oddHBand="0" w:evenHBand="0" w:firstRowFirstColumn="0" w:firstRowLastColumn="0" w:lastRowFirstColumn="0" w:lastRowLastColumn="0"/>
            </w:pPr>
            <w:r w:rsidRPr="00517657">
              <w:t>Văn phòng Chính sách và Nghiên cứu</w:t>
            </w:r>
          </w:p>
        </w:tc>
      </w:tr>
      <w:tr w:rsidR="000C2EE2" w:rsidRPr="004D67CB" w14:paraId="3351F8D0" w14:textId="77777777" w:rsidTr="0073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718CF2CC" w14:textId="77777777" w:rsidR="000C2EE2" w:rsidRPr="004D67CB" w:rsidRDefault="000C2EE2" w:rsidP="00731EBA">
            <w:pPr>
              <w:spacing w:after="160"/>
            </w:pPr>
            <w:r w:rsidRPr="004D67CB">
              <w:t>PEPPOL</w:t>
            </w:r>
          </w:p>
        </w:tc>
        <w:tc>
          <w:tcPr>
            <w:tcW w:w="0" w:type="auto"/>
            <w:hideMark/>
          </w:tcPr>
          <w:p w14:paraId="474B6AEE" w14:textId="1EFBDA51" w:rsidR="000C2EE2" w:rsidRPr="004D67CB" w:rsidRDefault="00517657" w:rsidP="00731EBA">
            <w:pPr>
              <w:spacing w:after="160"/>
              <w:cnfStyle w:val="000000100000" w:firstRow="0" w:lastRow="0" w:firstColumn="0" w:lastColumn="0" w:oddVBand="0" w:evenVBand="0" w:oddHBand="1" w:evenHBand="0" w:firstRowFirstColumn="0" w:firstRowLastColumn="0" w:lastRowFirstColumn="0" w:lastRowLastColumn="0"/>
            </w:pPr>
            <w:r w:rsidRPr="00517657">
              <w:t>Hệ thống Mua sắm Công trực tuyến Liên châu Âu</w:t>
            </w:r>
          </w:p>
        </w:tc>
      </w:tr>
      <w:tr w:rsidR="000C2EE2" w:rsidRPr="004D67CB" w14:paraId="768934F1" w14:textId="77777777" w:rsidTr="00731EBA">
        <w:tc>
          <w:tcPr>
            <w:cnfStyle w:val="001000000000" w:firstRow="0" w:lastRow="0" w:firstColumn="1" w:lastColumn="0" w:oddVBand="0" w:evenVBand="0" w:oddHBand="0" w:evenHBand="0" w:firstRowFirstColumn="0" w:firstRowLastColumn="0" w:lastRowFirstColumn="0" w:lastRowLastColumn="0"/>
            <w:tcW w:w="1615" w:type="dxa"/>
            <w:hideMark/>
          </w:tcPr>
          <w:p w14:paraId="646F8A14" w14:textId="77777777" w:rsidR="000C2EE2" w:rsidRPr="004D67CB" w:rsidRDefault="000C2EE2" w:rsidP="00731EBA">
            <w:pPr>
              <w:spacing w:after="160"/>
            </w:pPr>
            <w:r w:rsidRPr="004D67CB">
              <w:t>PDP</w:t>
            </w:r>
          </w:p>
        </w:tc>
        <w:tc>
          <w:tcPr>
            <w:tcW w:w="0" w:type="auto"/>
            <w:hideMark/>
          </w:tcPr>
          <w:p w14:paraId="261108BE" w14:textId="6543F10B" w:rsidR="000C2EE2" w:rsidRPr="004D67CB" w:rsidRDefault="00517657" w:rsidP="00731EBA">
            <w:pPr>
              <w:spacing w:after="160"/>
              <w:cnfStyle w:val="000000000000" w:firstRow="0" w:lastRow="0" w:firstColumn="0" w:lastColumn="0" w:oddVBand="0" w:evenVBand="0" w:oddHBand="0" w:evenHBand="0" w:firstRowFirstColumn="0" w:firstRowLastColumn="0" w:lastRowFirstColumn="0" w:lastRowLastColumn="0"/>
            </w:pPr>
            <w:r w:rsidRPr="00517657">
              <w:t>Bảo vệ Dữ liệu Cá nhân</w:t>
            </w:r>
          </w:p>
        </w:tc>
      </w:tr>
      <w:tr w:rsidR="000C2EE2" w:rsidRPr="004D67CB" w14:paraId="7A05CEB0" w14:textId="77777777" w:rsidTr="0073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1684A16C" w14:textId="77777777" w:rsidR="000C2EE2" w:rsidRPr="004D67CB" w:rsidRDefault="000C2EE2" w:rsidP="00731EBA">
            <w:pPr>
              <w:spacing w:after="160"/>
            </w:pPr>
            <w:r w:rsidRPr="004D67CB">
              <w:t>RTIR</w:t>
            </w:r>
          </w:p>
        </w:tc>
        <w:tc>
          <w:tcPr>
            <w:tcW w:w="0" w:type="auto"/>
            <w:hideMark/>
          </w:tcPr>
          <w:p w14:paraId="79317942" w14:textId="60E6A471" w:rsidR="000C2EE2" w:rsidRPr="004D67CB" w:rsidRDefault="00517657" w:rsidP="00731EBA">
            <w:pPr>
              <w:spacing w:after="160"/>
              <w:cnfStyle w:val="000000100000" w:firstRow="0" w:lastRow="0" w:firstColumn="0" w:lastColumn="0" w:oddVBand="0" w:evenVBand="0" w:oddHBand="1" w:evenHBand="0" w:firstRowFirstColumn="0" w:firstRowLastColumn="0" w:lastRowFirstColumn="0" w:lastRowLastColumn="0"/>
            </w:pPr>
            <w:r w:rsidRPr="00517657">
              <w:t>Báo cáo Hóa đơn Thời gian thực</w:t>
            </w:r>
          </w:p>
        </w:tc>
      </w:tr>
      <w:tr w:rsidR="000C2EE2" w:rsidRPr="004D67CB" w14:paraId="1E0BB2E8" w14:textId="77777777" w:rsidTr="00731EBA">
        <w:tc>
          <w:tcPr>
            <w:cnfStyle w:val="001000000000" w:firstRow="0" w:lastRow="0" w:firstColumn="1" w:lastColumn="0" w:oddVBand="0" w:evenVBand="0" w:oddHBand="0" w:evenHBand="0" w:firstRowFirstColumn="0" w:firstRowLastColumn="0" w:lastRowFirstColumn="0" w:lastRowLastColumn="0"/>
            <w:tcW w:w="1615" w:type="dxa"/>
            <w:hideMark/>
          </w:tcPr>
          <w:p w14:paraId="56F06777" w14:textId="77777777" w:rsidR="000C2EE2" w:rsidRPr="004D67CB" w:rsidRDefault="000C2EE2" w:rsidP="00731EBA">
            <w:pPr>
              <w:spacing w:after="160"/>
            </w:pPr>
            <w:r w:rsidRPr="004D67CB">
              <w:t>RT-RPS</w:t>
            </w:r>
          </w:p>
        </w:tc>
        <w:tc>
          <w:tcPr>
            <w:tcW w:w="0" w:type="auto"/>
            <w:hideMark/>
          </w:tcPr>
          <w:p w14:paraId="5FBE2E86" w14:textId="42D25A7F" w:rsidR="000C2EE2" w:rsidRPr="004D67CB" w:rsidRDefault="00517657" w:rsidP="00731EBA">
            <w:pPr>
              <w:spacing w:after="160"/>
              <w:cnfStyle w:val="000000000000" w:firstRow="0" w:lastRow="0" w:firstColumn="0" w:lastColumn="0" w:oddVBand="0" w:evenVBand="0" w:oddHBand="0" w:evenHBand="0" w:firstRowFirstColumn="0" w:firstRowLastColumn="0" w:lastRowFirstColumn="0" w:lastRowLastColumn="0"/>
            </w:pPr>
            <w:r w:rsidRPr="00517657">
              <w:t>Hệ thống Thanh toán Bán lẻ Thời gian thực</w:t>
            </w:r>
          </w:p>
        </w:tc>
      </w:tr>
      <w:tr w:rsidR="000C2EE2" w:rsidRPr="004D67CB" w14:paraId="2D8883F6" w14:textId="77777777" w:rsidTr="0073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5105E265" w14:textId="77777777" w:rsidR="000C2EE2" w:rsidRPr="004D67CB" w:rsidRDefault="000C2EE2" w:rsidP="00731EBA">
            <w:pPr>
              <w:spacing w:after="160"/>
            </w:pPr>
            <w:r w:rsidRPr="004D67CB">
              <w:t>SC42</w:t>
            </w:r>
          </w:p>
        </w:tc>
        <w:tc>
          <w:tcPr>
            <w:tcW w:w="0" w:type="auto"/>
            <w:hideMark/>
          </w:tcPr>
          <w:p w14:paraId="69CB0B97" w14:textId="7447B6F2" w:rsidR="000C2EE2" w:rsidRPr="004D67CB" w:rsidRDefault="00517657" w:rsidP="00731EBA">
            <w:pPr>
              <w:spacing w:after="160"/>
              <w:cnfStyle w:val="000000100000" w:firstRow="0" w:lastRow="0" w:firstColumn="0" w:lastColumn="0" w:oddVBand="0" w:evenVBand="0" w:oddHBand="1" w:evenHBand="0" w:firstRowFirstColumn="0" w:firstRowLastColumn="0" w:lastRowFirstColumn="0" w:lastRowLastColumn="0"/>
            </w:pPr>
            <w:r w:rsidRPr="00517657">
              <w:t xml:space="preserve">Tiểu ban 42 </w:t>
            </w:r>
            <w:r w:rsidR="005741D7">
              <w:t>(</w:t>
            </w:r>
            <w:r w:rsidRPr="00517657">
              <w:t>về Trí tuệ Nhân tạo</w:t>
            </w:r>
            <w:r w:rsidR="005741D7">
              <w:t>)</w:t>
            </w:r>
          </w:p>
        </w:tc>
      </w:tr>
      <w:tr w:rsidR="000C2EE2" w:rsidRPr="004D67CB" w14:paraId="7CDA2EF1" w14:textId="77777777" w:rsidTr="00731EBA">
        <w:tc>
          <w:tcPr>
            <w:cnfStyle w:val="001000000000" w:firstRow="0" w:lastRow="0" w:firstColumn="1" w:lastColumn="0" w:oddVBand="0" w:evenVBand="0" w:oddHBand="0" w:evenHBand="0" w:firstRowFirstColumn="0" w:firstRowLastColumn="0" w:lastRowFirstColumn="0" w:lastRowLastColumn="0"/>
            <w:tcW w:w="1615" w:type="dxa"/>
            <w:hideMark/>
          </w:tcPr>
          <w:p w14:paraId="429EB0EF" w14:textId="77777777" w:rsidR="000C2EE2" w:rsidRPr="004D67CB" w:rsidRDefault="000C2EE2" w:rsidP="00731EBA">
            <w:pPr>
              <w:spacing w:after="160"/>
            </w:pPr>
            <w:r w:rsidRPr="004D67CB">
              <w:t>SPCD</w:t>
            </w:r>
          </w:p>
        </w:tc>
        <w:tc>
          <w:tcPr>
            <w:tcW w:w="0" w:type="auto"/>
            <w:hideMark/>
          </w:tcPr>
          <w:p w14:paraId="5CF6A30E" w14:textId="2DD213F3" w:rsidR="000C2EE2" w:rsidRPr="004D67CB" w:rsidRDefault="00517657" w:rsidP="00731EBA">
            <w:pPr>
              <w:spacing w:after="160"/>
              <w:cnfStyle w:val="000000000000" w:firstRow="0" w:lastRow="0" w:firstColumn="0" w:lastColumn="0" w:oddVBand="0" w:evenVBand="0" w:oddHBand="0" w:evenHBand="0" w:firstRowFirstColumn="0" w:firstRowLastColumn="0" w:lastRowFirstColumn="0" w:lastRowLastColumn="0"/>
            </w:pPr>
            <w:r w:rsidRPr="00517657">
              <w:t>Kế hoạch Chiến lược Phát triển Hải quan</w:t>
            </w:r>
          </w:p>
        </w:tc>
      </w:tr>
      <w:tr w:rsidR="000C2EE2" w:rsidRPr="004D67CB" w14:paraId="294675D2" w14:textId="77777777" w:rsidTr="0073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19E3C28B" w14:textId="77777777" w:rsidR="000C2EE2" w:rsidRPr="004D67CB" w:rsidRDefault="000C2EE2" w:rsidP="00731EBA">
            <w:pPr>
              <w:spacing w:after="160"/>
            </w:pPr>
            <w:r w:rsidRPr="004D67CB">
              <w:t>TR</w:t>
            </w:r>
          </w:p>
        </w:tc>
        <w:tc>
          <w:tcPr>
            <w:tcW w:w="0" w:type="auto"/>
            <w:hideMark/>
          </w:tcPr>
          <w:p w14:paraId="51AB075E" w14:textId="6F8ADFE8" w:rsidR="000C2EE2" w:rsidRPr="004D67CB" w:rsidRDefault="00AB17F1" w:rsidP="00731EBA">
            <w:pPr>
              <w:spacing w:after="160"/>
              <w:cnfStyle w:val="000000100000" w:firstRow="0" w:lastRow="0" w:firstColumn="0" w:lastColumn="0" w:oddVBand="0" w:evenVBand="0" w:oddHBand="1" w:evenHBand="0" w:firstRowFirstColumn="0" w:firstRowLastColumn="0" w:lastRowFirstColumn="0" w:lastRowLastColumn="0"/>
            </w:pPr>
            <w:r w:rsidRPr="00AB17F1">
              <w:t>Tài liệu Tham chiếu Kỹ thuật</w:t>
            </w:r>
          </w:p>
        </w:tc>
      </w:tr>
      <w:tr w:rsidR="000C2EE2" w:rsidRPr="004D67CB" w14:paraId="0E090867" w14:textId="77777777" w:rsidTr="00731EBA">
        <w:tc>
          <w:tcPr>
            <w:cnfStyle w:val="001000000000" w:firstRow="0" w:lastRow="0" w:firstColumn="1" w:lastColumn="0" w:oddVBand="0" w:evenVBand="0" w:oddHBand="0" w:evenHBand="0" w:firstRowFirstColumn="0" w:firstRowLastColumn="0" w:lastRowFirstColumn="0" w:lastRowLastColumn="0"/>
            <w:tcW w:w="1615" w:type="dxa"/>
            <w:hideMark/>
          </w:tcPr>
          <w:p w14:paraId="601EE224" w14:textId="77777777" w:rsidR="000C2EE2" w:rsidRPr="004D67CB" w:rsidRDefault="000C2EE2" w:rsidP="00731EBA">
            <w:pPr>
              <w:spacing w:after="160"/>
            </w:pPr>
            <w:r w:rsidRPr="004D67CB">
              <w:t>UBIN</w:t>
            </w:r>
          </w:p>
        </w:tc>
        <w:tc>
          <w:tcPr>
            <w:tcW w:w="0" w:type="auto"/>
            <w:hideMark/>
          </w:tcPr>
          <w:p w14:paraId="1BD679BD" w14:textId="135C23B3" w:rsidR="000C2EE2" w:rsidRPr="004D67CB" w:rsidRDefault="00AB17F1" w:rsidP="00731EBA">
            <w:pPr>
              <w:spacing w:after="160"/>
              <w:cnfStyle w:val="000000000000" w:firstRow="0" w:lastRow="0" w:firstColumn="0" w:lastColumn="0" w:oddVBand="0" w:evenVBand="0" w:oddHBand="0" w:evenHBand="0" w:firstRowFirstColumn="0" w:firstRowLastColumn="0" w:lastRowFirstColumn="0" w:lastRowLastColumn="0"/>
            </w:pPr>
            <w:r w:rsidRPr="00AB17F1">
              <w:t>Mã Định danh Doanh nghiệp Thống nhất</w:t>
            </w:r>
          </w:p>
        </w:tc>
      </w:tr>
      <w:tr w:rsidR="000C2EE2" w:rsidRPr="004D67CB" w14:paraId="0BD9D929" w14:textId="77777777" w:rsidTr="0073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2A06506A" w14:textId="77777777" w:rsidR="000C2EE2" w:rsidRPr="004D67CB" w:rsidRDefault="000C2EE2" w:rsidP="00731EBA">
            <w:pPr>
              <w:spacing w:after="160"/>
            </w:pPr>
            <w:r w:rsidRPr="004D67CB">
              <w:t>UML</w:t>
            </w:r>
          </w:p>
        </w:tc>
        <w:tc>
          <w:tcPr>
            <w:tcW w:w="0" w:type="auto"/>
            <w:hideMark/>
          </w:tcPr>
          <w:p w14:paraId="4F47AD8D" w14:textId="371D058A" w:rsidR="000C2EE2" w:rsidRPr="004D67CB" w:rsidRDefault="00AB17F1" w:rsidP="00731EBA">
            <w:pPr>
              <w:spacing w:after="160"/>
              <w:cnfStyle w:val="000000100000" w:firstRow="0" w:lastRow="0" w:firstColumn="0" w:lastColumn="0" w:oddVBand="0" w:evenVBand="0" w:oddHBand="1" w:evenHBand="0" w:firstRowFirstColumn="0" w:firstRowLastColumn="0" w:lastRowFirstColumn="0" w:lastRowLastColumn="0"/>
            </w:pPr>
            <w:r w:rsidRPr="00AB17F1">
              <w:t>Ngôn ngữ Mô hình hóa Thống nhất</w:t>
            </w:r>
          </w:p>
        </w:tc>
      </w:tr>
      <w:tr w:rsidR="000C2EE2" w:rsidRPr="004D67CB" w14:paraId="26837F05" w14:textId="77777777" w:rsidTr="00731EBA">
        <w:tc>
          <w:tcPr>
            <w:cnfStyle w:val="001000000000" w:firstRow="0" w:lastRow="0" w:firstColumn="1" w:lastColumn="0" w:oddVBand="0" w:evenVBand="0" w:oddHBand="0" w:evenHBand="0" w:firstRowFirstColumn="0" w:firstRowLastColumn="0" w:lastRowFirstColumn="0" w:lastRowLastColumn="0"/>
            <w:tcW w:w="1615" w:type="dxa"/>
            <w:hideMark/>
          </w:tcPr>
          <w:p w14:paraId="079E607D" w14:textId="77777777" w:rsidR="000C2EE2" w:rsidRPr="004D67CB" w:rsidRDefault="000C2EE2" w:rsidP="00731EBA">
            <w:pPr>
              <w:spacing w:after="160"/>
            </w:pPr>
            <w:r w:rsidRPr="004D67CB">
              <w:t>UMM</w:t>
            </w:r>
          </w:p>
        </w:tc>
        <w:tc>
          <w:tcPr>
            <w:tcW w:w="0" w:type="auto"/>
            <w:hideMark/>
          </w:tcPr>
          <w:p w14:paraId="61E843F2" w14:textId="3328395A" w:rsidR="000C2EE2" w:rsidRPr="004D67CB" w:rsidRDefault="00AB17F1" w:rsidP="00731EBA">
            <w:pPr>
              <w:spacing w:after="160"/>
              <w:cnfStyle w:val="000000000000" w:firstRow="0" w:lastRow="0" w:firstColumn="0" w:lastColumn="0" w:oddVBand="0" w:evenVBand="0" w:oddHBand="0" w:evenHBand="0" w:firstRowFirstColumn="0" w:firstRowLastColumn="0" w:lastRowFirstColumn="0" w:lastRowLastColumn="0"/>
            </w:pPr>
            <w:r w:rsidRPr="00AB17F1">
              <w:t>Phương pháp Mô hình hóa UN/CEFACT</w:t>
            </w:r>
          </w:p>
        </w:tc>
      </w:tr>
      <w:tr w:rsidR="000C2EE2" w:rsidRPr="004D67CB" w14:paraId="48036960" w14:textId="77777777" w:rsidTr="0073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50A3E2C9" w14:textId="77777777" w:rsidR="000C2EE2" w:rsidRPr="004D67CB" w:rsidRDefault="000C2EE2" w:rsidP="00731EBA">
            <w:pPr>
              <w:spacing w:after="160"/>
            </w:pPr>
            <w:r w:rsidRPr="004D67CB">
              <w:t>UNESCO</w:t>
            </w:r>
          </w:p>
        </w:tc>
        <w:tc>
          <w:tcPr>
            <w:tcW w:w="0" w:type="auto"/>
            <w:hideMark/>
          </w:tcPr>
          <w:p w14:paraId="3A4018C7" w14:textId="6741870F" w:rsidR="000C2EE2" w:rsidRPr="004D67CB" w:rsidRDefault="00AB17F1" w:rsidP="00731EBA">
            <w:pPr>
              <w:spacing w:after="160"/>
              <w:cnfStyle w:val="000000100000" w:firstRow="0" w:lastRow="0" w:firstColumn="0" w:lastColumn="0" w:oddVBand="0" w:evenVBand="0" w:oddHBand="1" w:evenHBand="0" w:firstRowFirstColumn="0" w:firstRowLastColumn="0" w:lastRowFirstColumn="0" w:lastRowLastColumn="0"/>
            </w:pPr>
            <w:r w:rsidRPr="00AB17F1">
              <w:t>Tổ chức Giáo dục, Khoa học và Văn hóa Liên Hợp Quốc</w:t>
            </w:r>
          </w:p>
        </w:tc>
      </w:tr>
      <w:tr w:rsidR="000C2EE2" w:rsidRPr="004D67CB" w14:paraId="189EBFB2" w14:textId="77777777" w:rsidTr="00731EBA">
        <w:tc>
          <w:tcPr>
            <w:cnfStyle w:val="001000000000" w:firstRow="0" w:lastRow="0" w:firstColumn="1" w:lastColumn="0" w:oddVBand="0" w:evenVBand="0" w:oddHBand="0" w:evenHBand="0" w:firstRowFirstColumn="0" w:firstRowLastColumn="0" w:lastRowFirstColumn="0" w:lastRowLastColumn="0"/>
            <w:tcW w:w="1615" w:type="dxa"/>
            <w:hideMark/>
          </w:tcPr>
          <w:p w14:paraId="7910CAF8" w14:textId="77777777" w:rsidR="000C2EE2" w:rsidRPr="004D67CB" w:rsidRDefault="000C2EE2" w:rsidP="00731EBA">
            <w:pPr>
              <w:spacing w:after="160"/>
            </w:pPr>
            <w:r w:rsidRPr="004D67CB">
              <w:t>UNCITRAL</w:t>
            </w:r>
          </w:p>
        </w:tc>
        <w:tc>
          <w:tcPr>
            <w:tcW w:w="0" w:type="auto"/>
            <w:hideMark/>
          </w:tcPr>
          <w:p w14:paraId="14479152" w14:textId="4303E609" w:rsidR="000C2EE2" w:rsidRPr="004D67CB" w:rsidRDefault="00AB17F1" w:rsidP="00731EBA">
            <w:pPr>
              <w:spacing w:after="160"/>
              <w:cnfStyle w:val="000000000000" w:firstRow="0" w:lastRow="0" w:firstColumn="0" w:lastColumn="0" w:oddVBand="0" w:evenVBand="0" w:oddHBand="0" w:evenHBand="0" w:firstRowFirstColumn="0" w:firstRowLastColumn="0" w:lastRowFirstColumn="0" w:lastRowLastColumn="0"/>
            </w:pPr>
            <w:r w:rsidRPr="00AB17F1">
              <w:t>Ủy ban Liên Hợp Quốc về Luật Thương mại Quốc tế</w:t>
            </w:r>
          </w:p>
        </w:tc>
      </w:tr>
      <w:tr w:rsidR="000C2EE2" w:rsidRPr="004D67CB" w14:paraId="620DE2B0" w14:textId="77777777" w:rsidTr="0073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5CB74FDD" w14:textId="77777777" w:rsidR="000C2EE2" w:rsidRPr="004D67CB" w:rsidRDefault="000C2EE2" w:rsidP="00731EBA">
            <w:pPr>
              <w:spacing w:after="160"/>
            </w:pPr>
            <w:r w:rsidRPr="004D67CB">
              <w:t>US$</w:t>
            </w:r>
          </w:p>
        </w:tc>
        <w:tc>
          <w:tcPr>
            <w:tcW w:w="0" w:type="auto"/>
            <w:hideMark/>
          </w:tcPr>
          <w:p w14:paraId="7F7FB9F5" w14:textId="11AE1088" w:rsidR="000C2EE2" w:rsidRPr="004D67CB" w:rsidRDefault="00AB17F1" w:rsidP="00731EBA">
            <w:pPr>
              <w:spacing w:after="160"/>
              <w:cnfStyle w:val="000000100000" w:firstRow="0" w:lastRow="0" w:firstColumn="0" w:lastColumn="0" w:oddVBand="0" w:evenVBand="0" w:oddHBand="1" w:evenHBand="0" w:firstRowFirstColumn="0" w:firstRowLastColumn="0" w:lastRowFirstColumn="0" w:lastRowLastColumn="0"/>
            </w:pPr>
            <w:r w:rsidRPr="00AB17F1">
              <w:t>Đô la Mỹ</w:t>
            </w:r>
          </w:p>
        </w:tc>
      </w:tr>
      <w:tr w:rsidR="000C2EE2" w:rsidRPr="004D67CB" w14:paraId="1A791DBB" w14:textId="77777777" w:rsidTr="00731EBA">
        <w:tc>
          <w:tcPr>
            <w:cnfStyle w:val="001000000000" w:firstRow="0" w:lastRow="0" w:firstColumn="1" w:lastColumn="0" w:oddVBand="0" w:evenVBand="0" w:oddHBand="0" w:evenHBand="0" w:firstRowFirstColumn="0" w:firstRowLastColumn="0" w:lastRowFirstColumn="0" w:lastRowLastColumn="0"/>
            <w:tcW w:w="1615" w:type="dxa"/>
            <w:hideMark/>
          </w:tcPr>
          <w:p w14:paraId="2557FF4D" w14:textId="77777777" w:rsidR="000C2EE2" w:rsidRPr="004D67CB" w:rsidRDefault="000C2EE2" w:rsidP="00731EBA">
            <w:pPr>
              <w:spacing w:after="160"/>
            </w:pPr>
            <w:r w:rsidRPr="004D67CB">
              <w:t>W3C</w:t>
            </w:r>
          </w:p>
        </w:tc>
        <w:tc>
          <w:tcPr>
            <w:tcW w:w="0" w:type="auto"/>
            <w:hideMark/>
          </w:tcPr>
          <w:p w14:paraId="3BE9FC19" w14:textId="308006AD" w:rsidR="000C2EE2" w:rsidRPr="004D67CB" w:rsidRDefault="00AB17F1" w:rsidP="00731EBA">
            <w:pPr>
              <w:spacing w:after="160"/>
              <w:cnfStyle w:val="000000000000" w:firstRow="0" w:lastRow="0" w:firstColumn="0" w:lastColumn="0" w:oddVBand="0" w:evenVBand="0" w:oddHBand="0" w:evenHBand="0" w:firstRowFirstColumn="0" w:firstRowLastColumn="0" w:lastRowFirstColumn="0" w:lastRowLastColumn="0"/>
            </w:pPr>
            <w:r w:rsidRPr="00AB17F1">
              <w:t>Hiệp hội World Wide Web</w:t>
            </w:r>
          </w:p>
        </w:tc>
      </w:tr>
      <w:tr w:rsidR="000C2EE2" w:rsidRPr="004D67CB" w14:paraId="78D74303" w14:textId="77777777" w:rsidTr="00731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7E13C40D" w14:textId="77777777" w:rsidR="000C2EE2" w:rsidRPr="004D67CB" w:rsidRDefault="000C2EE2" w:rsidP="00731EBA">
            <w:pPr>
              <w:spacing w:after="160"/>
            </w:pPr>
            <w:r w:rsidRPr="004D67CB">
              <w:t>WC-FINC</w:t>
            </w:r>
          </w:p>
        </w:tc>
        <w:tc>
          <w:tcPr>
            <w:tcW w:w="0" w:type="auto"/>
            <w:hideMark/>
          </w:tcPr>
          <w:p w14:paraId="57552773" w14:textId="17C0C238" w:rsidR="000C2EE2" w:rsidRPr="004D67CB" w:rsidRDefault="00AB17F1" w:rsidP="00731EBA">
            <w:pPr>
              <w:spacing w:after="160"/>
              <w:cnfStyle w:val="000000100000" w:firstRow="0" w:lastRow="0" w:firstColumn="0" w:lastColumn="0" w:oddVBand="0" w:evenVBand="0" w:oddHBand="1" w:evenHBand="0" w:firstRowFirstColumn="0" w:firstRowLastColumn="0" w:lastRowFirstColumn="0" w:lastRowLastColumn="0"/>
            </w:pPr>
            <w:r w:rsidRPr="00AB17F1">
              <w:t>Ủy ban Công tác về Tài chính Toàn diện</w:t>
            </w:r>
          </w:p>
        </w:tc>
      </w:tr>
      <w:tr w:rsidR="000C2EE2" w:rsidRPr="004D67CB" w14:paraId="716CAA55" w14:textId="77777777" w:rsidTr="00731EBA">
        <w:tc>
          <w:tcPr>
            <w:cnfStyle w:val="001000000000" w:firstRow="0" w:lastRow="0" w:firstColumn="1" w:lastColumn="0" w:oddVBand="0" w:evenVBand="0" w:oddHBand="0" w:evenHBand="0" w:firstRowFirstColumn="0" w:firstRowLastColumn="0" w:lastRowFirstColumn="0" w:lastRowLastColumn="0"/>
            <w:tcW w:w="1615" w:type="dxa"/>
            <w:hideMark/>
          </w:tcPr>
          <w:p w14:paraId="2E51FF9A" w14:textId="77777777" w:rsidR="000C2EE2" w:rsidRPr="004D67CB" w:rsidRDefault="000C2EE2" w:rsidP="00731EBA">
            <w:pPr>
              <w:spacing w:after="160"/>
            </w:pPr>
            <w:r w:rsidRPr="004D67CB">
              <w:t>WC-PSS</w:t>
            </w:r>
          </w:p>
        </w:tc>
        <w:tc>
          <w:tcPr>
            <w:tcW w:w="0" w:type="auto"/>
            <w:hideMark/>
          </w:tcPr>
          <w:p w14:paraId="1AC778A9" w14:textId="6F203A1C" w:rsidR="000C2EE2" w:rsidRPr="004D67CB" w:rsidRDefault="00AB17F1" w:rsidP="00731EBA">
            <w:pPr>
              <w:spacing w:after="160"/>
              <w:cnfStyle w:val="000000000000" w:firstRow="0" w:lastRow="0" w:firstColumn="0" w:lastColumn="0" w:oddVBand="0" w:evenVBand="0" w:oddHBand="0" w:evenHBand="0" w:firstRowFirstColumn="0" w:firstRowLastColumn="0" w:lastRowFirstColumn="0" w:lastRowLastColumn="0"/>
            </w:pPr>
            <w:r w:rsidRPr="00AB17F1">
              <w:t>Ủy ban Công tác về Hệ thống Thanh toán và Bù trừ</w:t>
            </w:r>
          </w:p>
        </w:tc>
      </w:tr>
      <w:tr w:rsidR="004D67CB" w:rsidRPr="004D67CB" w14:paraId="268372E1" w14:textId="77777777" w:rsidTr="00E94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hideMark/>
          </w:tcPr>
          <w:p w14:paraId="7C41B682" w14:textId="77777777" w:rsidR="004D67CB" w:rsidRPr="004D67CB" w:rsidRDefault="004D67CB" w:rsidP="004D67CB">
            <w:pPr>
              <w:spacing w:after="160"/>
            </w:pPr>
            <w:r w:rsidRPr="004D67CB">
              <w:lastRenderedPageBreak/>
              <w:t>WTO</w:t>
            </w:r>
          </w:p>
        </w:tc>
        <w:tc>
          <w:tcPr>
            <w:tcW w:w="0" w:type="auto"/>
            <w:hideMark/>
          </w:tcPr>
          <w:p w14:paraId="0003A2A6" w14:textId="6034C85B" w:rsidR="004D67CB" w:rsidRPr="004D67CB" w:rsidRDefault="00AB17F1" w:rsidP="004D67CB">
            <w:pPr>
              <w:spacing w:after="160"/>
              <w:cnfStyle w:val="000000100000" w:firstRow="0" w:lastRow="0" w:firstColumn="0" w:lastColumn="0" w:oddVBand="0" w:evenVBand="0" w:oddHBand="1" w:evenHBand="0" w:firstRowFirstColumn="0" w:firstRowLastColumn="0" w:lastRowFirstColumn="0" w:lastRowLastColumn="0"/>
            </w:pPr>
            <w:r w:rsidRPr="00AB17F1">
              <w:t>Tổ chức Thương mại Thế giới</w:t>
            </w:r>
          </w:p>
        </w:tc>
      </w:tr>
      <w:tr w:rsidR="004D67CB" w:rsidRPr="004D67CB" w14:paraId="7625C17B" w14:textId="77777777" w:rsidTr="00E94EE5">
        <w:tc>
          <w:tcPr>
            <w:cnfStyle w:val="001000000000" w:firstRow="0" w:lastRow="0" w:firstColumn="1" w:lastColumn="0" w:oddVBand="0" w:evenVBand="0" w:oddHBand="0" w:evenHBand="0" w:firstRowFirstColumn="0" w:firstRowLastColumn="0" w:lastRowFirstColumn="0" w:lastRowLastColumn="0"/>
            <w:tcW w:w="1615" w:type="dxa"/>
            <w:hideMark/>
          </w:tcPr>
          <w:p w14:paraId="5BAC0798" w14:textId="77777777" w:rsidR="004D67CB" w:rsidRPr="004D67CB" w:rsidRDefault="004D67CB" w:rsidP="004D67CB">
            <w:pPr>
              <w:spacing w:after="160"/>
            </w:pPr>
            <w:r w:rsidRPr="004D67CB">
              <w:t>XML</w:t>
            </w:r>
          </w:p>
        </w:tc>
        <w:tc>
          <w:tcPr>
            <w:tcW w:w="0" w:type="auto"/>
            <w:hideMark/>
          </w:tcPr>
          <w:p w14:paraId="71AC32CC" w14:textId="6122BED3" w:rsidR="004D67CB" w:rsidRPr="004D67CB" w:rsidRDefault="00AB17F1" w:rsidP="004D67CB">
            <w:pPr>
              <w:spacing w:after="160"/>
              <w:cnfStyle w:val="000000000000" w:firstRow="0" w:lastRow="0" w:firstColumn="0" w:lastColumn="0" w:oddVBand="0" w:evenVBand="0" w:oddHBand="0" w:evenHBand="0" w:firstRowFirstColumn="0" w:firstRowLastColumn="0" w:lastRowFirstColumn="0" w:lastRowLastColumn="0"/>
            </w:pPr>
            <w:r w:rsidRPr="00AB17F1">
              <w:t>Ngôn ngữ đánh dấu mở rộng</w:t>
            </w:r>
          </w:p>
        </w:tc>
      </w:tr>
    </w:tbl>
    <w:p w14:paraId="0959B199" w14:textId="7730145A" w:rsidR="004D67CB" w:rsidRPr="00617BB0" w:rsidRDefault="004D67CB" w:rsidP="00A7554E">
      <w:r w:rsidRPr="004D67CB">
        <w:t xml:space="preserve">  </w:t>
      </w:r>
    </w:p>
    <w:p w14:paraId="4EC92659" w14:textId="0CA6CB7F" w:rsidR="2485C169" w:rsidRPr="00015DA0" w:rsidRDefault="00015DA0" w:rsidP="002F2AB3">
      <w:pPr>
        <w:pStyle w:val="Heading1"/>
        <w:numPr>
          <w:ilvl w:val="0"/>
          <w:numId w:val="0"/>
        </w:numPr>
        <w:rPr>
          <w:lang w:val="vi-VN"/>
        </w:rPr>
      </w:pPr>
      <w:r>
        <w:rPr>
          <w:lang w:val="vi-VN"/>
        </w:rPr>
        <w:lastRenderedPageBreak/>
        <w:t xml:space="preserve">Tóm tắt </w:t>
      </w:r>
    </w:p>
    <w:p w14:paraId="1990B478" w14:textId="41691D4B" w:rsidR="00015DA0" w:rsidRDefault="00015DA0" w:rsidP="008040BD">
      <w:pPr>
        <w:spacing w:before="240" w:after="240" w:line="276" w:lineRule="auto"/>
        <w:rPr>
          <w:lang w:val="vi-VN"/>
        </w:rPr>
      </w:pPr>
      <w:r w:rsidRPr="00015DA0">
        <w:t>Chuyển đổi số là ưu tiên hàng đầu của ASEAN, khi việc đổi mới và ứng dụng công nghệ thúc đẩy và tạo động lực cho phát triển kinh tế cũng như hội nhập trong khu vực và ra toàn cầu. Một yếu tố then chốt của chuyển đổi số là việc hài hòa các tiêu chuẩn thương mại số (</w:t>
      </w:r>
      <w:r w:rsidR="00F873B7">
        <w:t>TCTMS-</w:t>
      </w:r>
      <w:r w:rsidRPr="00015DA0">
        <w:t>DTS), đóng vai trò trung tâm trong việc thống nhất các hệ sinh thái số đa dạng của các quốc gia thành viên ASEAN (AMS). Bằng việc thiết lập các khuôn khổ và giao thức chung, ASEAN có thể tạo ra một môi trường số tương thích hơn, giảm rào cản trong thương mại số, và cung cấp cho doanh nghiệp cũng như người tiêu dùng khả năng tiếp cận rộng hơn tới thị trường khu vực và toàn cầu.</w:t>
      </w:r>
    </w:p>
    <w:p w14:paraId="05CB1964" w14:textId="0DAECD8D" w:rsidR="00015DA0" w:rsidRDefault="00015DA0" w:rsidP="008040BD">
      <w:pPr>
        <w:spacing w:before="240" w:after="240" w:line="276" w:lineRule="auto"/>
        <w:rPr>
          <w:lang w:val="vi-VN"/>
        </w:rPr>
      </w:pPr>
      <w:r w:rsidRPr="00015DA0">
        <w:t xml:space="preserve">Dựa trên phân tích của Access Partnership về các thỏa thuận kinh tế số (DEA) và các hiệp định thương mại tự do (FTA) với cam kết hài hòa </w:t>
      </w:r>
      <w:r w:rsidR="00F873B7">
        <w:t>TCTMS</w:t>
      </w:r>
      <w:r w:rsidRPr="00015DA0">
        <w:t xml:space="preserve"> (ví dụ: </w:t>
      </w:r>
      <w:r w:rsidR="00E6035D">
        <w:t>xác thực điện tử</w:t>
      </w:r>
      <w:r w:rsidRPr="00015DA0">
        <w:t xml:space="preserve">, thương mại điện tử, hóa đơn điện tử, thương mại không giấy tờ, thanh toán số) trong giai đoạn 2018-2021, ước tính rằng việc hài hòa </w:t>
      </w:r>
      <w:r w:rsidR="00F873B7">
        <w:t>TCTMS</w:t>
      </w:r>
      <w:r w:rsidRPr="00015DA0">
        <w:t xml:space="preserve"> đã giúp tăng xuất khẩu lên 9,9% cho các nền kinh tế đã thực hiện hài hòa </w:t>
      </w:r>
      <w:r w:rsidR="00F873B7">
        <w:t>TCTMS</w:t>
      </w:r>
      <w:r w:rsidRPr="00015DA0">
        <w:t xml:space="preserve"> so với những nền kinh tế chưa thực hiện. Nếu việc hài hòa tương tự được triển khai trên toàn bộ các AMS, ước tính có thể bổ sung tới 158 tỷ USD (tương đương 4,5% GDP khu vực) cho các nền kinh tế AMS, đồng thời hỗ trợ gần 10 triệu việc làm trên toàn khu vực.</w:t>
      </w:r>
    </w:p>
    <w:p w14:paraId="53C12B69" w14:textId="1BE402E9" w:rsidR="00015DA0" w:rsidRDefault="00015DA0" w:rsidP="008040BD">
      <w:pPr>
        <w:spacing w:before="240" w:after="240" w:line="276" w:lineRule="auto"/>
        <w:rPr>
          <w:lang w:val="vi-VN"/>
        </w:rPr>
      </w:pPr>
      <w:r w:rsidRPr="00015DA0">
        <w:rPr>
          <w:lang w:val="vi-VN"/>
        </w:rPr>
        <w:t xml:space="preserve">Nhận thức rằng tiêu chuẩn là một chủ đề </w:t>
      </w:r>
      <w:r w:rsidR="00E6035D">
        <w:rPr>
          <w:lang w:val="en-AU"/>
        </w:rPr>
        <w:t>liên ngành</w:t>
      </w:r>
      <w:r w:rsidRPr="00015DA0">
        <w:rPr>
          <w:lang w:val="vi-VN"/>
        </w:rPr>
        <w:t xml:space="preserve"> trong nhiều sáng kiến của ASEAN, Lộ trình Tiêu chuẩn Thương mại Số của ASEAN (ASEAN DTS Roadmap) sẽ cung cấp một góc nhìn toàn diện và phương pháp được khuyến nghị để hài hòa các tiêu chuẩn thương mại số trên các chiến lược, lộ trình và sáng kiến hiện hữu và sắp tới của ASEAN, đồng thời xem xét các diễn biến toàn cầu và khu vực gần đây.</w:t>
      </w:r>
    </w:p>
    <w:p w14:paraId="262B5929" w14:textId="0186E1B2" w:rsidR="008040BD" w:rsidRPr="00516087" w:rsidRDefault="00015DA0" w:rsidP="00A3406A">
      <w:pPr>
        <w:pStyle w:val="Heading2"/>
        <w:spacing w:before="240" w:after="240" w:line="276" w:lineRule="auto"/>
        <w:contextualSpacing w:val="0"/>
        <w:rPr>
          <w:b/>
          <w:lang w:val="en-GB"/>
        </w:rPr>
      </w:pPr>
      <w:bookmarkStart w:id="0" w:name="_Toc177671509"/>
      <w:bookmarkStart w:id="1" w:name="_Toc177672205"/>
      <w:bookmarkStart w:id="2" w:name="_Toc177677783"/>
      <w:bookmarkEnd w:id="0"/>
      <w:bookmarkEnd w:id="1"/>
      <w:bookmarkEnd w:id="2"/>
      <w:r>
        <w:rPr>
          <w:b/>
          <w:lang w:val="en-GB"/>
        </w:rPr>
        <w:t>Tầm</w:t>
      </w:r>
      <w:r>
        <w:rPr>
          <w:b/>
          <w:lang w:val="vi-VN"/>
        </w:rPr>
        <w:t xml:space="preserve"> nhìn và kết quả chiến lược</w:t>
      </w:r>
    </w:p>
    <w:p w14:paraId="02B23B03" w14:textId="1B50353E" w:rsidR="00191F09" w:rsidRPr="00516087" w:rsidRDefault="00015DA0" w:rsidP="00D23BCA">
      <w:pPr>
        <w:pStyle w:val="Heading4"/>
        <w:numPr>
          <w:ilvl w:val="0"/>
          <w:numId w:val="0"/>
        </w:numPr>
        <w:spacing w:after="240"/>
        <w:contextualSpacing w:val="0"/>
        <w:rPr>
          <w:rFonts w:eastAsiaTheme="minorEastAsia"/>
          <w:i w:val="0"/>
          <w:color w:val="auto"/>
          <w:szCs w:val="24"/>
          <w:lang w:val="en-GB"/>
        </w:rPr>
      </w:pPr>
      <w:r w:rsidRPr="00015DA0">
        <w:rPr>
          <w:lang w:val="en-GB"/>
        </w:rPr>
        <w:t>Tầm nhìn của Lộ trình Tiêu chuẩn Thương mại Số ASEAN (ASEAN DTS Roadmap) là đưa ra các khuyến nghị nhằm giúp ASEAN đạt được mức độ tương thích cao hơn thông qua việc tăng cường sự thống nhất, áp dụng và hài hòa các tiêu chuẩn trong các lĩnh vực thương mại số then chốt. Việc tăng cường khả năng tương thích thông qua hài hòa tiêu chuẩn sẽ thúc đẩy chuyển đổi số, khuyến khích đổi mới sáng tạo, và mang đến cho các quốc gia thành viên ASEAN những cơ hội tiếp cận thị trường có ý nghĩa về thương mại, cả trong khu vực và trên phạm vi toàn cầu, với chi phí cận biên thấp hơn.</w:t>
      </w:r>
    </w:p>
    <w:p w14:paraId="06DDEF47" w14:textId="790E1FEB" w:rsidR="00296579" w:rsidRPr="00015DA0" w:rsidRDefault="00015DA0" w:rsidP="00D23BCA">
      <w:pPr>
        <w:spacing w:before="240" w:after="240" w:line="276" w:lineRule="auto"/>
        <w:rPr>
          <w:lang w:val="vi-VN"/>
        </w:rPr>
      </w:pPr>
      <w:r w:rsidRPr="00015DA0">
        <w:rPr>
          <w:lang w:val="vi-VN"/>
        </w:rPr>
        <w:t>Việc hài hòa các tiêu chuẩn thương mại số cuối cùng nhằm giảm các rào cản phi thuế quan đối với thương mại, tạo điều kiện và đẩy nhanh thương mại số cũng như hội nhập khu vực, đồng thời đóng góp vào việc hiện thực hóa chương trình chuyển đổi số và hội nhập kinh tế của ASEAN. Do đó, ASEAN DTS Roadmap hướng tới hỗ trợ đạt được ba kết quả chiến lược cho khu vực, bao gồm: thúc đẩy tăng trưởng bền vững và toàn diện, đơn giản hóa dòng chảy thương mại số, và nâng cao hội nhập số.</w:t>
      </w:r>
    </w:p>
    <w:p w14:paraId="640FA0D4" w14:textId="646C1BDF" w:rsidR="007C5167" w:rsidRPr="00516087" w:rsidRDefault="007C5167" w:rsidP="007C5167">
      <w:r w:rsidRPr="00516087">
        <w:t xml:space="preserve"> </w:t>
      </w:r>
    </w:p>
    <w:p w14:paraId="3410A92A" w14:textId="77777777" w:rsidR="007C5167" w:rsidRDefault="005D60FF">
      <w:pPr>
        <w:spacing w:line="259" w:lineRule="auto"/>
        <w:jc w:val="left"/>
        <w:rPr>
          <w:rFonts w:eastAsia="Quattrocento Sans"/>
          <w:b/>
          <w:lang w:eastAsia="zh-CN"/>
        </w:rPr>
      </w:pPr>
      <w:r>
        <w:br w:type="page"/>
      </w:r>
    </w:p>
    <w:p w14:paraId="2F262523" w14:textId="6B238F88" w:rsidR="007C59E0" w:rsidRPr="00D90320" w:rsidRDefault="00D90320" w:rsidP="007C59E0">
      <w:pPr>
        <w:pStyle w:val="Caption"/>
        <w:rPr>
          <w:lang w:val="vi-VN"/>
        </w:rPr>
      </w:pPr>
      <w:r>
        <w:lastRenderedPageBreak/>
        <w:t>Hình</w:t>
      </w:r>
      <w:r>
        <w:rPr>
          <w:lang w:val="vi-VN"/>
        </w:rPr>
        <w:t xml:space="preserve"> 1: Khung Chiến lược cho Lộ trình tiêu chuẩn Thương mại Số ASEAN (ASEAN DTS Roadmap)</w:t>
      </w:r>
    </w:p>
    <w:p w14:paraId="488D89F4" w14:textId="2FE5B45E" w:rsidR="008113DB" w:rsidRPr="008113DB" w:rsidRDefault="008113DB" w:rsidP="00E92F8E">
      <w:pPr>
        <w:ind w:left="360"/>
        <w:jc w:val="center"/>
        <w:rPr>
          <w:lang w:val="vi-VN" w:eastAsia="zh-CN"/>
        </w:rPr>
      </w:pPr>
      <w:r>
        <w:rPr>
          <w:noProof/>
        </w:rPr>
        <w:drawing>
          <wp:inline distT="0" distB="0" distL="0" distR="0" wp14:anchorId="3A8174C6" wp14:editId="1D39A24A">
            <wp:extent cx="6178902" cy="7699598"/>
            <wp:effectExtent l="0" t="0" r="0" b="0"/>
            <wp:docPr id="68945541" name="Picture 1" descr="ASEAN Digital Trade Standards Road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EAN Digital Trade Standards Roadm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0691" cy="7714288"/>
                    </a:xfrm>
                    <a:prstGeom prst="rect">
                      <a:avLst/>
                    </a:prstGeom>
                    <a:noFill/>
                    <a:ln>
                      <a:noFill/>
                    </a:ln>
                  </pic:spPr>
                </pic:pic>
              </a:graphicData>
            </a:graphic>
          </wp:inline>
        </w:drawing>
      </w:r>
    </w:p>
    <w:p w14:paraId="65C309B6" w14:textId="4402248E" w:rsidR="007C59E0" w:rsidRPr="00D90320" w:rsidRDefault="00D90320" w:rsidP="00E92F8E">
      <w:pPr>
        <w:spacing w:after="0"/>
        <w:jc w:val="left"/>
        <w:rPr>
          <w:i/>
          <w:sz w:val="20"/>
          <w:szCs w:val="20"/>
          <w:lang w:val="vi-VN"/>
        </w:rPr>
      </w:pPr>
      <w:r>
        <w:rPr>
          <w:i/>
          <w:sz w:val="20"/>
          <w:szCs w:val="20"/>
        </w:rPr>
        <w:lastRenderedPageBreak/>
        <w:t>Nguồn</w:t>
      </w:r>
      <w:r>
        <w:rPr>
          <w:i/>
          <w:sz w:val="20"/>
          <w:szCs w:val="20"/>
          <w:lang w:val="vi-VN"/>
        </w:rPr>
        <w:t>: Phân tích của Access Partnership</w:t>
      </w:r>
    </w:p>
    <w:p w14:paraId="64ACF5C2" w14:textId="00EE7166" w:rsidR="007C59E0" w:rsidRPr="00516087" w:rsidRDefault="00D90320" w:rsidP="00BC4BE7">
      <w:pPr>
        <w:pStyle w:val="Heading2"/>
        <w:rPr>
          <w:b/>
          <w:lang w:val="en-GB"/>
        </w:rPr>
      </w:pPr>
      <w:bookmarkStart w:id="3" w:name="_Toc177671511"/>
      <w:bookmarkStart w:id="4" w:name="_Toc177672207"/>
      <w:bookmarkStart w:id="5" w:name="_Toc177677785"/>
      <w:bookmarkStart w:id="6" w:name="_Toc177671512"/>
      <w:bookmarkStart w:id="7" w:name="_Toc177672208"/>
      <w:bookmarkStart w:id="8" w:name="_Toc177677786"/>
      <w:bookmarkStart w:id="9" w:name="_Toc177671513"/>
      <w:bookmarkStart w:id="10" w:name="_Toc177672209"/>
      <w:bookmarkStart w:id="11" w:name="_Toc177677787"/>
      <w:bookmarkStart w:id="12" w:name="_Toc177671514"/>
      <w:bookmarkStart w:id="13" w:name="_Toc177672210"/>
      <w:bookmarkStart w:id="14" w:name="_Toc177677788"/>
      <w:bookmarkStart w:id="15" w:name="_Toc177671515"/>
      <w:bookmarkStart w:id="16" w:name="_Toc177672211"/>
      <w:bookmarkStart w:id="17" w:name="_Toc177677789"/>
      <w:bookmarkStart w:id="18" w:name="_Toc177671516"/>
      <w:bookmarkStart w:id="19" w:name="_Toc177672212"/>
      <w:bookmarkStart w:id="20" w:name="_Toc177677790"/>
      <w:bookmarkStart w:id="21" w:name="_Toc177671517"/>
      <w:bookmarkStart w:id="22" w:name="_Toc177672213"/>
      <w:bookmarkStart w:id="23" w:name="_Toc177677791"/>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Pr>
          <w:b/>
          <w:lang w:val="en-GB"/>
        </w:rPr>
        <w:t>Mục</w:t>
      </w:r>
      <w:r>
        <w:rPr>
          <w:b/>
          <w:lang w:val="vi-VN"/>
        </w:rPr>
        <w:t xml:space="preserve"> tiêu cho các lĩnh vực thương mại </w:t>
      </w:r>
      <w:r w:rsidR="00616696">
        <w:rPr>
          <w:b/>
          <w:lang w:val="vi-VN"/>
        </w:rPr>
        <w:t>số</w:t>
      </w:r>
      <w:r>
        <w:rPr>
          <w:b/>
          <w:lang w:val="vi-VN"/>
        </w:rPr>
        <w:t xml:space="preserve"> chính </w:t>
      </w:r>
    </w:p>
    <w:p w14:paraId="4C2D9BEE" w14:textId="2D29D12C" w:rsidR="007371FA" w:rsidRPr="00516087" w:rsidRDefault="00956DFA" w:rsidP="007C59E0">
      <w:pPr>
        <w:rPr>
          <w:lang w:eastAsia="zh-CN"/>
        </w:rPr>
      </w:pPr>
      <w:r w:rsidRPr="00956DFA">
        <w:rPr>
          <w:lang w:eastAsia="zh-CN"/>
        </w:rPr>
        <w:t xml:space="preserve">Các tiêu chuẩn đóng vai trò quan trọng trong việc thúc đẩy thương mại </w:t>
      </w:r>
      <w:r w:rsidR="00616696">
        <w:rPr>
          <w:lang w:eastAsia="zh-CN"/>
        </w:rPr>
        <w:t>số</w:t>
      </w:r>
      <w:r w:rsidRPr="00956DFA">
        <w:rPr>
          <w:lang w:eastAsia="zh-CN"/>
        </w:rPr>
        <w:t xml:space="preserve"> ở bốn lĩnh vực chính, cụ thể</w:t>
      </w:r>
      <w:r w:rsidR="007371FA" w:rsidRPr="00516087">
        <w:rPr>
          <w:lang w:eastAsia="zh-CN"/>
        </w:rPr>
        <w:t xml:space="preserve">: </w:t>
      </w:r>
    </w:p>
    <w:p w14:paraId="76925D93" w14:textId="354C026B" w:rsidR="00B2337D" w:rsidRPr="00516087" w:rsidRDefault="00956DFA" w:rsidP="00E24CA3">
      <w:pPr>
        <w:pStyle w:val="ListParagraph"/>
        <w:numPr>
          <w:ilvl w:val="0"/>
          <w:numId w:val="45"/>
        </w:numPr>
        <w:rPr>
          <w:rFonts w:ascii="Arial" w:hAnsi="Arial"/>
          <w:lang w:val="en-GB" w:eastAsia="zh-CN"/>
        </w:rPr>
      </w:pPr>
      <w:r w:rsidRPr="00956DFA">
        <w:rPr>
          <w:rFonts w:ascii="Arial" w:hAnsi="Arial"/>
          <w:b/>
          <w:bCs/>
          <w:lang w:val="en-GB" w:eastAsia="zh-CN"/>
        </w:rPr>
        <w:t xml:space="preserve">Logistics và giao nhận </w:t>
      </w:r>
      <w:r w:rsidR="00616696">
        <w:rPr>
          <w:rFonts w:ascii="Arial" w:hAnsi="Arial"/>
          <w:b/>
          <w:bCs/>
          <w:lang w:val="en-GB" w:eastAsia="zh-CN"/>
        </w:rPr>
        <w:t>số</w:t>
      </w:r>
      <w:r w:rsidRPr="00956DFA">
        <w:rPr>
          <w:rFonts w:ascii="Arial" w:hAnsi="Arial"/>
          <w:lang w:val="en-GB" w:eastAsia="zh-CN"/>
        </w:rPr>
        <w:t>, bao gồm giao hàng chặng cuối, khung pháp lý hải quan, và đảm bảo giao dịch;</w:t>
      </w:r>
    </w:p>
    <w:p w14:paraId="1A6FFA5D" w14:textId="33B3DF2B" w:rsidR="007371FA" w:rsidRPr="00516087" w:rsidRDefault="00956DFA" w:rsidP="00E24CA3">
      <w:pPr>
        <w:pStyle w:val="ListParagraph"/>
        <w:numPr>
          <w:ilvl w:val="0"/>
          <w:numId w:val="45"/>
        </w:numPr>
        <w:rPr>
          <w:rFonts w:ascii="Arial" w:hAnsi="Arial"/>
          <w:lang w:val="en-GB" w:eastAsia="zh-CN"/>
        </w:rPr>
      </w:pPr>
      <w:r w:rsidRPr="00956DFA">
        <w:rPr>
          <w:rFonts w:ascii="Arial" w:hAnsi="Arial"/>
          <w:b/>
          <w:lang w:val="en-GB" w:eastAsia="zh-CN"/>
        </w:rPr>
        <w:t xml:space="preserve">Giao dịch </w:t>
      </w:r>
      <w:r w:rsidR="00616696">
        <w:rPr>
          <w:rFonts w:ascii="Arial" w:hAnsi="Arial"/>
          <w:b/>
          <w:lang w:val="en-GB" w:eastAsia="zh-CN"/>
        </w:rPr>
        <w:t>số</w:t>
      </w:r>
      <w:r w:rsidRPr="00956DFA">
        <w:rPr>
          <w:rFonts w:ascii="Arial" w:hAnsi="Arial"/>
          <w:bCs/>
          <w:lang w:val="en-GB" w:eastAsia="zh-CN"/>
        </w:rPr>
        <w:t xml:space="preserve">, bao gồm thương mại điện tử xuyên biên giới, hóa đơn điện tử, và thanh toán </w:t>
      </w:r>
      <w:r w:rsidR="00616696">
        <w:rPr>
          <w:rFonts w:ascii="Arial" w:hAnsi="Arial"/>
          <w:bCs/>
          <w:lang w:val="en-GB" w:eastAsia="zh-CN"/>
        </w:rPr>
        <w:t>số</w:t>
      </w:r>
      <w:r w:rsidR="00CF124A" w:rsidRPr="00516087">
        <w:rPr>
          <w:rFonts w:ascii="Arial" w:hAnsi="Arial"/>
          <w:lang w:val="en-GB" w:eastAsia="zh-CN"/>
        </w:rPr>
        <w:t>;</w:t>
      </w:r>
    </w:p>
    <w:p w14:paraId="6301E6E2" w14:textId="658F3165" w:rsidR="00605C90" w:rsidRPr="00516087" w:rsidRDefault="003857CB" w:rsidP="00E24CA3">
      <w:pPr>
        <w:pStyle w:val="ListParagraph"/>
        <w:numPr>
          <w:ilvl w:val="0"/>
          <w:numId w:val="45"/>
        </w:numPr>
        <w:rPr>
          <w:rFonts w:ascii="Arial" w:hAnsi="Arial"/>
          <w:lang w:val="en-GB" w:eastAsia="zh-CN"/>
        </w:rPr>
      </w:pPr>
      <w:r w:rsidRPr="003857CB">
        <w:rPr>
          <w:rFonts w:ascii="Arial" w:hAnsi="Arial"/>
          <w:b/>
          <w:lang w:val="en-GB" w:eastAsia="zh-CN"/>
        </w:rPr>
        <w:t xml:space="preserve">Niềm tin </w:t>
      </w:r>
      <w:r w:rsidR="00616696">
        <w:rPr>
          <w:rFonts w:ascii="Arial" w:hAnsi="Arial"/>
          <w:b/>
          <w:lang w:val="en-GB" w:eastAsia="zh-CN"/>
        </w:rPr>
        <w:t>số</w:t>
      </w:r>
      <w:r w:rsidRPr="003857CB">
        <w:rPr>
          <w:rFonts w:ascii="Arial" w:hAnsi="Arial"/>
          <w:bCs/>
          <w:lang w:val="en-GB" w:eastAsia="zh-CN"/>
        </w:rPr>
        <w:t xml:space="preserve">, bao gồm nhận dạng </w:t>
      </w:r>
      <w:r w:rsidR="00616696">
        <w:rPr>
          <w:rFonts w:ascii="Arial" w:hAnsi="Arial"/>
          <w:bCs/>
          <w:lang w:val="en-GB" w:eastAsia="zh-CN"/>
        </w:rPr>
        <w:t>số</w:t>
      </w:r>
      <w:r w:rsidRPr="003857CB">
        <w:rPr>
          <w:rFonts w:ascii="Arial" w:hAnsi="Arial"/>
          <w:bCs/>
          <w:lang w:val="en-GB" w:eastAsia="zh-CN"/>
        </w:rPr>
        <w:t xml:space="preserve"> (ID) và xác thực, an ninh mạng, an toàn trực tuyến (bao gồm bảo vệ người tiêu dùng), và bảo vệ dữ liệu và quyền riêng tư xuyên biên giới;</w:t>
      </w:r>
      <w:r w:rsidR="00CF124A" w:rsidRPr="00516087">
        <w:rPr>
          <w:rFonts w:ascii="Arial" w:hAnsi="Arial"/>
          <w:lang w:val="en-GB" w:eastAsia="zh-CN"/>
        </w:rPr>
        <w:t xml:space="preserve"> </w:t>
      </w:r>
      <w:r>
        <w:rPr>
          <w:rFonts w:ascii="Arial" w:hAnsi="Arial"/>
          <w:lang w:val="en-GB" w:eastAsia="zh-CN"/>
        </w:rPr>
        <w:t>và</w:t>
      </w:r>
    </w:p>
    <w:p w14:paraId="33E38B06" w14:textId="29AE982B" w:rsidR="00E9213C" w:rsidRPr="00516087" w:rsidRDefault="003857CB" w:rsidP="00E24CA3">
      <w:pPr>
        <w:pStyle w:val="ListParagraph"/>
        <w:numPr>
          <w:ilvl w:val="0"/>
          <w:numId w:val="45"/>
        </w:numPr>
        <w:rPr>
          <w:rFonts w:ascii="Arial" w:hAnsi="Arial"/>
          <w:lang w:val="en-GB" w:eastAsia="zh-CN"/>
        </w:rPr>
      </w:pPr>
      <w:r w:rsidRPr="003857CB">
        <w:rPr>
          <w:rFonts w:ascii="Arial" w:hAnsi="Arial"/>
          <w:b/>
          <w:lang w:val="en-GB" w:eastAsia="zh-CN"/>
        </w:rPr>
        <w:t xml:space="preserve">Hợp tác về các chủ đề mới nổi, </w:t>
      </w:r>
      <w:r w:rsidRPr="003857CB">
        <w:rPr>
          <w:rFonts w:ascii="Arial" w:hAnsi="Arial"/>
          <w:bCs/>
          <w:lang w:val="en-GB" w:eastAsia="zh-CN"/>
        </w:rPr>
        <w:t>bao gồm trí tuệ nhân tạo (AI), blockchain, và điện toán đám mây</w:t>
      </w:r>
      <w:r w:rsidR="00977B98" w:rsidRPr="00516087">
        <w:rPr>
          <w:rFonts w:ascii="Arial" w:hAnsi="Arial"/>
          <w:lang w:val="en-GB" w:eastAsia="zh-CN"/>
        </w:rPr>
        <w:t xml:space="preserve">. </w:t>
      </w:r>
    </w:p>
    <w:p w14:paraId="53537C63" w14:textId="560C9299" w:rsidR="00D462D0" w:rsidRDefault="006D2382" w:rsidP="00977B98">
      <w:pPr>
        <w:rPr>
          <w:lang w:eastAsia="zh-CN"/>
        </w:rPr>
      </w:pPr>
      <w:r w:rsidRPr="006D2382">
        <w:rPr>
          <w:lang w:eastAsia="zh-CN"/>
        </w:rPr>
        <w:t xml:space="preserve">Để xác định các lĩnh vực mà ASEAN nên ưu tiên hài hòa tiêu chuẩn, bốn yếu tố chính đã được xem xét: Tác động tiềm năng của các tiêu chuẩn đối với thương mại </w:t>
      </w:r>
      <w:r w:rsidR="00616696">
        <w:rPr>
          <w:lang w:eastAsia="zh-CN"/>
        </w:rPr>
        <w:t>số</w:t>
      </w:r>
      <w:r w:rsidRPr="006D2382">
        <w:rPr>
          <w:lang w:eastAsia="zh-CN"/>
        </w:rPr>
        <w:t xml:space="preserve"> của ASEAN (bao gồm cả khía cạnh bao trùm xã hội); Khả năng thương mại và mức độ quan tâm; Sự phù hợp với các sáng kiến của ASEAN và các thực hành quốc tế</w:t>
      </w:r>
      <w:r w:rsidR="005E2179" w:rsidRPr="005E2179">
        <w:t xml:space="preserve"> </w:t>
      </w:r>
      <w:r w:rsidR="005E2179" w:rsidRPr="005E2179">
        <w:rPr>
          <w:lang w:eastAsia="zh-CN"/>
        </w:rPr>
        <w:t>tốt</w:t>
      </w:r>
      <w:r w:rsidRPr="006D2382">
        <w:rPr>
          <w:lang w:eastAsia="zh-CN"/>
        </w:rPr>
        <w:t xml:space="preserve">; Tình trạng áp dụng tiêu chuẩn trong các quốc gia thành viên ASEAN (AMS). Dựa trên các cân nhắc này, việc áp dụng, hài hòa và triển khai tiêu chuẩn được khuyến nghị ưu tiên nhằm đạt được các mục tiêu sau cho từng lĩnh vực thương mại </w:t>
      </w:r>
      <w:r w:rsidR="00616696">
        <w:rPr>
          <w:lang w:eastAsia="zh-CN"/>
        </w:rPr>
        <w:t>số</w:t>
      </w:r>
      <w:r w:rsidR="00B9486C">
        <w:rPr>
          <w:lang w:eastAsia="zh-CN"/>
        </w:rPr>
        <w:t xml:space="preserve">: </w:t>
      </w:r>
    </w:p>
    <w:p w14:paraId="0CCBC689" w14:textId="5FBFB85B" w:rsidR="00071E1D" w:rsidRPr="006D2382" w:rsidRDefault="006D2382" w:rsidP="00071E1D">
      <w:pPr>
        <w:pStyle w:val="Caption"/>
        <w:rPr>
          <w:lang w:val="vi-VN"/>
        </w:rPr>
      </w:pPr>
      <w:r>
        <w:t>Bảng</w:t>
      </w:r>
      <w:r>
        <w:rPr>
          <w:lang w:val="vi-VN"/>
        </w:rPr>
        <w:t xml:space="preserve"> </w:t>
      </w:r>
      <w:r w:rsidR="00274867">
        <w:t>1</w:t>
      </w:r>
      <w:r w:rsidR="00071E1D" w:rsidRPr="004F1D15">
        <w:t xml:space="preserve">. </w:t>
      </w:r>
      <w:r>
        <w:t>Mục</w:t>
      </w:r>
      <w:r>
        <w:rPr>
          <w:lang w:val="vi-VN"/>
        </w:rPr>
        <w:t xml:space="preserve"> tiêu cho các lĩnh vực thương mại </w:t>
      </w:r>
      <w:r w:rsidR="00616696">
        <w:rPr>
          <w:lang w:val="vi-VN"/>
        </w:rPr>
        <w:t>số</w:t>
      </w:r>
      <w:r>
        <w:rPr>
          <w:lang w:val="vi-VN"/>
        </w:rPr>
        <w:t xml:space="preserve"> chính</w:t>
      </w:r>
    </w:p>
    <w:tbl>
      <w:tblPr>
        <w:tblStyle w:val="ListTable3-Accent11"/>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363"/>
      </w:tblGrid>
      <w:tr w:rsidR="00071E1D" w:rsidRPr="00E61FF2" w14:paraId="621B0251" w14:textId="77777777" w:rsidTr="00CD6D2A">
        <w:trPr>
          <w:cnfStyle w:val="100000000000" w:firstRow="1" w:lastRow="0" w:firstColumn="0" w:lastColumn="0" w:oddVBand="0" w:evenVBand="0" w:oddHBand="0" w:evenHBand="0" w:firstRowFirstColumn="0" w:firstRowLastColumn="0" w:lastRowFirstColumn="0" w:lastRowLastColumn="0"/>
          <w:trHeight w:val="650"/>
        </w:trPr>
        <w:tc>
          <w:tcPr>
            <w:cnfStyle w:val="001000000100" w:firstRow="0" w:lastRow="0" w:firstColumn="1" w:lastColumn="0" w:oddVBand="0" w:evenVBand="0" w:oddHBand="0" w:evenHBand="0" w:firstRowFirstColumn="1" w:firstRowLastColumn="0" w:lastRowFirstColumn="0" w:lastRowLastColumn="0"/>
            <w:tcW w:w="2547" w:type="dxa"/>
            <w:shd w:val="clear" w:color="auto" w:fill="002060"/>
            <w:vAlign w:val="center"/>
          </w:tcPr>
          <w:p w14:paraId="008C3AB5" w14:textId="66DA1C15" w:rsidR="00071E1D" w:rsidRPr="008056C1" w:rsidRDefault="008056C1" w:rsidP="00B40469">
            <w:pPr>
              <w:spacing w:line="276" w:lineRule="auto"/>
              <w:jc w:val="left"/>
              <w:rPr>
                <w:lang w:val="vi-VN"/>
              </w:rPr>
            </w:pPr>
            <w:r>
              <w:t>Lĩnh</w:t>
            </w:r>
            <w:r>
              <w:rPr>
                <w:lang w:val="vi-VN"/>
              </w:rPr>
              <w:t xml:space="preserve"> vực Thương mại </w:t>
            </w:r>
            <w:r w:rsidR="00616696">
              <w:rPr>
                <w:lang w:val="vi-VN"/>
              </w:rPr>
              <w:t>Số</w:t>
            </w:r>
            <w:r>
              <w:rPr>
                <w:lang w:val="vi-VN"/>
              </w:rPr>
              <w:t xml:space="preserve"> và các lĩnh vực phụ</w:t>
            </w:r>
          </w:p>
        </w:tc>
        <w:tc>
          <w:tcPr>
            <w:tcW w:w="8363" w:type="dxa"/>
            <w:shd w:val="clear" w:color="auto" w:fill="002060"/>
            <w:vAlign w:val="center"/>
          </w:tcPr>
          <w:p w14:paraId="1EB4E96E" w14:textId="4FC5D793" w:rsidR="00071E1D" w:rsidRPr="008056C1" w:rsidRDefault="008056C1" w:rsidP="00B40469">
            <w:pPr>
              <w:spacing w:line="276" w:lineRule="auto"/>
              <w:jc w:val="left"/>
              <w:cnfStyle w:val="100000000000" w:firstRow="1" w:lastRow="0" w:firstColumn="0" w:lastColumn="0" w:oddVBand="0" w:evenVBand="0" w:oddHBand="0" w:evenHBand="0" w:firstRowFirstColumn="0" w:firstRowLastColumn="0" w:lastRowFirstColumn="0" w:lastRowLastColumn="0"/>
              <w:rPr>
                <w:lang w:val="vi-VN"/>
              </w:rPr>
            </w:pPr>
            <w:r>
              <w:t>Mục</w:t>
            </w:r>
            <w:r>
              <w:rPr>
                <w:lang w:val="vi-VN"/>
              </w:rPr>
              <w:t xml:space="preserve"> tiêu cuối cùng</w:t>
            </w:r>
          </w:p>
        </w:tc>
      </w:tr>
      <w:tr w:rsidR="00071E1D" w:rsidRPr="00E61FF2" w14:paraId="5F903ED5" w14:textId="77777777" w:rsidTr="00A063F7">
        <w:trPr>
          <w:cnfStyle w:val="000000100000" w:firstRow="0" w:lastRow="0" w:firstColumn="0" w:lastColumn="0" w:oddVBand="0" w:evenVBand="0" w:oddHBand="1" w:evenHBand="0" w:firstRowFirstColumn="0" w:firstRowLastColumn="0" w:lastRowFirstColumn="0" w:lastRowLastColumn="0"/>
          <w:trHeight w:val="1054"/>
        </w:trPr>
        <w:tc>
          <w:tcPr>
            <w:cnfStyle w:val="001000000000" w:firstRow="0" w:lastRow="0" w:firstColumn="1" w:lastColumn="0" w:oddVBand="0" w:evenVBand="0" w:oddHBand="0" w:evenHBand="0" w:firstRowFirstColumn="0" w:firstRowLastColumn="0" w:lastRowFirstColumn="0" w:lastRowLastColumn="0"/>
            <w:tcW w:w="2547" w:type="dxa"/>
            <w:shd w:val="clear" w:color="auto" w:fill="BDD6EE" w:themeFill="accent5" w:themeFillTint="66"/>
          </w:tcPr>
          <w:p w14:paraId="4C854C94" w14:textId="0B0E6C4B" w:rsidR="00071E1D" w:rsidRPr="008056C1" w:rsidRDefault="002434B8" w:rsidP="00B40469">
            <w:pPr>
              <w:spacing w:line="276" w:lineRule="auto"/>
              <w:jc w:val="left"/>
              <w:rPr>
                <w:lang w:val="vi-VN"/>
              </w:rPr>
            </w:pPr>
            <w:r w:rsidRPr="00E61FF2">
              <w:t xml:space="preserve">1. </w:t>
            </w:r>
            <w:r w:rsidR="008056C1">
              <w:t>Logistics</w:t>
            </w:r>
            <w:r w:rsidR="008056C1">
              <w:rPr>
                <w:lang w:val="vi-VN"/>
              </w:rPr>
              <w:t xml:space="preserve"> và giao nhận </w:t>
            </w:r>
            <w:r w:rsidR="00616696">
              <w:rPr>
                <w:lang w:val="vi-VN"/>
              </w:rPr>
              <w:t>Số</w:t>
            </w:r>
          </w:p>
        </w:tc>
        <w:tc>
          <w:tcPr>
            <w:tcW w:w="8363" w:type="dxa"/>
            <w:shd w:val="clear" w:color="auto" w:fill="BDD6EE" w:themeFill="accent5" w:themeFillTint="66"/>
          </w:tcPr>
          <w:p w14:paraId="30D79542" w14:textId="6418A187" w:rsidR="00071E1D" w:rsidRPr="00516087" w:rsidRDefault="00A66958" w:rsidP="00432A1A">
            <w:pPr>
              <w:pStyle w:val="ListParagraph"/>
              <w:spacing w:after="0"/>
              <w:ind w:left="406"/>
              <w:cnfStyle w:val="000000100000" w:firstRow="0" w:lastRow="0" w:firstColumn="0" w:lastColumn="0" w:oddVBand="0" w:evenVBand="0" w:oddHBand="1" w:evenHBand="0" w:firstRowFirstColumn="0" w:firstRowLastColumn="0" w:lastRowFirstColumn="0" w:lastRowLastColumn="0"/>
              <w:rPr>
                <w:rFonts w:ascii="Arial" w:eastAsia="DengXian" w:hAnsi="Arial"/>
                <w:lang w:val="en-GB"/>
              </w:rPr>
            </w:pPr>
            <w:r>
              <w:rPr>
                <w:rFonts w:ascii="Arial" w:eastAsia="DengXian" w:hAnsi="Arial"/>
                <w:lang w:val="en-GB"/>
              </w:rPr>
              <w:t>Phát triển thế hệ mới của ASEAN Single Window để cho phép trao đổi điện tử các tài liệu liên quan đến thương mại xuyên biên giới giữa các quốc gia thành viên ASEAN (AMS)</w:t>
            </w:r>
            <w:r w:rsidR="00071E1D" w:rsidRPr="00E61FF2">
              <w:rPr>
                <w:rStyle w:val="FootnoteReference"/>
                <w:rFonts w:ascii="Arial" w:hAnsi="Arial"/>
                <w:lang w:val="en-GB"/>
              </w:rPr>
              <w:footnoteReference w:id="2"/>
            </w:r>
          </w:p>
        </w:tc>
      </w:tr>
      <w:tr w:rsidR="00071E1D" w:rsidRPr="00E61FF2" w14:paraId="1AB20E9C" w14:textId="77777777" w:rsidTr="00A063F7">
        <w:trPr>
          <w:trHeight w:val="425"/>
        </w:trPr>
        <w:tc>
          <w:tcPr>
            <w:cnfStyle w:val="001000000000" w:firstRow="0" w:lastRow="0" w:firstColumn="1" w:lastColumn="0" w:oddVBand="0" w:evenVBand="0" w:oddHBand="0" w:evenHBand="0" w:firstRowFirstColumn="0" w:firstRowLastColumn="0" w:lastRowFirstColumn="0" w:lastRowLastColumn="0"/>
            <w:tcW w:w="2547" w:type="dxa"/>
          </w:tcPr>
          <w:p w14:paraId="7CE4CA93" w14:textId="0E16C0E2" w:rsidR="00071E1D" w:rsidRPr="00D170F3" w:rsidRDefault="002434B8" w:rsidP="00B40469">
            <w:pPr>
              <w:spacing w:line="276" w:lineRule="auto"/>
              <w:jc w:val="left"/>
              <w:rPr>
                <w:b w:val="0"/>
                <w:i/>
              </w:rPr>
            </w:pPr>
            <w:r w:rsidRPr="00D170F3">
              <w:rPr>
                <w:b w:val="0"/>
                <w:i/>
              </w:rPr>
              <w:t xml:space="preserve">1.1 </w:t>
            </w:r>
            <w:r w:rsidR="00A66958">
              <w:rPr>
                <w:b w:val="0"/>
                <w:i/>
              </w:rPr>
              <w:t>Giao hàng chặng cuối</w:t>
            </w:r>
            <w:r w:rsidR="00071E1D" w:rsidRPr="00D170F3">
              <w:rPr>
                <w:b w:val="0"/>
                <w:i/>
              </w:rPr>
              <w:t xml:space="preserve"> </w:t>
            </w:r>
          </w:p>
        </w:tc>
        <w:tc>
          <w:tcPr>
            <w:tcW w:w="8363" w:type="dxa"/>
          </w:tcPr>
          <w:p w14:paraId="703C51DA" w14:textId="0A44748F" w:rsidR="00071E1D" w:rsidRPr="00516087" w:rsidRDefault="00A66958" w:rsidP="00432A1A">
            <w:pPr>
              <w:pStyle w:val="ListParagraph"/>
              <w:spacing w:after="0"/>
              <w:ind w:left="406"/>
              <w:cnfStyle w:val="000000000000" w:firstRow="0" w:lastRow="0" w:firstColumn="0" w:lastColumn="0" w:oddVBand="0" w:evenVBand="0" w:oddHBand="0" w:evenHBand="0" w:firstRowFirstColumn="0" w:firstRowLastColumn="0" w:lastRowFirstColumn="0" w:lastRowLastColumn="0"/>
              <w:rPr>
                <w:rFonts w:ascii="Arial" w:eastAsia="DengXian" w:hAnsi="Arial"/>
                <w:lang w:val="en-GB"/>
              </w:rPr>
            </w:pPr>
            <w:r>
              <w:rPr>
                <w:rFonts w:ascii="Arial" w:eastAsia="DengXian" w:hAnsi="Arial"/>
                <w:lang w:val="en-GB"/>
              </w:rPr>
              <w:t>Phát triển Khung giao hàng chặng cuối ASEAN</w:t>
            </w:r>
          </w:p>
        </w:tc>
      </w:tr>
      <w:tr w:rsidR="00071E1D" w:rsidRPr="00E61FF2" w14:paraId="45ED9FA2" w14:textId="77777777" w:rsidTr="00276677">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2547" w:type="dxa"/>
          </w:tcPr>
          <w:p w14:paraId="53B4870C" w14:textId="0E0BB36B" w:rsidR="00071E1D" w:rsidRPr="00D170F3" w:rsidRDefault="002434B8" w:rsidP="00B40469">
            <w:pPr>
              <w:spacing w:line="276" w:lineRule="auto"/>
              <w:jc w:val="left"/>
              <w:rPr>
                <w:b w:val="0"/>
                <w:i/>
              </w:rPr>
            </w:pPr>
            <w:r w:rsidRPr="00D170F3">
              <w:rPr>
                <w:b w:val="0"/>
                <w:i/>
              </w:rPr>
              <w:t xml:space="preserve">1.2 </w:t>
            </w:r>
            <w:r w:rsidR="00123304">
              <w:rPr>
                <w:b w:val="0"/>
                <w:i/>
              </w:rPr>
              <w:t>Khung pháp lý Hải quan</w:t>
            </w:r>
          </w:p>
        </w:tc>
        <w:tc>
          <w:tcPr>
            <w:tcW w:w="8363" w:type="dxa"/>
          </w:tcPr>
          <w:p w14:paraId="4FADC700" w14:textId="17F4A4D2" w:rsidR="00071E1D" w:rsidRPr="00516087" w:rsidRDefault="00123304" w:rsidP="00432A1A">
            <w:pPr>
              <w:pStyle w:val="ListParagraph"/>
              <w:spacing w:after="0"/>
              <w:ind w:left="406"/>
              <w:cnfStyle w:val="000000100000" w:firstRow="0" w:lastRow="0" w:firstColumn="0" w:lastColumn="0" w:oddVBand="0" w:evenVBand="0" w:oddHBand="1" w:evenHBand="0" w:firstRowFirstColumn="0" w:firstRowLastColumn="0" w:lastRowFirstColumn="0" w:lastRowLastColumn="0"/>
              <w:rPr>
                <w:rFonts w:ascii="Arial" w:eastAsia="DengXian" w:hAnsi="Arial"/>
                <w:lang w:val="en-GB"/>
              </w:rPr>
            </w:pPr>
            <w:r>
              <w:rPr>
                <w:rFonts w:ascii="Arial" w:eastAsia="DengXian" w:hAnsi="Arial"/>
                <w:lang w:val="en-GB"/>
              </w:rPr>
              <w:t>Phát triển thế hệ mới của ASEAN Single Window</w:t>
            </w:r>
            <w:r w:rsidR="005E2179">
              <w:rPr>
                <w:rFonts w:ascii="Arial" w:eastAsia="DengXian" w:hAnsi="Arial"/>
                <w:lang w:val="en-GB"/>
              </w:rPr>
              <w:t xml:space="preserve"> (Một cửa ASEAN)</w:t>
            </w:r>
            <w:r w:rsidR="00071E1D" w:rsidRPr="00E61FF2">
              <w:rPr>
                <w:rStyle w:val="FootnoteReference"/>
                <w:rFonts w:ascii="Arial" w:hAnsi="Arial"/>
                <w:lang w:val="en-GB"/>
              </w:rPr>
              <w:footnoteReference w:id="3"/>
            </w:r>
            <w:r w:rsidR="00071E1D" w:rsidRPr="00516087">
              <w:rPr>
                <w:rFonts w:ascii="Arial" w:eastAsia="DengXian" w:hAnsi="Arial"/>
                <w:lang w:val="en-GB"/>
              </w:rPr>
              <w:t xml:space="preserve"> </w:t>
            </w:r>
          </w:p>
          <w:p w14:paraId="22DC76D5" w14:textId="44FF3F07" w:rsidR="00071E1D" w:rsidRPr="001A3E23" w:rsidRDefault="00123304" w:rsidP="00432A1A">
            <w:pPr>
              <w:pStyle w:val="ListParagraph"/>
              <w:spacing w:after="0"/>
              <w:ind w:left="406"/>
              <w:cnfStyle w:val="000000100000" w:firstRow="0" w:lastRow="0" w:firstColumn="0" w:lastColumn="0" w:oddVBand="0" w:evenVBand="0" w:oddHBand="1" w:evenHBand="0" w:firstRowFirstColumn="0" w:firstRowLastColumn="0" w:lastRowFirstColumn="0" w:lastRowLastColumn="0"/>
              <w:rPr>
                <w:rFonts w:ascii="Arial" w:eastAsia="DengXian" w:hAnsi="Arial"/>
                <w:lang w:val="en-GB"/>
              </w:rPr>
            </w:pPr>
            <w:r>
              <w:rPr>
                <w:rFonts w:ascii="Arial" w:eastAsia="DengXian" w:hAnsi="Arial"/>
                <w:lang w:val="en-GB"/>
              </w:rPr>
              <w:t xml:space="preserve">Phát triển Hướng dẫn trao đổi thông tin về dữ liệu thương mại điện tử giữa </w:t>
            </w:r>
            <w:r w:rsidR="00D57CDF">
              <w:rPr>
                <w:rFonts w:ascii="Arial" w:eastAsia="DengXian" w:hAnsi="Arial"/>
                <w:lang w:val="en-GB"/>
              </w:rPr>
              <w:t>C</w:t>
            </w:r>
            <w:r>
              <w:rPr>
                <w:rFonts w:ascii="Arial" w:eastAsia="DengXian" w:hAnsi="Arial"/>
                <w:lang w:val="en-GB"/>
              </w:rPr>
              <w:t xml:space="preserve">ơ quan </w:t>
            </w:r>
            <w:r w:rsidR="00D57CDF">
              <w:rPr>
                <w:rFonts w:ascii="Arial" w:eastAsia="DengXian" w:hAnsi="Arial"/>
                <w:lang w:val="en-GB"/>
              </w:rPr>
              <w:t>H</w:t>
            </w:r>
            <w:r>
              <w:rPr>
                <w:rFonts w:ascii="Arial" w:eastAsia="DengXian" w:hAnsi="Arial"/>
                <w:lang w:val="en-GB"/>
              </w:rPr>
              <w:t xml:space="preserve">ải quan và </w:t>
            </w:r>
            <w:r w:rsidR="00D57CDF">
              <w:rPr>
                <w:rFonts w:ascii="Arial" w:eastAsia="DengXian" w:hAnsi="Arial"/>
                <w:lang w:val="en-GB"/>
              </w:rPr>
              <w:t>N</w:t>
            </w:r>
            <w:r>
              <w:rPr>
                <w:rFonts w:ascii="Arial" w:eastAsia="DengXian" w:hAnsi="Arial"/>
                <w:lang w:val="en-GB"/>
              </w:rPr>
              <w:t xml:space="preserve">hà </w:t>
            </w:r>
            <w:r w:rsidR="00D57CDF">
              <w:rPr>
                <w:rFonts w:ascii="Arial" w:eastAsia="DengXian" w:hAnsi="Arial"/>
                <w:lang w:val="en-GB"/>
              </w:rPr>
              <w:t>V</w:t>
            </w:r>
            <w:r>
              <w:rPr>
                <w:rFonts w:ascii="Arial" w:eastAsia="DengXian" w:hAnsi="Arial"/>
                <w:lang w:val="en-GB"/>
              </w:rPr>
              <w:t xml:space="preserve">ận hành </w:t>
            </w:r>
            <w:r w:rsidR="00D57CDF">
              <w:rPr>
                <w:rFonts w:ascii="Arial" w:eastAsia="DengXian" w:hAnsi="Arial"/>
                <w:lang w:val="en-GB"/>
              </w:rPr>
              <w:t>T</w:t>
            </w:r>
            <w:r>
              <w:rPr>
                <w:rFonts w:ascii="Arial" w:eastAsia="DengXian" w:hAnsi="Arial"/>
                <w:lang w:val="en-GB"/>
              </w:rPr>
              <w:t xml:space="preserve">hương mại </w:t>
            </w:r>
            <w:r w:rsidR="00D57CDF">
              <w:rPr>
                <w:rFonts w:ascii="Arial" w:eastAsia="DengXian" w:hAnsi="Arial"/>
                <w:lang w:val="en-GB"/>
              </w:rPr>
              <w:t>Đ</w:t>
            </w:r>
            <w:r>
              <w:rPr>
                <w:rFonts w:ascii="Arial" w:eastAsia="DengXian" w:hAnsi="Arial"/>
                <w:lang w:val="en-GB"/>
              </w:rPr>
              <w:t xml:space="preserve">iện tử </w:t>
            </w:r>
          </w:p>
          <w:p w14:paraId="58B83D90" w14:textId="0B4CF080" w:rsidR="00276677" w:rsidRPr="00516087" w:rsidRDefault="005E2179" w:rsidP="00432A1A">
            <w:pPr>
              <w:pStyle w:val="ListParagraph"/>
              <w:spacing w:after="0"/>
              <w:ind w:left="406"/>
              <w:cnfStyle w:val="000000100000" w:firstRow="0" w:lastRow="0" w:firstColumn="0" w:lastColumn="0" w:oddVBand="0" w:evenVBand="0" w:oddHBand="1" w:evenHBand="0" w:firstRowFirstColumn="0" w:firstRowLastColumn="0" w:lastRowFirstColumn="0" w:lastRowLastColumn="0"/>
              <w:rPr>
                <w:rFonts w:ascii="Arial" w:eastAsia="DengXian" w:hAnsi="Arial"/>
                <w:lang w:val="en-GB"/>
              </w:rPr>
            </w:pPr>
            <w:r>
              <w:rPr>
                <w:rFonts w:ascii="Arial" w:eastAsia="DengXian" w:hAnsi="Arial"/>
                <w:lang w:val="en-GB"/>
              </w:rPr>
              <w:t xml:space="preserve">Nghiên cứu về </w:t>
            </w:r>
            <w:r w:rsidR="00276677" w:rsidRPr="00D53D68">
              <w:rPr>
                <w:rFonts w:ascii="Arial" w:eastAsia="DengXian" w:hAnsi="Arial"/>
                <w:lang w:val="en-GB"/>
              </w:rPr>
              <w:t xml:space="preserve">ACTS </w:t>
            </w:r>
            <w:r>
              <w:rPr>
                <w:rFonts w:ascii="Arial" w:eastAsia="DengXian" w:hAnsi="Arial"/>
                <w:lang w:val="en-GB"/>
              </w:rPr>
              <w:t xml:space="preserve">thế hệ mới </w:t>
            </w:r>
            <w:r w:rsidR="00276677" w:rsidRPr="00D53D68">
              <w:rPr>
                <w:rFonts w:ascii="Arial" w:eastAsia="DengXian" w:hAnsi="Arial"/>
                <w:lang w:val="en-GB"/>
              </w:rPr>
              <w:t xml:space="preserve">(ACTS 2.0) </w:t>
            </w:r>
            <w:r>
              <w:rPr>
                <w:rFonts w:ascii="Arial" w:eastAsia="DengXian" w:hAnsi="Arial"/>
                <w:lang w:val="en-GB"/>
              </w:rPr>
              <w:t>để nâng cấp hệ thống hiện hành</w:t>
            </w:r>
            <w:r w:rsidR="00276677" w:rsidRPr="00D53D68">
              <w:rPr>
                <w:rFonts w:ascii="Arial" w:eastAsia="DengXian" w:hAnsi="Arial"/>
                <w:lang w:val="en-GB"/>
              </w:rPr>
              <w:t xml:space="preserve">, </w:t>
            </w:r>
            <w:r>
              <w:rPr>
                <w:rFonts w:ascii="Arial" w:eastAsia="DengXian" w:hAnsi="Arial"/>
                <w:lang w:val="en-GB"/>
              </w:rPr>
              <w:t>tăng cường việc tận dụng và mở rộng sang các phương thức vận tải mới</w:t>
            </w:r>
            <w:r w:rsidR="00276677" w:rsidRPr="00D53D68">
              <w:rPr>
                <w:rFonts w:ascii="Arial" w:eastAsia="DengXian" w:hAnsi="Arial"/>
                <w:lang w:val="en-GB"/>
              </w:rPr>
              <w:t xml:space="preserve">, </w:t>
            </w:r>
            <w:r>
              <w:rPr>
                <w:rFonts w:ascii="Arial" w:eastAsia="DengXian" w:hAnsi="Arial"/>
                <w:lang w:val="en-GB"/>
              </w:rPr>
              <w:t>và xem xét tiềm năng mở rộng sang các nước quan tâm khác, nếu có thể</w:t>
            </w:r>
            <w:r w:rsidR="00276677" w:rsidRPr="00D53D68">
              <w:rPr>
                <w:rFonts w:ascii="Arial" w:eastAsia="DengXian" w:hAnsi="Arial"/>
                <w:lang w:val="en-GB"/>
              </w:rPr>
              <w:t>.</w:t>
            </w:r>
          </w:p>
        </w:tc>
      </w:tr>
      <w:tr w:rsidR="00071E1D" w:rsidRPr="00E61FF2" w14:paraId="32098B79" w14:textId="77777777" w:rsidTr="00A063F7">
        <w:trPr>
          <w:trHeight w:val="1367"/>
        </w:trPr>
        <w:tc>
          <w:tcPr>
            <w:cnfStyle w:val="001000000000" w:firstRow="0" w:lastRow="0" w:firstColumn="1" w:lastColumn="0" w:oddVBand="0" w:evenVBand="0" w:oddHBand="0" w:evenHBand="0" w:firstRowFirstColumn="0" w:firstRowLastColumn="0" w:lastRowFirstColumn="0" w:lastRowLastColumn="0"/>
            <w:tcW w:w="2547" w:type="dxa"/>
          </w:tcPr>
          <w:p w14:paraId="47C9B49A" w14:textId="79490A29" w:rsidR="00071E1D" w:rsidRPr="00D170F3" w:rsidRDefault="002434B8" w:rsidP="00B40469">
            <w:pPr>
              <w:spacing w:line="276" w:lineRule="auto"/>
              <w:jc w:val="left"/>
              <w:rPr>
                <w:b w:val="0"/>
                <w:i/>
              </w:rPr>
            </w:pPr>
            <w:r w:rsidRPr="00D170F3">
              <w:rPr>
                <w:b w:val="0"/>
                <w:i/>
              </w:rPr>
              <w:lastRenderedPageBreak/>
              <w:t xml:space="preserve">1.3 </w:t>
            </w:r>
            <w:r w:rsidR="00D57CDF">
              <w:rPr>
                <w:b w:val="0"/>
                <w:i/>
              </w:rPr>
              <w:t>Đảm bảo Giao dịch</w:t>
            </w:r>
          </w:p>
        </w:tc>
        <w:tc>
          <w:tcPr>
            <w:tcW w:w="8363" w:type="dxa"/>
          </w:tcPr>
          <w:p w14:paraId="20224EB7" w14:textId="216FFE46" w:rsidR="00071E1D" w:rsidRPr="00516087" w:rsidRDefault="00D57CDF" w:rsidP="00432A1A">
            <w:pPr>
              <w:pStyle w:val="ListParagraph"/>
              <w:spacing w:after="0"/>
              <w:ind w:left="406"/>
              <w:cnfStyle w:val="000000000000" w:firstRow="0" w:lastRow="0" w:firstColumn="0" w:lastColumn="0" w:oddVBand="0" w:evenVBand="0" w:oddHBand="0" w:evenHBand="0" w:firstRowFirstColumn="0" w:firstRowLastColumn="0" w:lastRowFirstColumn="0" w:lastRowLastColumn="0"/>
              <w:rPr>
                <w:rFonts w:ascii="Arial" w:eastAsia="DengXian" w:hAnsi="Arial"/>
                <w:lang w:val="en-GB"/>
              </w:rPr>
            </w:pPr>
            <w:r>
              <w:rPr>
                <w:rFonts w:ascii="Arial" w:eastAsia="DengXian" w:hAnsi="Arial"/>
                <w:lang w:val="en-GB"/>
              </w:rPr>
              <w:t>Tăng cường áp dụng tiêu chuẩn ISO/TC 321</w:t>
            </w:r>
            <w:r w:rsidR="005129C4">
              <w:rPr>
                <w:rFonts w:ascii="Arial" w:eastAsia="DengXian" w:hAnsi="Arial"/>
                <w:lang w:val="en-GB"/>
              </w:rPr>
              <w:t xml:space="preserve"> </w:t>
            </w:r>
            <w:r w:rsidR="005129C4">
              <w:rPr>
                <w:rFonts w:ascii="Arial" w:eastAsia="DengXian" w:hAnsi="Arial"/>
                <w:lang w:val="vi-VN"/>
              </w:rPr>
              <w:t>Đảm bảo giao dịch trong thương mại điện tử</w:t>
            </w:r>
            <w:r w:rsidR="00731EBA">
              <w:rPr>
                <w:rFonts w:ascii="Arial" w:eastAsia="DengXian" w:hAnsi="Arial"/>
                <w:lang w:val="en-GB"/>
              </w:rPr>
              <w:t xml:space="preserve"> bởi các AMS, cũng như đưa tiêu chuẩn này vào các đánh giá kế hoạch công tác tiếp theo của Kế hoạch thực hiện Hiệp định ASEAN về Thương mại Điện tử</w:t>
            </w:r>
          </w:p>
        </w:tc>
      </w:tr>
      <w:tr w:rsidR="00071E1D" w:rsidRPr="00CF2F5E" w14:paraId="54116AE9" w14:textId="77777777" w:rsidTr="00A063F7">
        <w:trPr>
          <w:cnfStyle w:val="000000100000" w:firstRow="0" w:lastRow="0" w:firstColumn="0" w:lastColumn="0" w:oddVBand="0" w:evenVBand="0" w:oddHBand="1" w:evenHBand="0" w:firstRowFirstColumn="0" w:firstRowLastColumn="0" w:lastRowFirstColumn="0" w:lastRowLastColumn="0"/>
          <w:trHeight w:val="1188"/>
        </w:trPr>
        <w:tc>
          <w:tcPr>
            <w:cnfStyle w:val="001000000000" w:firstRow="0" w:lastRow="0" w:firstColumn="1" w:lastColumn="0" w:oddVBand="0" w:evenVBand="0" w:oddHBand="0" w:evenHBand="0" w:firstRowFirstColumn="0" w:firstRowLastColumn="0" w:lastRowFirstColumn="0" w:lastRowLastColumn="0"/>
            <w:tcW w:w="2547" w:type="dxa"/>
            <w:shd w:val="clear" w:color="auto" w:fill="BDD6EE" w:themeFill="accent5" w:themeFillTint="66"/>
          </w:tcPr>
          <w:p w14:paraId="2FD8332D" w14:textId="61F2C674" w:rsidR="00071E1D" w:rsidRPr="005129C4" w:rsidRDefault="002434B8" w:rsidP="00B40469">
            <w:pPr>
              <w:spacing w:line="276" w:lineRule="auto"/>
              <w:jc w:val="left"/>
              <w:rPr>
                <w:lang w:val="vi-VN"/>
              </w:rPr>
            </w:pPr>
            <w:r w:rsidRPr="00E61FF2">
              <w:t xml:space="preserve">2. </w:t>
            </w:r>
            <w:r w:rsidR="005129C4">
              <w:t>Giao</w:t>
            </w:r>
            <w:r w:rsidR="005129C4">
              <w:rPr>
                <w:lang w:val="vi-VN"/>
              </w:rPr>
              <w:t xml:space="preserve"> dịch </w:t>
            </w:r>
            <w:r w:rsidR="00616696">
              <w:rPr>
                <w:lang w:val="vi-VN"/>
              </w:rPr>
              <w:t>số</w:t>
            </w:r>
          </w:p>
        </w:tc>
        <w:tc>
          <w:tcPr>
            <w:tcW w:w="8363" w:type="dxa"/>
            <w:shd w:val="clear" w:color="auto" w:fill="BDD6EE" w:themeFill="accent5" w:themeFillTint="66"/>
          </w:tcPr>
          <w:p w14:paraId="7DE6E226" w14:textId="408A1C6D" w:rsidR="008851AB" w:rsidRPr="008851AB" w:rsidRDefault="008851AB" w:rsidP="00432A1A">
            <w:pPr>
              <w:pStyle w:val="ListParagraph"/>
              <w:numPr>
                <w:ilvl w:val="0"/>
                <w:numId w:val="40"/>
              </w:numPr>
              <w:spacing w:after="0"/>
              <w:ind w:left="406"/>
              <w:cnfStyle w:val="000000100000" w:firstRow="0" w:lastRow="0" w:firstColumn="0" w:lastColumn="0" w:oddVBand="0" w:evenVBand="0" w:oddHBand="1" w:evenHBand="0" w:firstRowFirstColumn="0" w:firstRowLastColumn="0" w:lastRowFirstColumn="0" w:lastRowLastColumn="0"/>
              <w:rPr>
                <w:rFonts w:ascii="Arial" w:eastAsia="DengXian" w:hAnsi="Arial"/>
                <w:lang w:val="en-GB"/>
              </w:rPr>
            </w:pPr>
            <w:r w:rsidRPr="008851AB">
              <w:rPr>
                <w:rFonts w:asciiTheme="minorBidi" w:eastAsia="DengXian" w:hAnsiTheme="minorBidi" w:cstheme="minorBidi"/>
                <w:lang w:val="en-GB"/>
              </w:rPr>
              <w:t xml:space="preserve">Tăng cường áp dụng </w:t>
            </w:r>
            <w:r w:rsidR="00212B70">
              <w:rPr>
                <w:rFonts w:asciiTheme="minorBidi" w:eastAsia="DengXian" w:hAnsiTheme="minorBidi" w:cstheme="minorBidi"/>
                <w:lang w:val="en-GB"/>
              </w:rPr>
              <w:t xml:space="preserve">Luật mẫu của </w:t>
            </w:r>
            <w:r w:rsidRPr="008851AB">
              <w:rPr>
                <w:rFonts w:asciiTheme="minorBidi" w:eastAsia="DengXian" w:hAnsiTheme="minorBidi" w:cstheme="minorBidi"/>
                <w:lang w:val="en-GB"/>
              </w:rPr>
              <w:t xml:space="preserve">UNCITRAL </w:t>
            </w:r>
            <w:r w:rsidR="00212B70">
              <w:rPr>
                <w:rFonts w:asciiTheme="minorBidi" w:eastAsia="DengXian" w:hAnsiTheme="minorBidi" w:cstheme="minorBidi"/>
                <w:lang w:val="en-GB"/>
              </w:rPr>
              <w:t>về Thương mại điện tử</w:t>
            </w:r>
            <w:r w:rsidRPr="008851AB">
              <w:rPr>
                <w:rFonts w:asciiTheme="minorBidi" w:eastAsia="DengXian" w:hAnsiTheme="minorBidi" w:cstheme="minorBidi"/>
                <w:lang w:val="en-GB"/>
              </w:rPr>
              <w:t xml:space="preserve"> (MLEC) và </w:t>
            </w:r>
            <w:r w:rsidR="00212B70">
              <w:rPr>
                <w:rFonts w:asciiTheme="minorBidi" w:eastAsia="DengXian" w:hAnsiTheme="minorBidi" w:cstheme="minorBidi"/>
                <w:lang w:val="en-GB"/>
              </w:rPr>
              <w:t xml:space="preserve">Lưu trữ điện tử chuyển giao được </w:t>
            </w:r>
            <w:r w:rsidRPr="008851AB">
              <w:rPr>
                <w:rFonts w:asciiTheme="minorBidi" w:eastAsia="DengXian" w:hAnsiTheme="minorBidi" w:cstheme="minorBidi"/>
                <w:lang w:val="en-GB"/>
              </w:rPr>
              <w:t>MLETR), phù hợp với tiêu chuẩn Tạo thuận lợi thương mại WTO</w:t>
            </w:r>
          </w:p>
          <w:p w14:paraId="111E74AB" w14:textId="550536F1" w:rsidR="00071E1D" w:rsidRPr="00516087" w:rsidRDefault="008851AB" w:rsidP="00432A1A">
            <w:pPr>
              <w:pStyle w:val="ListParagraph"/>
              <w:numPr>
                <w:ilvl w:val="0"/>
                <w:numId w:val="40"/>
              </w:numPr>
              <w:spacing w:after="0"/>
              <w:ind w:left="406"/>
              <w:cnfStyle w:val="000000100000" w:firstRow="0" w:lastRow="0" w:firstColumn="0" w:lastColumn="0" w:oddVBand="0" w:evenVBand="0" w:oddHBand="1" w:evenHBand="0" w:firstRowFirstColumn="0" w:firstRowLastColumn="0" w:lastRowFirstColumn="0" w:lastRowLastColumn="0"/>
              <w:rPr>
                <w:rFonts w:ascii="Arial" w:eastAsia="DengXian" w:hAnsi="Arial"/>
                <w:lang w:val="en-GB"/>
              </w:rPr>
            </w:pPr>
            <w:r>
              <w:rPr>
                <w:rFonts w:ascii="Arial" w:eastAsia="DengXian" w:hAnsi="Arial"/>
                <w:lang w:val="en-GB"/>
              </w:rPr>
              <w:t>Tăng</w:t>
            </w:r>
            <w:r>
              <w:rPr>
                <w:rFonts w:ascii="Arial" w:eastAsia="DengXian" w:hAnsi="Arial"/>
                <w:lang w:val="vi-VN"/>
              </w:rPr>
              <w:t xml:space="preserve"> cường áp dụng các tiêu chuẩn tương thích cho thanh toán </w:t>
            </w:r>
            <w:r w:rsidR="00616696">
              <w:rPr>
                <w:rFonts w:ascii="Arial" w:eastAsia="DengXian" w:hAnsi="Arial"/>
                <w:lang w:val="vi-VN"/>
              </w:rPr>
              <w:t>số</w:t>
            </w:r>
          </w:p>
        </w:tc>
      </w:tr>
      <w:tr w:rsidR="00071E1D" w:rsidRPr="00E61FF2" w14:paraId="09D34D47" w14:textId="77777777" w:rsidTr="00A063F7">
        <w:trPr>
          <w:trHeight w:val="762"/>
        </w:trPr>
        <w:tc>
          <w:tcPr>
            <w:cnfStyle w:val="001000000000" w:firstRow="0" w:lastRow="0" w:firstColumn="1" w:lastColumn="0" w:oddVBand="0" w:evenVBand="0" w:oddHBand="0" w:evenHBand="0" w:firstRowFirstColumn="0" w:firstRowLastColumn="0" w:lastRowFirstColumn="0" w:lastRowLastColumn="0"/>
            <w:tcW w:w="2547" w:type="dxa"/>
          </w:tcPr>
          <w:p w14:paraId="24BA8E8B" w14:textId="77B3717C" w:rsidR="00071E1D" w:rsidRPr="00D170F3" w:rsidRDefault="002434B8" w:rsidP="00B40469">
            <w:pPr>
              <w:spacing w:line="276" w:lineRule="auto"/>
              <w:jc w:val="left"/>
              <w:rPr>
                <w:b w:val="0"/>
                <w:i/>
              </w:rPr>
            </w:pPr>
            <w:r w:rsidRPr="00D170F3">
              <w:rPr>
                <w:b w:val="0"/>
                <w:i/>
              </w:rPr>
              <w:t xml:space="preserve">2.1 </w:t>
            </w:r>
            <w:r w:rsidR="00CF2F5E">
              <w:rPr>
                <w:b w:val="0"/>
                <w:i/>
              </w:rPr>
              <w:t xml:space="preserve">Thương mại điện tử xuyên biên giới </w:t>
            </w:r>
          </w:p>
        </w:tc>
        <w:tc>
          <w:tcPr>
            <w:tcW w:w="8363" w:type="dxa"/>
          </w:tcPr>
          <w:p w14:paraId="23FB380D" w14:textId="0F6C5E14" w:rsidR="00071E1D" w:rsidRPr="00516087" w:rsidRDefault="00212A40" w:rsidP="00432A1A">
            <w:pPr>
              <w:pStyle w:val="ListParagraph"/>
              <w:spacing w:after="0"/>
              <w:ind w:left="406"/>
              <w:cnfStyle w:val="000000000000" w:firstRow="0" w:lastRow="0" w:firstColumn="0" w:lastColumn="0" w:oddVBand="0" w:evenVBand="0" w:oddHBand="0" w:evenHBand="0" w:firstRowFirstColumn="0" w:firstRowLastColumn="0" w:lastRowFirstColumn="0" w:lastRowLastColumn="0"/>
              <w:rPr>
                <w:rFonts w:ascii="Arial" w:eastAsia="DengXian" w:hAnsi="Arial"/>
                <w:lang w:val="en-GB"/>
              </w:rPr>
            </w:pPr>
            <w:r w:rsidRPr="00212A40">
              <w:rPr>
                <w:rFonts w:ascii="Arial" w:eastAsia="DengXian" w:hAnsi="Arial"/>
                <w:lang w:val="en-GB"/>
              </w:rPr>
              <w:t>Tăng nhận thức, sự phù hợp và áp dụng UNCITRAL MLEC và MLETR, phù hợp với tiêu chuẩn Tạo thuận lợi thương mại WTO</w:t>
            </w:r>
          </w:p>
        </w:tc>
      </w:tr>
      <w:tr w:rsidR="00071E1D" w:rsidRPr="00E61FF2" w14:paraId="76DE2827" w14:textId="77777777" w:rsidTr="00A063F7">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2547" w:type="dxa"/>
          </w:tcPr>
          <w:p w14:paraId="1C9EDC55" w14:textId="60860F05" w:rsidR="00071E1D" w:rsidRPr="00D170F3" w:rsidRDefault="002434B8" w:rsidP="00B40469">
            <w:pPr>
              <w:spacing w:line="276" w:lineRule="auto"/>
              <w:jc w:val="left"/>
              <w:rPr>
                <w:b w:val="0"/>
                <w:i/>
              </w:rPr>
            </w:pPr>
            <w:r w:rsidRPr="00D170F3">
              <w:rPr>
                <w:b w:val="0"/>
                <w:i/>
              </w:rPr>
              <w:t xml:space="preserve">2.2 </w:t>
            </w:r>
            <w:r w:rsidR="00212A40">
              <w:rPr>
                <w:b w:val="0"/>
                <w:i/>
              </w:rPr>
              <w:t xml:space="preserve">Hóa đơn điện tử </w:t>
            </w:r>
          </w:p>
        </w:tc>
        <w:tc>
          <w:tcPr>
            <w:tcW w:w="8363" w:type="dxa"/>
          </w:tcPr>
          <w:p w14:paraId="1577601B" w14:textId="2BF5C707" w:rsidR="00071E1D" w:rsidRPr="00516087" w:rsidRDefault="003D2D68" w:rsidP="00432A1A">
            <w:pPr>
              <w:pStyle w:val="ListParagraph"/>
              <w:spacing w:after="0"/>
              <w:ind w:left="406"/>
              <w:cnfStyle w:val="000000100000" w:firstRow="0" w:lastRow="0" w:firstColumn="0" w:lastColumn="0" w:oddVBand="0" w:evenVBand="0" w:oddHBand="1" w:evenHBand="0" w:firstRowFirstColumn="0" w:firstRowLastColumn="0" w:lastRowFirstColumn="0" w:lastRowLastColumn="0"/>
              <w:rPr>
                <w:rFonts w:ascii="Arial" w:eastAsia="DengXian" w:hAnsi="Arial"/>
                <w:lang w:val="en-GB"/>
              </w:rPr>
            </w:pPr>
            <w:r w:rsidRPr="003D2D68">
              <w:rPr>
                <w:rFonts w:ascii="Arial" w:eastAsia="DengXian" w:hAnsi="Arial"/>
                <w:lang w:val="en-GB"/>
              </w:rPr>
              <w:t>Tăng cường áp dụng tiêu chuẩn hóa đơn điện tử quốc tế và/hoặc hài hòa hệ thống hóa đơn điện tử quốc gia với tiêu chuẩn hóa đơn điện tử quốc tế</w:t>
            </w:r>
          </w:p>
        </w:tc>
      </w:tr>
      <w:tr w:rsidR="00071E1D" w:rsidRPr="00E61FF2" w14:paraId="15A219D4" w14:textId="77777777" w:rsidTr="00A063F7">
        <w:trPr>
          <w:trHeight w:val="1367"/>
        </w:trPr>
        <w:tc>
          <w:tcPr>
            <w:cnfStyle w:val="001000000000" w:firstRow="0" w:lastRow="0" w:firstColumn="1" w:lastColumn="0" w:oddVBand="0" w:evenVBand="0" w:oddHBand="0" w:evenHBand="0" w:firstRowFirstColumn="0" w:firstRowLastColumn="0" w:lastRowFirstColumn="0" w:lastRowLastColumn="0"/>
            <w:tcW w:w="2547" w:type="dxa"/>
          </w:tcPr>
          <w:p w14:paraId="0860EDDC" w14:textId="55A3F6CF" w:rsidR="00071E1D" w:rsidRPr="00D170F3" w:rsidRDefault="002434B8" w:rsidP="00B40469">
            <w:pPr>
              <w:spacing w:line="276" w:lineRule="auto"/>
              <w:jc w:val="left"/>
              <w:rPr>
                <w:b w:val="0"/>
                <w:i/>
              </w:rPr>
            </w:pPr>
            <w:r w:rsidRPr="00D170F3">
              <w:rPr>
                <w:b w:val="0"/>
                <w:i/>
              </w:rPr>
              <w:t>2.3</w:t>
            </w:r>
            <w:r w:rsidR="00212A40">
              <w:rPr>
                <w:b w:val="0"/>
                <w:i/>
              </w:rPr>
              <w:t xml:space="preserve"> Thanh toán</w:t>
            </w:r>
          </w:p>
        </w:tc>
        <w:tc>
          <w:tcPr>
            <w:tcW w:w="8363" w:type="dxa"/>
          </w:tcPr>
          <w:p w14:paraId="0991CB85" w14:textId="7CB3B6C2" w:rsidR="00071E1D" w:rsidRPr="00516087" w:rsidRDefault="003D2D68" w:rsidP="00432A1A">
            <w:pPr>
              <w:pStyle w:val="ListParagraph"/>
              <w:numPr>
                <w:ilvl w:val="0"/>
                <w:numId w:val="40"/>
              </w:numPr>
              <w:spacing w:after="0"/>
              <w:ind w:left="406"/>
              <w:cnfStyle w:val="000000000000" w:firstRow="0" w:lastRow="0" w:firstColumn="0" w:lastColumn="0" w:oddVBand="0" w:evenVBand="0" w:oddHBand="0" w:evenHBand="0" w:firstRowFirstColumn="0" w:firstRowLastColumn="0" w:lastRowFirstColumn="0" w:lastRowLastColumn="0"/>
              <w:rPr>
                <w:rFonts w:ascii="Arial" w:eastAsia="DengXian" w:hAnsi="Arial"/>
                <w:lang w:val="en-GB"/>
              </w:rPr>
            </w:pPr>
            <w:r w:rsidRPr="003D2D68">
              <w:rPr>
                <w:rFonts w:ascii="Arial" w:eastAsia="DengXian" w:hAnsi="Arial"/>
                <w:lang w:val="en-GB"/>
              </w:rPr>
              <w:t xml:space="preserve">Áp dụng tiêu chuẩn ISO 20022 trong cả Hệ thống Thanh toán Bán lẻ và Hệ thống Thanh toán Giá trị Lớn, trên tất cả 10 AMS; tăng cường sự phù hợp với các tiêu chuẩn thanh toán toàn cầu như </w:t>
            </w:r>
            <w:r w:rsidR="00212B70">
              <w:rPr>
                <w:rFonts w:ascii="Arial" w:eastAsia="DengXian" w:hAnsi="Arial"/>
                <w:lang w:val="en-GB"/>
              </w:rPr>
              <w:t>Thanh toán và báo cáo xuyên biên giới (</w:t>
            </w:r>
            <w:r w:rsidRPr="003D2D68">
              <w:rPr>
                <w:rFonts w:ascii="Arial" w:eastAsia="DengXian" w:hAnsi="Arial"/>
                <w:lang w:val="en-GB"/>
              </w:rPr>
              <w:t xml:space="preserve">Cross-border Payments and Reporting Plus </w:t>
            </w:r>
            <w:r w:rsidR="00212B70">
              <w:rPr>
                <w:rFonts w:ascii="Arial" w:eastAsia="DengXian" w:hAnsi="Arial"/>
                <w:lang w:val="en-GB"/>
              </w:rPr>
              <w:t xml:space="preserve">- </w:t>
            </w:r>
            <w:r w:rsidRPr="003D2D68">
              <w:rPr>
                <w:rFonts w:ascii="Arial" w:eastAsia="DengXian" w:hAnsi="Arial"/>
                <w:lang w:val="en-GB"/>
              </w:rPr>
              <w:t xml:space="preserve">CBPR+), </w:t>
            </w:r>
            <w:r w:rsidR="00212B70" w:rsidRPr="00212B70">
              <w:rPr>
                <w:rFonts w:ascii="Arial" w:eastAsia="DengXian" w:hAnsi="Arial"/>
                <w:lang w:val="en-GB"/>
              </w:rPr>
              <w:t>Thanh toán liên thông mở rộng</w:t>
            </w:r>
            <w:r w:rsidR="00212B70" w:rsidRPr="00212B70">
              <w:rPr>
                <w:rFonts w:ascii="Arial" w:eastAsia="DengXian" w:hAnsi="Arial"/>
                <w:lang w:val="en-GB"/>
              </w:rPr>
              <w:t xml:space="preserve"> </w:t>
            </w:r>
            <w:r w:rsidR="00212B70">
              <w:rPr>
                <w:rFonts w:ascii="Arial" w:eastAsia="DengXian" w:hAnsi="Arial"/>
                <w:lang w:val="en-GB"/>
              </w:rPr>
              <w:t>(</w:t>
            </w:r>
            <w:r w:rsidRPr="003D2D68">
              <w:rPr>
                <w:rFonts w:ascii="Arial" w:eastAsia="DengXian" w:hAnsi="Arial"/>
                <w:lang w:val="en-GB"/>
              </w:rPr>
              <w:t xml:space="preserve">Interoperable Payments Plus </w:t>
            </w:r>
            <w:r w:rsidR="00212B70">
              <w:rPr>
                <w:rFonts w:ascii="Arial" w:eastAsia="DengXian" w:hAnsi="Arial"/>
                <w:lang w:val="en-GB"/>
              </w:rPr>
              <w:t xml:space="preserve">- </w:t>
            </w:r>
            <w:r w:rsidRPr="003D2D68">
              <w:rPr>
                <w:rFonts w:ascii="Arial" w:eastAsia="DengXian" w:hAnsi="Arial"/>
                <w:lang w:val="en-GB"/>
              </w:rPr>
              <w:t xml:space="preserve">IP+), và hài hòa theo </w:t>
            </w:r>
            <w:r w:rsidR="00212B70">
              <w:rPr>
                <w:rFonts w:ascii="Arial" w:eastAsia="DengXian" w:hAnsi="Arial"/>
                <w:lang w:val="en-GB"/>
              </w:rPr>
              <w:t>Ủy ban về Hạ tầng thị trường và thanh toán (</w:t>
            </w:r>
            <w:r w:rsidRPr="003D2D68">
              <w:rPr>
                <w:rFonts w:ascii="Arial" w:eastAsia="DengXian" w:hAnsi="Arial"/>
                <w:lang w:val="en-GB"/>
              </w:rPr>
              <w:t xml:space="preserve">Committee on Payments and Market Infrastructures </w:t>
            </w:r>
            <w:r w:rsidR="00212B70">
              <w:rPr>
                <w:rFonts w:ascii="Arial" w:eastAsia="DengXian" w:hAnsi="Arial"/>
                <w:lang w:val="en-GB"/>
              </w:rPr>
              <w:t xml:space="preserve">- </w:t>
            </w:r>
            <w:r w:rsidRPr="003D2D68">
              <w:rPr>
                <w:rFonts w:ascii="Arial" w:eastAsia="DengXian" w:hAnsi="Arial"/>
                <w:lang w:val="en-GB"/>
              </w:rPr>
              <w:t>CPMI)</w:t>
            </w:r>
          </w:p>
        </w:tc>
      </w:tr>
      <w:tr w:rsidR="00071E1D" w:rsidRPr="00E61FF2" w14:paraId="22486F10" w14:textId="77777777" w:rsidTr="00A063F7">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2547" w:type="dxa"/>
            <w:shd w:val="clear" w:color="auto" w:fill="BDD6EE" w:themeFill="accent5" w:themeFillTint="66"/>
          </w:tcPr>
          <w:p w14:paraId="69825A92" w14:textId="7AADED3C" w:rsidR="00071E1D" w:rsidRPr="00E61FF2" w:rsidRDefault="002434B8" w:rsidP="00B40469">
            <w:pPr>
              <w:spacing w:line="276" w:lineRule="auto"/>
              <w:jc w:val="left"/>
            </w:pPr>
            <w:r w:rsidRPr="00E61FF2">
              <w:t xml:space="preserve">3. </w:t>
            </w:r>
            <w:r w:rsidR="003D2D68">
              <w:t>Niềm tin số</w:t>
            </w:r>
          </w:p>
        </w:tc>
        <w:tc>
          <w:tcPr>
            <w:tcW w:w="8363" w:type="dxa"/>
            <w:shd w:val="clear" w:color="auto" w:fill="BDD6EE" w:themeFill="accent5" w:themeFillTint="66"/>
          </w:tcPr>
          <w:p w14:paraId="48D984DB" w14:textId="0F090012" w:rsidR="00071E1D" w:rsidRPr="00516087" w:rsidRDefault="006443FB" w:rsidP="00432A1A">
            <w:pPr>
              <w:pStyle w:val="ListParagraph"/>
              <w:spacing w:after="0"/>
              <w:ind w:left="406"/>
              <w:cnfStyle w:val="000000100000" w:firstRow="0" w:lastRow="0" w:firstColumn="0" w:lastColumn="0" w:oddVBand="0" w:evenVBand="0" w:oddHBand="1" w:evenHBand="0" w:firstRowFirstColumn="0" w:firstRowLastColumn="0" w:lastRowFirstColumn="0" w:lastRowLastColumn="0"/>
              <w:rPr>
                <w:rFonts w:ascii="Arial" w:eastAsia="DengXian" w:hAnsi="Arial"/>
                <w:lang w:val="en-GB"/>
              </w:rPr>
            </w:pPr>
            <w:r w:rsidRPr="006443FB">
              <w:rPr>
                <w:rFonts w:ascii="Arial" w:eastAsia="DengXian" w:hAnsi="Arial"/>
                <w:lang w:val="en-GB"/>
              </w:rPr>
              <w:t>Tăng cường áp dụng tiêu chuẩn an ninh mạng quốc tế và các thực hành tốt chuẩn hóa về an ninh mạng</w:t>
            </w:r>
          </w:p>
          <w:p w14:paraId="5BCA9C06" w14:textId="0A987441" w:rsidR="00071E1D" w:rsidRPr="00516087" w:rsidRDefault="006443FB" w:rsidP="00432A1A">
            <w:pPr>
              <w:pStyle w:val="ListParagraph"/>
              <w:spacing w:after="0"/>
              <w:ind w:left="406"/>
              <w:cnfStyle w:val="000000100000" w:firstRow="0" w:lastRow="0" w:firstColumn="0" w:lastColumn="0" w:oddVBand="0" w:evenVBand="0" w:oddHBand="1" w:evenHBand="0" w:firstRowFirstColumn="0" w:firstRowLastColumn="0" w:lastRowFirstColumn="0" w:lastRowLastColumn="0"/>
              <w:rPr>
                <w:rFonts w:ascii="Arial" w:eastAsia="DengXian" w:hAnsi="Arial"/>
                <w:lang w:val="en-GB"/>
              </w:rPr>
            </w:pPr>
            <w:r w:rsidRPr="006443FB">
              <w:rPr>
                <w:rFonts w:ascii="Arial" w:eastAsia="DengXian" w:hAnsi="Arial"/>
                <w:lang w:val="en-GB"/>
              </w:rPr>
              <w:t>Hài hòa các quy định bảo vệ dữ liệu và cơ chế chuyển dữ liệu xuyên biên giới</w:t>
            </w:r>
          </w:p>
          <w:p w14:paraId="06D0838D" w14:textId="0872FBC2" w:rsidR="00071E1D" w:rsidRPr="00516087" w:rsidRDefault="006443FB" w:rsidP="00432A1A">
            <w:pPr>
              <w:pStyle w:val="ListParagraph"/>
              <w:spacing w:after="0"/>
              <w:ind w:left="406"/>
              <w:cnfStyle w:val="000000100000" w:firstRow="0" w:lastRow="0" w:firstColumn="0" w:lastColumn="0" w:oddVBand="0" w:evenVBand="0" w:oddHBand="1" w:evenHBand="0" w:firstRowFirstColumn="0" w:firstRowLastColumn="0" w:lastRowFirstColumn="0" w:lastRowLastColumn="0"/>
              <w:rPr>
                <w:rFonts w:ascii="Arial" w:eastAsia="DengXian" w:hAnsi="Arial"/>
                <w:lang w:val="en-GB"/>
              </w:rPr>
            </w:pPr>
            <w:r w:rsidRPr="006443FB">
              <w:rPr>
                <w:rFonts w:ascii="Arial" w:eastAsia="DengXian" w:hAnsi="Arial"/>
                <w:lang w:val="en-GB"/>
              </w:rPr>
              <w:t xml:space="preserve">Tăng cường áp dụng </w:t>
            </w:r>
            <w:r w:rsidR="00B129E4" w:rsidRPr="00B129E4">
              <w:rPr>
                <w:rFonts w:ascii="Arial" w:eastAsia="DengXian" w:hAnsi="Arial"/>
                <w:lang w:val="en-GB"/>
              </w:rPr>
              <w:t xml:space="preserve">Các Điều khoản Hợp đồng Mẫu của ASEAN về Dòng </w:t>
            </w:r>
            <w:r w:rsidR="00B129E4">
              <w:rPr>
                <w:rFonts w:ascii="Arial" w:eastAsia="DengXian" w:hAnsi="Arial"/>
                <w:lang w:val="en-GB"/>
              </w:rPr>
              <w:t>c</w:t>
            </w:r>
            <w:r w:rsidR="00B129E4" w:rsidRPr="00B129E4">
              <w:rPr>
                <w:rFonts w:ascii="Arial" w:eastAsia="DengXian" w:hAnsi="Arial"/>
                <w:lang w:val="en-GB"/>
              </w:rPr>
              <w:t xml:space="preserve">hảy </w:t>
            </w:r>
            <w:r w:rsidR="00B129E4">
              <w:rPr>
                <w:rFonts w:ascii="Arial" w:eastAsia="DengXian" w:hAnsi="Arial"/>
                <w:lang w:val="en-GB"/>
              </w:rPr>
              <w:t>d</w:t>
            </w:r>
            <w:r w:rsidR="00B129E4" w:rsidRPr="00B129E4">
              <w:rPr>
                <w:rFonts w:ascii="Arial" w:eastAsia="DengXian" w:hAnsi="Arial"/>
                <w:lang w:val="en-GB"/>
              </w:rPr>
              <w:t xml:space="preserve">ữ </w:t>
            </w:r>
            <w:r w:rsidR="00B129E4">
              <w:rPr>
                <w:rFonts w:ascii="Arial" w:eastAsia="DengXian" w:hAnsi="Arial"/>
                <w:lang w:val="en-GB"/>
              </w:rPr>
              <w:t>l</w:t>
            </w:r>
            <w:r w:rsidR="00B129E4" w:rsidRPr="00B129E4">
              <w:rPr>
                <w:rFonts w:ascii="Arial" w:eastAsia="DengXian" w:hAnsi="Arial"/>
                <w:lang w:val="en-GB"/>
              </w:rPr>
              <w:t xml:space="preserve">iệu </w:t>
            </w:r>
            <w:r w:rsidR="00B129E4">
              <w:rPr>
                <w:rFonts w:ascii="Arial" w:eastAsia="DengXian" w:hAnsi="Arial"/>
                <w:lang w:val="en-GB"/>
              </w:rPr>
              <w:t>x</w:t>
            </w:r>
            <w:r w:rsidR="00B129E4" w:rsidRPr="00B129E4">
              <w:rPr>
                <w:rFonts w:ascii="Arial" w:eastAsia="DengXian" w:hAnsi="Arial"/>
                <w:lang w:val="en-GB"/>
              </w:rPr>
              <w:t xml:space="preserve">uyên </w:t>
            </w:r>
            <w:r w:rsidR="00B129E4">
              <w:rPr>
                <w:rFonts w:ascii="Arial" w:eastAsia="DengXian" w:hAnsi="Arial"/>
                <w:lang w:val="en-GB"/>
              </w:rPr>
              <w:t>b</w:t>
            </w:r>
            <w:r w:rsidR="00B129E4" w:rsidRPr="00B129E4">
              <w:rPr>
                <w:rFonts w:ascii="Arial" w:eastAsia="DengXian" w:hAnsi="Arial"/>
                <w:lang w:val="en-GB"/>
              </w:rPr>
              <w:t xml:space="preserve">iên </w:t>
            </w:r>
            <w:r w:rsidR="00B129E4">
              <w:rPr>
                <w:rFonts w:ascii="Arial" w:eastAsia="DengXian" w:hAnsi="Arial"/>
                <w:lang w:val="en-GB"/>
              </w:rPr>
              <w:t>g</w:t>
            </w:r>
            <w:r w:rsidR="00B129E4" w:rsidRPr="00B129E4">
              <w:rPr>
                <w:rFonts w:ascii="Arial" w:eastAsia="DengXian" w:hAnsi="Arial"/>
                <w:lang w:val="en-GB"/>
              </w:rPr>
              <w:t>iới</w:t>
            </w:r>
            <w:r w:rsidRPr="006443FB">
              <w:rPr>
                <w:rFonts w:ascii="Arial" w:eastAsia="DengXian" w:hAnsi="Arial"/>
                <w:lang w:val="en-GB"/>
              </w:rPr>
              <w:t xml:space="preserve"> trong các doanh nghiệp nội địa thông qua hướng dẫn vận hành</w:t>
            </w:r>
          </w:p>
          <w:p w14:paraId="085364E2" w14:textId="3C74689A" w:rsidR="00071E1D" w:rsidRPr="00E61FF2" w:rsidRDefault="006443FB" w:rsidP="00432A1A">
            <w:pPr>
              <w:pStyle w:val="ListParagraph"/>
              <w:ind w:left="406"/>
              <w:cnfStyle w:val="000000100000" w:firstRow="0" w:lastRow="0" w:firstColumn="0" w:lastColumn="0" w:oddVBand="0" w:evenVBand="0" w:oddHBand="1" w:evenHBand="0" w:firstRowFirstColumn="0" w:firstRowLastColumn="0" w:lastRowFirstColumn="0" w:lastRowLastColumn="0"/>
              <w:rPr>
                <w:rFonts w:ascii="Arial" w:hAnsi="Arial"/>
                <w:lang w:val="en-GB"/>
              </w:rPr>
            </w:pPr>
            <w:r w:rsidRPr="006443FB">
              <w:rPr>
                <w:rFonts w:ascii="Arial" w:hAnsi="Arial"/>
                <w:lang w:val="en-GB"/>
              </w:rPr>
              <w:t xml:space="preserve">Phát triển Lộ trình </w:t>
            </w:r>
            <w:r w:rsidR="0061112C">
              <w:rPr>
                <w:rFonts w:ascii="Arial" w:hAnsi="Arial"/>
                <w:lang w:val="en-GB"/>
              </w:rPr>
              <w:t>Số</w:t>
            </w:r>
            <w:r w:rsidR="0061112C">
              <w:rPr>
                <w:rFonts w:ascii="Arial" w:hAnsi="Arial"/>
                <w:lang w:val="vi-VN"/>
              </w:rPr>
              <w:t xml:space="preserve"> định danh doanh nghiệp t</w:t>
            </w:r>
            <w:r w:rsidR="008F53FC">
              <w:rPr>
                <w:rFonts w:ascii="Arial" w:hAnsi="Arial"/>
                <w:lang w:val="en-AU"/>
              </w:rPr>
              <w:t>h</w:t>
            </w:r>
            <w:r w:rsidR="0061112C">
              <w:rPr>
                <w:rFonts w:ascii="Arial" w:hAnsi="Arial"/>
                <w:lang w:val="vi-VN"/>
              </w:rPr>
              <w:t xml:space="preserve">ống nhất ASEAN </w:t>
            </w:r>
            <w:r w:rsidRPr="006443FB">
              <w:rPr>
                <w:rFonts w:ascii="Arial" w:hAnsi="Arial"/>
                <w:lang w:val="en-GB"/>
              </w:rPr>
              <w:t>(UBIN)</w:t>
            </w:r>
            <w:r w:rsidR="00071E1D" w:rsidRPr="00E61FF2">
              <w:rPr>
                <w:rFonts w:ascii="Arial" w:hAnsi="Arial"/>
                <w:lang w:val="en-GB"/>
              </w:rPr>
              <w:t xml:space="preserve"> </w:t>
            </w:r>
          </w:p>
        </w:tc>
      </w:tr>
      <w:tr w:rsidR="00071E1D" w:rsidRPr="00E61FF2" w14:paraId="62E93E3B" w14:textId="77777777" w:rsidTr="00A063F7">
        <w:trPr>
          <w:trHeight w:val="139"/>
        </w:trPr>
        <w:tc>
          <w:tcPr>
            <w:cnfStyle w:val="001000000000" w:firstRow="0" w:lastRow="0" w:firstColumn="1" w:lastColumn="0" w:oddVBand="0" w:evenVBand="0" w:oddHBand="0" w:evenHBand="0" w:firstRowFirstColumn="0" w:firstRowLastColumn="0" w:lastRowFirstColumn="0" w:lastRowLastColumn="0"/>
            <w:tcW w:w="2547" w:type="dxa"/>
          </w:tcPr>
          <w:p w14:paraId="1C5C9F5E" w14:textId="26C6B502" w:rsidR="00071E1D" w:rsidRPr="0061112C" w:rsidRDefault="002434B8" w:rsidP="00B40469">
            <w:pPr>
              <w:spacing w:line="276" w:lineRule="auto"/>
              <w:jc w:val="left"/>
              <w:rPr>
                <w:b w:val="0"/>
                <w:i/>
                <w:lang w:val="vi-VN"/>
              </w:rPr>
            </w:pPr>
            <w:r w:rsidRPr="00D170F3">
              <w:rPr>
                <w:b w:val="0"/>
                <w:i/>
              </w:rPr>
              <w:t xml:space="preserve">3.1 </w:t>
            </w:r>
            <w:r w:rsidR="0061112C">
              <w:rPr>
                <w:b w:val="0"/>
                <w:i/>
              </w:rPr>
              <w:t>Nhận</w:t>
            </w:r>
            <w:r w:rsidR="0061112C">
              <w:rPr>
                <w:b w:val="0"/>
                <w:i/>
                <w:lang w:val="vi-VN"/>
              </w:rPr>
              <w:t xml:space="preserve"> dạng và xác thực </w:t>
            </w:r>
            <w:r w:rsidR="00616696">
              <w:rPr>
                <w:b w:val="0"/>
                <w:i/>
                <w:lang w:val="vi-VN"/>
              </w:rPr>
              <w:t>số</w:t>
            </w:r>
          </w:p>
        </w:tc>
        <w:tc>
          <w:tcPr>
            <w:tcW w:w="8363" w:type="dxa"/>
          </w:tcPr>
          <w:p w14:paraId="285AABA6" w14:textId="038A3542" w:rsidR="00071E1D" w:rsidRPr="00516087" w:rsidRDefault="0061112C" w:rsidP="00432A1A">
            <w:pPr>
              <w:pStyle w:val="ListParagraph"/>
              <w:spacing w:after="0"/>
              <w:ind w:left="406"/>
              <w:cnfStyle w:val="000000000000" w:firstRow="0" w:lastRow="0" w:firstColumn="0" w:lastColumn="0" w:oddVBand="0" w:evenVBand="0" w:oddHBand="0" w:evenHBand="0" w:firstRowFirstColumn="0" w:firstRowLastColumn="0" w:lastRowFirstColumn="0" w:lastRowLastColumn="0"/>
              <w:rPr>
                <w:rFonts w:ascii="Arial" w:eastAsia="DengXian" w:hAnsi="Arial"/>
                <w:lang w:val="en-GB"/>
              </w:rPr>
            </w:pPr>
            <w:r>
              <w:rPr>
                <w:rFonts w:ascii="Arial" w:eastAsia="DengXian" w:hAnsi="Arial"/>
                <w:lang w:val="en-GB"/>
              </w:rPr>
              <w:t>Phát</w:t>
            </w:r>
            <w:r>
              <w:rPr>
                <w:rFonts w:ascii="Arial" w:eastAsia="DengXian" w:hAnsi="Arial"/>
                <w:lang w:val="vi-VN"/>
              </w:rPr>
              <w:t xml:space="preserve"> triển lộ trình triển khai để thiết lập UBIN có thể só sánh và được công nhận trong khu vực ASEAN </w:t>
            </w:r>
          </w:p>
        </w:tc>
      </w:tr>
      <w:tr w:rsidR="00071E1D" w:rsidRPr="00E61FF2" w14:paraId="2C8DEA0E" w14:textId="77777777" w:rsidTr="00A063F7">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2547" w:type="dxa"/>
          </w:tcPr>
          <w:p w14:paraId="4370CD88" w14:textId="1106C513" w:rsidR="00071E1D" w:rsidRPr="00833A9F" w:rsidRDefault="002434B8" w:rsidP="00B40469">
            <w:pPr>
              <w:spacing w:line="276" w:lineRule="auto"/>
              <w:jc w:val="left"/>
              <w:rPr>
                <w:b w:val="0"/>
                <w:i/>
                <w:lang w:val="vi-VN"/>
              </w:rPr>
            </w:pPr>
            <w:r w:rsidRPr="00D170F3">
              <w:rPr>
                <w:b w:val="0"/>
                <w:i/>
              </w:rPr>
              <w:t xml:space="preserve">3.2 </w:t>
            </w:r>
            <w:r w:rsidR="00833A9F">
              <w:rPr>
                <w:b w:val="0"/>
                <w:i/>
              </w:rPr>
              <w:t>An</w:t>
            </w:r>
            <w:r w:rsidR="00833A9F">
              <w:rPr>
                <w:b w:val="0"/>
                <w:i/>
                <w:lang w:val="vi-VN"/>
              </w:rPr>
              <w:t xml:space="preserve"> ninh mạng</w:t>
            </w:r>
          </w:p>
        </w:tc>
        <w:tc>
          <w:tcPr>
            <w:tcW w:w="8363" w:type="dxa"/>
          </w:tcPr>
          <w:p w14:paraId="5989AB1A" w14:textId="42E6BA38" w:rsidR="00071E1D" w:rsidRPr="00516087" w:rsidRDefault="00833A9F" w:rsidP="00432A1A">
            <w:pPr>
              <w:pStyle w:val="ListParagraph"/>
              <w:spacing w:after="0"/>
              <w:ind w:left="406"/>
              <w:cnfStyle w:val="000000100000" w:firstRow="0" w:lastRow="0" w:firstColumn="0" w:lastColumn="0" w:oddVBand="0" w:evenVBand="0" w:oddHBand="1" w:evenHBand="0" w:firstRowFirstColumn="0" w:firstRowLastColumn="0" w:lastRowFirstColumn="0" w:lastRowLastColumn="0"/>
              <w:rPr>
                <w:rFonts w:ascii="Arial" w:eastAsia="DengXian" w:hAnsi="Arial"/>
                <w:lang w:val="en-GB"/>
              </w:rPr>
            </w:pPr>
            <w:r>
              <w:rPr>
                <w:rFonts w:ascii="Arial" w:eastAsia="DengXian" w:hAnsi="Arial"/>
                <w:lang w:val="en-GB"/>
              </w:rPr>
              <w:t>Áp</w:t>
            </w:r>
            <w:r>
              <w:rPr>
                <w:rFonts w:ascii="Arial" w:eastAsia="DengXian" w:hAnsi="Arial"/>
                <w:lang w:val="vi-VN"/>
              </w:rPr>
              <w:t xml:space="preserve"> dụng tiêu chuẩn ISO/IEC 27001 và 27002 trên tất cả 10 AMS </w:t>
            </w:r>
          </w:p>
        </w:tc>
      </w:tr>
      <w:tr w:rsidR="00071E1D" w:rsidRPr="00E61FF2" w14:paraId="005B04EA" w14:textId="77777777" w:rsidTr="00A063F7">
        <w:trPr>
          <w:trHeight w:val="139"/>
        </w:trPr>
        <w:tc>
          <w:tcPr>
            <w:cnfStyle w:val="001000000000" w:firstRow="0" w:lastRow="0" w:firstColumn="1" w:lastColumn="0" w:oddVBand="0" w:evenVBand="0" w:oddHBand="0" w:evenHBand="0" w:firstRowFirstColumn="0" w:firstRowLastColumn="0" w:lastRowFirstColumn="0" w:lastRowLastColumn="0"/>
            <w:tcW w:w="2547" w:type="dxa"/>
          </w:tcPr>
          <w:p w14:paraId="75781EAD" w14:textId="14BB3A5D" w:rsidR="00071E1D" w:rsidRPr="005E3403" w:rsidRDefault="002434B8" w:rsidP="00B40469">
            <w:pPr>
              <w:spacing w:line="276" w:lineRule="auto"/>
              <w:jc w:val="left"/>
              <w:rPr>
                <w:b w:val="0"/>
                <w:i/>
                <w:lang w:val="vi-VN"/>
              </w:rPr>
            </w:pPr>
            <w:r w:rsidRPr="00D170F3">
              <w:rPr>
                <w:b w:val="0"/>
                <w:i/>
              </w:rPr>
              <w:t xml:space="preserve">3.3 </w:t>
            </w:r>
            <w:r w:rsidR="005E3403">
              <w:rPr>
                <w:b w:val="0"/>
                <w:i/>
              </w:rPr>
              <w:t>An</w:t>
            </w:r>
            <w:r w:rsidR="005E3403">
              <w:rPr>
                <w:b w:val="0"/>
                <w:i/>
                <w:lang w:val="vi-VN"/>
              </w:rPr>
              <w:t xml:space="preserve"> toàn trực tuyến</w:t>
            </w:r>
          </w:p>
        </w:tc>
        <w:tc>
          <w:tcPr>
            <w:tcW w:w="8363" w:type="dxa"/>
          </w:tcPr>
          <w:p w14:paraId="1C3DC018" w14:textId="641EBB4A" w:rsidR="00071E1D" w:rsidRPr="00275293" w:rsidRDefault="005E3403" w:rsidP="00432A1A">
            <w:pPr>
              <w:pStyle w:val="ListParagraph"/>
              <w:spacing w:after="0"/>
              <w:ind w:left="406"/>
              <w:cnfStyle w:val="000000000000" w:firstRow="0" w:lastRow="0" w:firstColumn="0" w:lastColumn="0" w:oddVBand="0" w:evenVBand="0" w:oddHBand="0" w:evenHBand="0" w:firstRowFirstColumn="0" w:firstRowLastColumn="0" w:lastRowFirstColumn="0" w:lastRowLastColumn="0"/>
              <w:rPr>
                <w:rFonts w:eastAsia="DengXian"/>
              </w:rPr>
            </w:pPr>
            <w:r>
              <w:rPr>
                <w:rFonts w:ascii="Arial" w:eastAsia="DengXian" w:hAnsi="Arial"/>
                <w:lang w:val="en-GB"/>
              </w:rPr>
              <w:t>Nâng</w:t>
            </w:r>
            <w:r>
              <w:rPr>
                <w:rFonts w:ascii="Arial" w:eastAsia="DengXian" w:hAnsi="Arial"/>
                <w:lang w:val="vi-VN"/>
              </w:rPr>
              <w:t xml:space="preserve"> cao Bộ Quy tắc Ứng xử Kinh doanh Trực tuyến ASEAN</w:t>
            </w:r>
          </w:p>
        </w:tc>
      </w:tr>
      <w:tr w:rsidR="00071E1D" w:rsidRPr="00E61FF2" w14:paraId="3FECE251" w14:textId="77777777" w:rsidTr="00A063F7">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2547" w:type="dxa"/>
          </w:tcPr>
          <w:p w14:paraId="6351F47C" w14:textId="357B69AB" w:rsidR="00071E1D" w:rsidRPr="005E3403" w:rsidRDefault="002434B8" w:rsidP="00B40469">
            <w:pPr>
              <w:spacing w:line="276" w:lineRule="auto"/>
              <w:jc w:val="left"/>
              <w:rPr>
                <w:b w:val="0"/>
                <w:i/>
                <w:lang w:val="vi-VN"/>
              </w:rPr>
            </w:pPr>
            <w:r w:rsidRPr="00D170F3">
              <w:rPr>
                <w:b w:val="0"/>
                <w:i/>
              </w:rPr>
              <w:lastRenderedPageBreak/>
              <w:t>3.4</w:t>
            </w:r>
            <w:r w:rsidR="005E3403">
              <w:rPr>
                <w:b w:val="0"/>
                <w:i/>
                <w:lang w:val="vi-VN"/>
              </w:rPr>
              <w:t xml:space="preserve"> Bảo vệ Dữ liệu và Quyền riêng tư xuyên biên giới </w:t>
            </w:r>
          </w:p>
        </w:tc>
        <w:tc>
          <w:tcPr>
            <w:tcW w:w="8363" w:type="dxa"/>
          </w:tcPr>
          <w:p w14:paraId="5A1D1356" w14:textId="5E7AF41E" w:rsidR="00071E1D" w:rsidRPr="00516087" w:rsidRDefault="005E3403" w:rsidP="00432A1A">
            <w:pPr>
              <w:pStyle w:val="ListParagraph"/>
              <w:spacing w:after="0"/>
              <w:ind w:left="406"/>
              <w:cnfStyle w:val="000000100000" w:firstRow="0" w:lastRow="0" w:firstColumn="0" w:lastColumn="0" w:oddVBand="0" w:evenVBand="0" w:oddHBand="1" w:evenHBand="0" w:firstRowFirstColumn="0" w:firstRowLastColumn="0" w:lastRowFirstColumn="0" w:lastRowLastColumn="0"/>
              <w:rPr>
                <w:rFonts w:ascii="Arial" w:eastAsia="DengXian" w:hAnsi="Arial"/>
                <w:lang w:val="en-GB"/>
              </w:rPr>
            </w:pPr>
            <w:r>
              <w:rPr>
                <w:rFonts w:ascii="Arial" w:eastAsia="DengXian" w:hAnsi="Arial"/>
                <w:lang w:val="en-GB"/>
              </w:rPr>
              <w:t>Tăng</w:t>
            </w:r>
            <w:r>
              <w:rPr>
                <w:rFonts w:ascii="Arial" w:eastAsia="DengXian" w:hAnsi="Arial"/>
                <w:lang w:val="vi-VN"/>
              </w:rPr>
              <w:t xml:space="preserve"> cường áp </w:t>
            </w:r>
            <w:r w:rsidR="009E6D39">
              <w:rPr>
                <w:rFonts w:ascii="Arial" w:eastAsia="DengXian" w:hAnsi="Arial"/>
                <w:lang w:val="vi-VN"/>
              </w:rPr>
              <w:t xml:space="preserve">dụng </w:t>
            </w:r>
            <w:r w:rsidR="009E6D39" w:rsidRPr="009E6D39">
              <w:rPr>
                <w:rFonts w:ascii="Arial" w:eastAsia="DengXian" w:hAnsi="Arial"/>
                <w:lang w:val="vi-VN"/>
              </w:rPr>
              <w:t>Các Điều khoản Hợp đồng Mẫu của ASEAN về Dòng chảy dữ liệu xuyên biên giới</w:t>
            </w:r>
            <w:r w:rsidR="009E6D39">
              <w:rPr>
                <w:rFonts w:ascii="Arial" w:eastAsia="DengXian" w:hAnsi="Arial"/>
                <w:lang w:val="vi-VN"/>
              </w:rPr>
              <w:t xml:space="preserve"> trong các doanh nghiệp nội địa thông qua hướng dẫn vận hành </w:t>
            </w:r>
          </w:p>
        </w:tc>
      </w:tr>
      <w:tr w:rsidR="00071E1D" w:rsidRPr="00E61FF2" w14:paraId="326ED295" w14:textId="77777777" w:rsidTr="00A063F7">
        <w:trPr>
          <w:trHeight w:val="139"/>
        </w:trPr>
        <w:tc>
          <w:tcPr>
            <w:cnfStyle w:val="001000000000" w:firstRow="0" w:lastRow="0" w:firstColumn="1" w:lastColumn="0" w:oddVBand="0" w:evenVBand="0" w:oddHBand="0" w:evenHBand="0" w:firstRowFirstColumn="0" w:firstRowLastColumn="0" w:lastRowFirstColumn="0" w:lastRowLastColumn="0"/>
            <w:tcW w:w="2547" w:type="dxa"/>
            <w:shd w:val="clear" w:color="auto" w:fill="BDD6EE" w:themeFill="accent5" w:themeFillTint="66"/>
          </w:tcPr>
          <w:p w14:paraId="299D7373" w14:textId="3F92CCAB" w:rsidR="00071E1D" w:rsidRPr="009E6D39" w:rsidRDefault="002434B8" w:rsidP="00B40469">
            <w:pPr>
              <w:spacing w:line="276" w:lineRule="auto"/>
              <w:jc w:val="left"/>
              <w:rPr>
                <w:lang w:val="vi-VN"/>
              </w:rPr>
            </w:pPr>
            <w:r w:rsidRPr="00E61FF2">
              <w:t xml:space="preserve">4. </w:t>
            </w:r>
            <w:r w:rsidR="009E6D39">
              <w:t>Hợp</w:t>
            </w:r>
            <w:r w:rsidR="009E6D39">
              <w:rPr>
                <w:lang w:val="vi-VN"/>
              </w:rPr>
              <w:t xml:space="preserve"> tác về các chủ đề mới nổi </w:t>
            </w:r>
          </w:p>
        </w:tc>
        <w:tc>
          <w:tcPr>
            <w:tcW w:w="8363" w:type="dxa"/>
            <w:shd w:val="clear" w:color="auto" w:fill="BDD6EE" w:themeFill="accent5" w:themeFillTint="66"/>
          </w:tcPr>
          <w:p w14:paraId="1862D341" w14:textId="00CC6420" w:rsidR="00071E1D" w:rsidRPr="00516087" w:rsidRDefault="009E6D39" w:rsidP="00432A1A">
            <w:pPr>
              <w:pStyle w:val="ListParagraph"/>
              <w:spacing w:after="0"/>
              <w:ind w:left="406"/>
              <w:cnfStyle w:val="000000000000" w:firstRow="0" w:lastRow="0" w:firstColumn="0" w:lastColumn="0" w:oddVBand="0" w:evenVBand="0" w:oddHBand="0" w:evenHBand="0" w:firstRowFirstColumn="0" w:firstRowLastColumn="0" w:lastRowFirstColumn="0" w:lastRowLastColumn="0"/>
              <w:rPr>
                <w:rFonts w:ascii="Arial" w:eastAsia="DengXian" w:hAnsi="Arial"/>
                <w:lang w:val="en-GB"/>
              </w:rPr>
            </w:pPr>
            <w:r>
              <w:rPr>
                <w:rFonts w:ascii="Arial" w:eastAsia="DengXian" w:hAnsi="Arial"/>
                <w:lang w:val="en-GB"/>
              </w:rPr>
              <w:t>Phát</w:t>
            </w:r>
            <w:r>
              <w:rPr>
                <w:rFonts w:ascii="Arial" w:eastAsia="DengXian" w:hAnsi="Arial"/>
                <w:lang w:val="vi-VN"/>
              </w:rPr>
              <w:t xml:space="preserve"> triển các khung/quy chuẩn khu vực cho việc sử dụng các công nghệ mới </w:t>
            </w:r>
          </w:p>
          <w:p w14:paraId="224F1B3D" w14:textId="34900830" w:rsidR="00071E1D" w:rsidRPr="00516087" w:rsidRDefault="00810962" w:rsidP="00432A1A">
            <w:pPr>
              <w:pStyle w:val="ListParagraph"/>
              <w:spacing w:after="0"/>
              <w:ind w:left="406"/>
              <w:cnfStyle w:val="000000000000" w:firstRow="0" w:lastRow="0" w:firstColumn="0" w:lastColumn="0" w:oddVBand="0" w:evenVBand="0" w:oddHBand="0" w:evenHBand="0" w:firstRowFirstColumn="0" w:firstRowLastColumn="0" w:lastRowFirstColumn="0" w:lastRowLastColumn="0"/>
              <w:rPr>
                <w:rFonts w:ascii="Arial" w:eastAsia="DengXian" w:hAnsi="Arial"/>
                <w:lang w:val="en-GB"/>
              </w:rPr>
            </w:pPr>
            <w:r>
              <w:rPr>
                <w:rFonts w:ascii="Arial" w:eastAsia="DengXian" w:hAnsi="Arial"/>
                <w:lang w:val="en-GB"/>
              </w:rPr>
              <w:t>Tăng</w:t>
            </w:r>
            <w:r>
              <w:rPr>
                <w:rFonts w:ascii="Arial" w:eastAsia="DengXian" w:hAnsi="Arial"/>
                <w:lang w:val="vi-VN"/>
              </w:rPr>
              <w:t xml:space="preserve"> cường nhận thức về các công nghệ mới để có vị thế tốt hơn trong việc khai thác chúng </w:t>
            </w:r>
          </w:p>
        </w:tc>
      </w:tr>
      <w:tr w:rsidR="00071E1D" w:rsidRPr="00E61FF2" w14:paraId="0B1902D1" w14:textId="77777777" w:rsidTr="00A063F7">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2547" w:type="dxa"/>
          </w:tcPr>
          <w:p w14:paraId="2E6DD157" w14:textId="338DB873" w:rsidR="00071E1D" w:rsidRPr="00810962" w:rsidRDefault="002434B8" w:rsidP="00B40469">
            <w:pPr>
              <w:spacing w:line="276" w:lineRule="auto"/>
              <w:jc w:val="left"/>
              <w:rPr>
                <w:b w:val="0"/>
                <w:i/>
                <w:lang w:val="vi-VN"/>
              </w:rPr>
            </w:pPr>
            <w:r w:rsidRPr="00D170F3">
              <w:rPr>
                <w:b w:val="0"/>
                <w:i/>
              </w:rPr>
              <w:t xml:space="preserve">4.1 </w:t>
            </w:r>
            <w:r w:rsidR="00810962">
              <w:rPr>
                <w:b w:val="0"/>
                <w:i/>
              </w:rPr>
              <w:t>Trí</w:t>
            </w:r>
            <w:r w:rsidR="00810962">
              <w:rPr>
                <w:b w:val="0"/>
                <w:i/>
                <w:lang w:val="vi-VN"/>
              </w:rPr>
              <w:t xml:space="preserve"> tuệ nhân tạo (AI) </w:t>
            </w:r>
          </w:p>
        </w:tc>
        <w:tc>
          <w:tcPr>
            <w:tcW w:w="8363" w:type="dxa"/>
          </w:tcPr>
          <w:p w14:paraId="4604D491" w14:textId="249E072A" w:rsidR="00071E1D" w:rsidRPr="00516087" w:rsidRDefault="00810962" w:rsidP="00432A1A">
            <w:pPr>
              <w:pStyle w:val="ListParagraph"/>
              <w:numPr>
                <w:ilvl w:val="0"/>
                <w:numId w:val="40"/>
              </w:numPr>
              <w:spacing w:after="0"/>
              <w:ind w:left="406"/>
              <w:cnfStyle w:val="000000100000" w:firstRow="0" w:lastRow="0" w:firstColumn="0" w:lastColumn="0" w:oddVBand="0" w:evenVBand="0" w:oddHBand="1" w:evenHBand="0" w:firstRowFirstColumn="0" w:firstRowLastColumn="0" w:lastRowFirstColumn="0" w:lastRowLastColumn="0"/>
              <w:rPr>
                <w:rFonts w:ascii="Arial" w:eastAsia="DengXian" w:hAnsi="Arial"/>
                <w:lang w:val="en-GB"/>
              </w:rPr>
            </w:pPr>
            <w:r>
              <w:rPr>
                <w:rFonts w:ascii="Arial" w:eastAsia="DengXian" w:hAnsi="Arial"/>
                <w:lang w:val="en-GB"/>
              </w:rPr>
              <w:t>Tăng</w:t>
            </w:r>
            <w:r>
              <w:rPr>
                <w:rFonts w:ascii="Arial" w:eastAsia="DengXian" w:hAnsi="Arial"/>
                <w:lang w:val="vi-VN"/>
              </w:rPr>
              <w:t xml:space="preserve"> cường tham gia vào phát triển và triển khai tiêu chuẩn AI quốc tế </w:t>
            </w:r>
          </w:p>
        </w:tc>
      </w:tr>
      <w:tr w:rsidR="00071E1D" w:rsidRPr="00E61FF2" w14:paraId="09E59FCA" w14:textId="77777777" w:rsidTr="00A063F7">
        <w:trPr>
          <w:trHeight w:val="139"/>
        </w:trPr>
        <w:tc>
          <w:tcPr>
            <w:cnfStyle w:val="001000000000" w:firstRow="0" w:lastRow="0" w:firstColumn="1" w:lastColumn="0" w:oddVBand="0" w:evenVBand="0" w:oddHBand="0" w:evenHBand="0" w:firstRowFirstColumn="0" w:firstRowLastColumn="0" w:lastRowFirstColumn="0" w:lastRowLastColumn="0"/>
            <w:tcW w:w="2547" w:type="dxa"/>
          </w:tcPr>
          <w:p w14:paraId="4DAF205E" w14:textId="233A9B9C" w:rsidR="00071E1D" w:rsidRPr="00D170F3" w:rsidRDefault="002434B8" w:rsidP="00B40469">
            <w:pPr>
              <w:spacing w:line="276" w:lineRule="auto"/>
              <w:jc w:val="left"/>
              <w:rPr>
                <w:b w:val="0"/>
                <w:i/>
              </w:rPr>
            </w:pPr>
            <w:r w:rsidRPr="00D170F3">
              <w:rPr>
                <w:b w:val="0"/>
                <w:i/>
              </w:rPr>
              <w:t xml:space="preserve">4.2 </w:t>
            </w:r>
            <w:r w:rsidR="00071E1D" w:rsidRPr="00D170F3">
              <w:rPr>
                <w:b w:val="0"/>
                <w:i/>
              </w:rPr>
              <w:t>Blockchain</w:t>
            </w:r>
          </w:p>
        </w:tc>
        <w:tc>
          <w:tcPr>
            <w:tcW w:w="8363" w:type="dxa"/>
          </w:tcPr>
          <w:p w14:paraId="527998FA" w14:textId="14385DC8" w:rsidR="00071E1D" w:rsidRPr="00E61FF2" w:rsidRDefault="00A42984" w:rsidP="00432A1A">
            <w:pPr>
              <w:pStyle w:val="ListParagraph"/>
              <w:spacing w:after="0"/>
              <w:ind w:left="406"/>
              <w:cnfStyle w:val="000000000000" w:firstRow="0" w:lastRow="0" w:firstColumn="0" w:lastColumn="0" w:oddVBand="0" w:evenVBand="0" w:oddHBand="0" w:evenHBand="0" w:firstRowFirstColumn="0" w:firstRowLastColumn="0" w:lastRowFirstColumn="0" w:lastRowLastColumn="0"/>
              <w:rPr>
                <w:rFonts w:ascii="Arial" w:hAnsi="Arial"/>
                <w:lang w:val="en-GB"/>
              </w:rPr>
            </w:pPr>
            <w:r>
              <w:rPr>
                <w:rFonts w:ascii="Arial" w:hAnsi="Arial"/>
                <w:lang w:val="en-GB"/>
              </w:rPr>
              <w:t>Tăng</w:t>
            </w:r>
            <w:r>
              <w:rPr>
                <w:rFonts w:ascii="Arial" w:hAnsi="Arial"/>
                <w:lang w:val="vi-VN"/>
              </w:rPr>
              <w:t xml:space="preserve"> cường tham gia vào phát triển tiêu chuẩn blockchain quốc tế </w:t>
            </w:r>
          </w:p>
        </w:tc>
      </w:tr>
      <w:tr w:rsidR="00071E1D" w:rsidRPr="00E61FF2" w14:paraId="733EABCB" w14:textId="77777777" w:rsidTr="00A063F7">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2547" w:type="dxa"/>
          </w:tcPr>
          <w:p w14:paraId="66590665" w14:textId="022CAD65" w:rsidR="00071E1D" w:rsidRPr="00D170F3" w:rsidRDefault="002434B8" w:rsidP="00B40469">
            <w:pPr>
              <w:spacing w:line="276" w:lineRule="auto"/>
              <w:jc w:val="left"/>
              <w:rPr>
                <w:b w:val="0"/>
                <w:i/>
              </w:rPr>
            </w:pPr>
            <w:r w:rsidRPr="00D170F3">
              <w:rPr>
                <w:b w:val="0"/>
                <w:i/>
              </w:rPr>
              <w:t xml:space="preserve">4.3 </w:t>
            </w:r>
            <w:r w:rsidR="00A42984">
              <w:rPr>
                <w:b w:val="0"/>
                <w:i/>
              </w:rPr>
              <w:t>Điện</w:t>
            </w:r>
            <w:r w:rsidR="00A42984">
              <w:rPr>
                <w:b w:val="0"/>
                <w:i/>
                <w:lang w:val="vi-VN"/>
              </w:rPr>
              <w:t xml:space="preserve"> toán đám mây </w:t>
            </w:r>
            <w:r w:rsidR="00071E1D" w:rsidRPr="00D170F3">
              <w:rPr>
                <w:b w:val="0"/>
                <w:i/>
              </w:rPr>
              <w:t xml:space="preserve"> </w:t>
            </w:r>
          </w:p>
        </w:tc>
        <w:tc>
          <w:tcPr>
            <w:tcW w:w="8363" w:type="dxa"/>
          </w:tcPr>
          <w:p w14:paraId="00574BE1" w14:textId="1E60B476" w:rsidR="00071E1D" w:rsidRPr="00516087" w:rsidRDefault="00A42984" w:rsidP="00432A1A">
            <w:pPr>
              <w:pStyle w:val="ListParagraph"/>
              <w:numPr>
                <w:ilvl w:val="0"/>
                <w:numId w:val="40"/>
              </w:numPr>
              <w:spacing w:after="0"/>
              <w:ind w:left="406"/>
              <w:cnfStyle w:val="000000100000" w:firstRow="0" w:lastRow="0" w:firstColumn="0" w:lastColumn="0" w:oddVBand="0" w:evenVBand="0" w:oddHBand="1" w:evenHBand="0" w:firstRowFirstColumn="0" w:firstRowLastColumn="0" w:lastRowFirstColumn="0" w:lastRowLastColumn="0"/>
              <w:rPr>
                <w:rFonts w:ascii="Arial" w:eastAsia="DengXian" w:hAnsi="Arial"/>
                <w:lang w:val="en-GB"/>
              </w:rPr>
            </w:pPr>
            <w:r>
              <w:rPr>
                <w:rFonts w:ascii="Arial" w:eastAsia="DengXian" w:hAnsi="Arial"/>
                <w:lang w:val="en-GB"/>
              </w:rPr>
              <w:t>Phát</w:t>
            </w:r>
            <w:r>
              <w:rPr>
                <w:rFonts w:ascii="Arial" w:eastAsia="DengXian" w:hAnsi="Arial"/>
                <w:lang w:val="vi-VN"/>
              </w:rPr>
              <w:t xml:space="preserve"> triển Khung ASEAN cho điện toán đám mây </w:t>
            </w:r>
          </w:p>
        </w:tc>
      </w:tr>
    </w:tbl>
    <w:p w14:paraId="08896B01" w14:textId="3C988E12" w:rsidR="00071E1D" w:rsidRPr="00FA47AD" w:rsidRDefault="00A42984" w:rsidP="00071E1D">
      <w:pPr>
        <w:rPr>
          <w:i/>
          <w:sz w:val="20"/>
          <w:szCs w:val="20"/>
          <w:lang w:val="vi-VN"/>
        </w:rPr>
      </w:pPr>
      <w:r>
        <w:rPr>
          <w:i/>
          <w:sz w:val="20"/>
          <w:szCs w:val="20"/>
        </w:rPr>
        <w:t>Nguồn</w:t>
      </w:r>
      <w:r w:rsidR="00071E1D" w:rsidRPr="004F1D15">
        <w:rPr>
          <w:i/>
          <w:sz w:val="20"/>
          <w:szCs w:val="20"/>
        </w:rPr>
        <w:t>:</w:t>
      </w:r>
      <w:r w:rsidR="00FA47AD">
        <w:rPr>
          <w:i/>
          <w:sz w:val="20"/>
          <w:szCs w:val="20"/>
          <w:lang w:val="vi-VN"/>
        </w:rPr>
        <w:t xml:space="preserve"> Phân tích của</w:t>
      </w:r>
      <w:r w:rsidR="00071E1D" w:rsidRPr="004F1D15">
        <w:rPr>
          <w:i/>
          <w:sz w:val="20"/>
          <w:szCs w:val="20"/>
        </w:rPr>
        <w:t xml:space="preserve"> Access Partnership</w:t>
      </w:r>
    </w:p>
    <w:p w14:paraId="6FC06920" w14:textId="24BC5801" w:rsidR="008040BD" w:rsidRPr="00516087" w:rsidRDefault="00FA47AD" w:rsidP="007C59E0">
      <w:pPr>
        <w:pStyle w:val="Heading4"/>
        <w:rPr>
          <w:lang w:val="en-GB"/>
        </w:rPr>
      </w:pPr>
      <w:r>
        <w:rPr>
          <w:lang w:val="en-GB"/>
        </w:rPr>
        <w:t>Các</w:t>
      </w:r>
      <w:r>
        <w:rPr>
          <w:lang w:val="vi-VN"/>
        </w:rPr>
        <w:t xml:space="preserve"> loại lĩnh vực hành động </w:t>
      </w:r>
    </w:p>
    <w:p w14:paraId="114FA701" w14:textId="3F421339" w:rsidR="00B241AA" w:rsidRDefault="00FA47AD" w:rsidP="00B241AA">
      <w:r w:rsidRPr="00FA47AD">
        <w:t>Để đảm bảo bộ khuyến nghị toàn diện nhằm đạt được các mục tiêu cuối cùng, các khuyến nghị sẽ được phân loại theo ba nhóm chính</w:t>
      </w:r>
      <w:r w:rsidR="00B241AA" w:rsidRPr="004F1D15">
        <w:t>:</w:t>
      </w:r>
    </w:p>
    <w:p w14:paraId="347A0813" w14:textId="0FBA3F50" w:rsidR="008040BD" w:rsidRPr="00516087" w:rsidRDefault="00FA47AD" w:rsidP="00FF6387">
      <w:pPr>
        <w:numPr>
          <w:ilvl w:val="0"/>
          <w:numId w:val="43"/>
        </w:numPr>
      </w:pPr>
      <w:r>
        <w:rPr>
          <w:b/>
        </w:rPr>
        <w:t>Chính</w:t>
      </w:r>
      <w:r>
        <w:rPr>
          <w:b/>
          <w:lang w:val="vi-VN"/>
        </w:rPr>
        <w:t xml:space="preserve"> sách và Phối hợp</w:t>
      </w:r>
      <w:r w:rsidR="008040BD" w:rsidRPr="00516087">
        <w:t xml:space="preserve">: </w:t>
      </w:r>
      <w:r w:rsidRPr="00FA47AD">
        <w:t xml:space="preserve">Tập trung vào việc hài hòa các chính sách thương mại </w:t>
      </w:r>
      <w:r w:rsidR="00616696">
        <w:t>số</w:t>
      </w:r>
      <w:r w:rsidRPr="00FA47AD">
        <w:t>, thiết lập khung pháp lý phối hợp, và thúc đẩy hợp tác khu vực thông qua các cuộc đối thoại định kỳ và các sáng kiến chung.</w:t>
      </w:r>
    </w:p>
    <w:p w14:paraId="4894992B" w14:textId="79033AC6" w:rsidR="008040BD" w:rsidRPr="00516087" w:rsidRDefault="00FA47AD" w:rsidP="00FF6387">
      <w:pPr>
        <w:numPr>
          <w:ilvl w:val="0"/>
          <w:numId w:val="43"/>
        </w:numPr>
      </w:pPr>
      <w:r>
        <w:rPr>
          <w:b/>
        </w:rPr>
        <w:t>Nâng</w:t>
      </w:r>
      <w:r>
        <w:rPr>
          <w:b/>
          <w:lang w:val="vi-VN"/>
        </w:rPr>
        <w:t xml:space="preserve"> cao năng lực và Hỗ trợ kỹ </w:t>
      </w:r>
      <w:r w:rsidR="00766B44">
        <w:rPr>
          <w:b/>
          <w:lang w:val="vi-VN"/>
        </w:rPr>
        <w:t>thuật</w:t>
      </w:r>
      <w:r w:rsidR="008040BD" w:rsidRPr="00516087">
        <w:t xml:space="preserve">: </w:t>
      </w:r>
      <w:r w:rsidR="00766B44" w:rsidRPr="00766B44">
        <w:t xml:space="preserve">Cung cấp giáo dục, hỗ trợ kỹ thuật, và hỗ trợ thể chế nhằm tăng cường năng lực của chính phủ và các cơ quan quản lý trong việc áp dụng các tiêu chuẩn thương mại </w:t>
      </w:r>
      <w:r w:rsidR="00616696">
        <w:t>số</w:t>
      </w:r>
      <w:r w:rsidR="00766B44" w:rsidRPr="00766B44">
        <w:t>.</w:t>
      </w:r>
    </w:p>
    <w:p w14:paraId="07C4DF6A" w14:textId="3A6F6D55" w:rsidR="008040BD" w:rsidRPr="00516087" w:rsidRDefault="00766B44" w:rsidP="00FF6387">
      <w:pPr>
        <w:numPr>
          <w:ilvl w:val="0"/>
          <w:numId w:val="43"/>
        </w:numPr>
      </w:pPr>
      <w:r>
        <w:rPr>
          <w:b/>
        </w:rPr>
        <w:t>Phát</w:t>
      </w:r>
      <w:r>
        <w:rPr>
          <w:b/>
          <w:lang w:val="vi-VN"/>
        </w:rPr>
        <w:t xml:space="preserve"> triển Hạ tầng </w:t>
      </w:r>
      <w:r w:rsidR="00616696">
        <w:rPr>
          <w:b/>
          <w:lang w:val="vi-VN"/>
        </w:rPr>
        <w:t>số</w:t>
      </w:r>
      <w:r w:rsidR="008040BD" w:rsidRPr="00516087">
        <w:t xml:space="preserve">: </w:t>
      </w:r>
      <w:r w:rsidR="007A6CFF" w:rsidRPr="007A6CFF">
        <w:t xml:space="preserve">Nhấn mạnh đầu tư vào hạ tầng </w:t>
      </w:r>
      <w:r w:rsidR="00616696">
        <w:t>số</w:t>
      </w:r>
      <w:r w:rsidR="007A6CFF" w:rsidRPr="007A6CFF">
        <w:t xml:space="preserve">, an ninh mạng, và tính tương thích liên hệ để xây dựng một hệ sinh thái </w:t>
      </w:r>
      <w:r w:rsidR="00616696">
        <w:t>số</w:t>
      </w:r>
      <w:r w:rsidR="007A6CFF" w:rsidRPr="007A6CFF">
        <w:t xml:space="preserve"> bền vững, hỗ trợ thương mại </w:t>
      </w:r>
      <w:r w:rsidR="00616696">
        <w:t>số</w:t>
      </w:r>
      <w:r w:rsidR="007A6CFF" w:rsidRPr="007A6CFF">
        <w:t xml:space="preserve"> xuyên biên giới liền mạch.</w:t>
      </w:r>
    </w:p>
    <w:p w14:paraId="35B61C82" w14:textId="3599AF71" w:rsidR="00FC4DB9" w:rsidRPr="00516087" w:rsidRDefault="007A6CFF" w:rsidP="0024203C">
      <w:pPr>
        <w:pStyle w:val="Heading2"/>
        <w:rPr>
          <w:b/>
          <w:lang w:val="en-GB"/>
        </w:rPr>
      </w:pPr>
      <w:bookmarkStart w:id="24" w:name="_Toc177671519"/>
      <w:bookmarkStart w:id="25" w:name="_Toc177672215"/>
      <w:bookmarkStart w:id="26" w:name="_Toc177677793"/>
      <w:bookmarkStart w:id="27" w:name="_Toc177671520"/>
      <w:bookmarkStart w:id="28" w:name="_Toc177672216"/>
      <w:bookmarkStart w:id="29" w:name="_Toc177677794"/>
      <w:bookmarkStart w:id="30" w:name="_Toc177671521"/>
      <w:bookmarkStart w:id="31" w:name="_Toc177672217"/>
      <w:bookmarkStart w:id="32" w:name="_Toc177677795"/>
      <w:bookmarkStart w:id="33" w:name="_Toc177671522"/>
      <w:bookmarkStart w:id="34" w:name="_Toc177672218"/>
      <w:bookmarkStart w:id="35" w:name="_Toc177677796"/>
      <w:bookmarkStart w:id="36" w:name="_Toc177671523"/>
      <w:bookmarkStart w:id="37" w:name="_Toc177672219"/>
      <w:bookmarkStart w:id="38" w:name="_Toc177677797"/>
      <w:bookmarkStart w:id="39" w:name="_Toc177671524"/>
      <w:bookmarkStart w:id="40" w:name="_Toc177672220"/>
      <w:bookmarkStart w:id="41" w:name="_Toc17767779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Pr>
          <w:b/>
          <w:lang w:val="en-GB"/>
        </w:rPr>
        <w:t>Khuyến</w:t>
      </w:r>
      <w:r>
        <w:rPr>
          <w:b/>
          <w:lang w:val="vi-VN"/>
        </w:rPr>
        <w:t xml:space="preserve"> nghị chính về Hài hòa Tiêu chuẩn Thương mại </w:t>
      </w:r>
      <w:r w:rsidR="00616696">
        <w:rPr>
          <w:b/>
          <w:lang w:val="vi-VN"/>
        </w:rPr>
        <w:t>Số</w:t>
      </w:r>
      <w:r>
        <w:rPr>
          <w:b/>
          <w:lang w:val="vi-VN"/>
        </w:rPr>
        <w:t xml:space="preserve"> (</w:t>
      </w:r>
      <w:r w:rsidR="00F873B7">
        <w:rPr>
          <w:b/>
          <w:lang w:val="vi-VN"/>
        </w:rPr>
        <w:t>TCTMS</w:t>
      </w:r>
      <w:r>
        <w:rPr>
          <w:b/>
          <w:lang w:val="vi-VN"/>
        </w:rPr>
        <w:t xml:space="preserve">) tại ASEAN </w:t>
      </w:r>
    </w:p>
    <w:p w14:paraId="0A700A7D" w14:textId="0EDE8913" w:rsidR="0024203C" w:rsidRPr="001F7142" w:rsidRDefault="001F7142" w:rsidP="00FC4DB9">
      <w:pPr>
        <w:rPr>
          <w:lang w:val="vi-VN"/>
        </w:rPr>
      </w:pPr>
      <w:r>
        <w:t>Một</w:t>
      </w:r>
      <w:r>
        <w:rPr>
          <w:lang w:val="vi-VN"/>
        </w:rPr>
        <w:t xml:space="preserve"> bộ khuyến nghị toàn diện đã được xây dựng tương ứng nhằm đạt được các mục tiêu cho từng lĩnh vực thương mại số. Các khuyến nghị được phân nhóm thành ba lĩnh vực sau:</w:t>
      </w:r>
    </w:p>
    <w:p w14:paraId="15DB53F1" w14:textId="7CC1F4AE" w:rsidR="0024203C" w:rsidRPr="00516087" w:rsidRDefault="002041DE" w:rsidP="00FF6387">
      <w:pPr>
        <w:numPr>
          <w:ilvl w:val="0"/>
          <w:numId w:val="43"/>
        </w:numPr>
      </w:pPr>
      <w:r>
        <w:rPr>
          <w:b/>
        </w:rPr>
        <w:t>Chính</w:t>
      </w:r>
      <w:r>
        <w:rPr>
          <w:b/>
          <w:lang w:val="vi-VN"/>
        </w:rPr>
        <w:t xml:space="preserve"> sách và phối hợp</w:t>
      </w:r>
      <w:r w:rsidR="00666713" w:rsidRPr="00516087">
        <w:t xml:space="preserve">, </w:t>
      </w:r>
      <w:r>
        <w:t>t</w:t>
      </w:r>
      <w:r w:rsidRPr="002041DE">
        <w:t xml:space="preserve">ập trung vào việc hài hòa các chính sách thương mại </w:t>
      </w:r>
      <w:r w:rsidR="00616696">
        <w:t>số</w:t>
      </w:r>
      <w:r w:rsidRPr="002041DE">
        <w:t>, thiết lập khung pháp lý phối hợp, và thúc đẩy hợp tác khu vực thông qua các cuộc đối thoại định kỳ và các sáng kiến chung;</w:t>
      </w:r>
    </w:p>
    <w:p w14:paraId="1A2FF149" w14:textId="7456E8CE" w:rsidR="0024203C" w:rsidRPr="00516087" w:rsidRDefault="00392D94" w:rsidP="00FF6387">
      <w:pPr>
        <w:numPr>
          <w:ilvl w:val="0"/>
          <w:numId w:val="43"/>
        </w:numPr>
      </w:pPr>
      <w:r w:rsidRPr="00392D94">
        <w:rPr>
          <w:b/>
        </w:rPr>
        <w:t xml:space="preserve">Nâng cao năng lực và hỗ trợ kỹ </w:t>
      </w:r>
      <w:r>
        <w:rPr>
          <w:b/>
        </w:rPr>
        <w:t>thuật</w:t>
      </w:r>
      <w:r>
        <w:rPr>
          <w:b/>
          <w:lang w:val="vi-VN"/>
        </w:rPr>
        <w:t>,</w:t>
      </w:r>
      <w:r w:rsidRPr="00392D94">
        <w:rPr>
          <w:b/>
        </w:rPr>
        <w:t xml:space="preserve"> </w:t>
      </w:r>
      <w:r w:rsidRPr="00392D94">
        <w:rPr>
          <w:bCs/>
        </w:rPr>
        <w:t xml:space="preserve">cung cấp giáo dục, hỗ trợ kỹ thuật, và hỗ trợ thể chế nhằm tăng cường năng lực của chính phủ và các cơ quan quản lý trong việc áp dụng các tiêu chuẩn thương mại </w:t>
      </w:r>
      <w:r w:rsidR="00616696">
        <w:rPr>
          <w:bCs/>
        </w:rPr>
        <w:t>số</w:t>
      </w:r>
      <w:r w:rsidRPr="00392D94">
        <w:rPr>
          <w:bCs/>
        </w:rPr>
        <w:t>;</w:t>
      </w:r>
      <w:r w:rsidRPr="00392D94">
        <w:rPr>
          <w:bCs/>
          <w:lang w:val="vi-VN"/>
        </w:rPr>
        <w:t xml:space="preserve"> và</w:t>
      </w:r>
    </w:p>
    <w:p w14:paraId="3C4841DB" w14:textId="57AFC5AF" w:rsidR="0024203C" w:rsidRPr="00392D94" w:rsidRDefault="00392D94" w:rsidP="00FF6387">
      <w:pPr>
        <w:numPr>
          <w:ilvl w:val="0"/>
          <w:numId w:val="43"/>
        </w:numPr>
        <w:rPr>
          <w:bCs/>
        </w:rPr>
      </w:pPr>
      <w:r w:rsidRPr="00392D94">
        <w:rPr>
          <w:b/>
        </w:rPr>
        <w:lastRenderedPageBreak/>
        <w:t xml:space="preserve">Phát triển hạ tầng </w:t>
      </w:r>
      <w:r w:rsidR="00616696">
        <w:rPr>
          <w:b/>
        </w:rPr>
        <w:t>số</w:t>
      </w:r>
      <w:r>
        <w:rPr>
          <w:b/>
          <w:lang w:val="vi-VN"/>
        </w:rPr>
        <w:t>,</w:t>
      </w:r>
      <w:r w:rsidRPr="00392D94">
        <w:rPr>
          <w:b/>
        </w:rPr>
        <w:t xml:space="preserve"> </w:t>
      </w:r>
      <w:r w:rsidRPr="00392D94">
        <w:rPr>
          <w:bCs/>
        </w:rPr>
        <w:t xml:space="preserve">nhấn mạnh đầu tư vào hạ tầng </w:t>
      </w:r>
      <w:r w:rsidR="00616696">
        <w:rPr>
          <w:bCs/>
        </w:rPr>
        <w:t>số</w:t>
      </w:r>
      <w:r w:rsidRPr="00392D94">
        <w:rPr>
          <w:bCs/>
        </w:rPr>
        <w:t xml:space="preserve">, an ninh mạng, và tính tương thích liên hệ để xây dựng một hệ sinh thái </w:t>
      </w:r>
      <w:r w:rsidR="00616696">
        <w:rPr>
          <w:bCs/>
        </w:rPr>
        <w:t>số</w:t>
      </w:r>
      <w:r w:rsidRPr="00392D94">
        <w:rPr>
          <w:bCs/>
        </w:rPr>
        <w:t xml:space="preserve"> bền vững, hỗ trợ thương mại </w:t>
      </w:r>
      <w:r w:rsidR="00616696">
        <w:rPr>
          <w:bCs/>
        </w:rPr>
        <w:t>số</w:t>
      </w:r>
      <w:r w:rsidRPr="00392D94">
        <w:rPr>
          <w:bCs/>
        </w:rPr>
        <w:t xml:space="preserve"> xuyên biên giới liền mạch</w:t>
      </w:r>
      <w:r w:rsidR="0024203C" w:rsidRPr="00392D94">
        <w:rPr>
          <w:bCs/>
        </w:rPr>
        <w:t>.</w:t>
      </w:r>
    </w:p>
    <w:p w14:paraId="73F50696" w14:textId="4491195D" w:rsidR="006243B8" w:rsidRDefault="006243B8" w:rsidP="00FC4DB9">
      <w:pPr>
        <w:rPr>
          <w:lang w:val="vi-VN"/>
        </w:rPr>
      </w:pPr>
      <w:r w:rsidRPr="006243B8">
        <w:t xml:space="preserve">Các khuyến nghị này có thể được triển khai trong 10 năm tới (2025–2034), với các cột mốc ngắn hạn trong 1–2 năm đầu (2025–2026), cột mốc trung hạn trong 3–5 năm tiếp theo (2027–2029), và cột mốc dài hạn trong 5–10 năm (2030–2034). Bên cạnh đó, Lộ trình </w:t>
      </w:r>
      <w:r w:rsidR="00F873B7">
        <w:t>TCTMS</w:t>
      </w:r>
      <w:r w:rsidRPr="006243B8">
        <w:t xml:space="preserve"> ASEAN được kỳ vọng linh hoạt để thích ứng với các diễn biến toàn cầu và khu vực. Vì vậy, việc triển khai các khuyến nghị chính nên được theo dõi, đánh giá và điều chỉnh định kỳ, bao gồm cả việc học hỏi từ kinh nghiệm triển khai các sáng kiến trước đó. Đặc biệt, nên thực hiện đánh giá trung kỳ vào khoảng năm thứ năm của Lộ trình, tức là vào khoảng năm 2029.</w:t>
      </w:r>
    </w:p>
    <w:p w14:paraId="555BB756" w14:textId="5F255A0F" w:rsidR="0024203C" w:rsidRPr="006243B8" w:rsidRDefault="006243B8" w:rsidP="00FC4DB9">
      <w:pPr>
        <w:rPr>
          <w:lang w:val="vi-VN"/>
        </w:rPr>
      </w:pPr>
      <w:r>
        <w:t>Bảng</w:t>
      </w:r>
      <w:r>
        <w:rPr>
          <w:lang w:val="vi-VN"/>
        </w:rPr>
        <w:t xml:space="preserve"> 2 cung cấp tổng quan cấp cao về các khuyến nghị được chọn để hài hòa </w:t>
      </w:r>
      <w:r w:rsidR="00F873B7">
        <w:rPr>
          <w:lang w:val="vi-VN"/>
        </w:rPr>
        <w:t>TCTMS</w:t>
      </w:r>
      <w:r>
        <w:rPr>
          <w:lang w:val="vi-VN"/>
        </w:rPr>
        <w:t xml:space="preserve"> cho từng lĩnh vực thương mại </w:t>
      </w:r>
      <w:r w:rsidR="00616696">
        <w:rPr>
          <w:lang w:val="vi-VN"/>
        </w:rPr>
        <w:t>số</w:t>
      </w:r>
      <w:r>
        <w:rPr>
          <w:lang w:val="vi-VN"/>
        </w:rPr>
        <w:t xml:space="preserve"> </w:t>
      </w:r>
    </w:p>
    <w:p w14:paraId="21B15133" w14:textId="20342C53" w:rsidR="00AF0668" w:rsidRPr="00927456" w:rsidRDefault="00927456" w:rsidP="00AF0668">
      <w:pPr>
        <w:pStyle w:val="Caption"/>
        <w:rPr>
          <w:lang w:val="vi-VN"/>
        </w:rPr>
      </w:pPr>
      <w:r>
        <w:t>Bảng</w:t>
      </w:r>
      <w:r>
        <w:rPr>
          <w:lang w:val="vi-VN"/>
        </w:rPr>
        <w:t xml:space="preserve"> 2. Tổng quan về các Khuyến nghị được chọn cho các lĩnh vực thương mại </w:t>
      </w:r>
      <w:r w:rsidR="00616696">
        <w:rPr>
          <w:lang w:val="vi-VN"/>
        </w:rPr>
        <w:t>số</w:t>
      </w:r>
    </w:p>
    <w:tbl>
      <w:tblPr>
        <w:tblStyle w:val="GridTable4-Accent5"/>
        <w:tblW w:w="10910" w:type="dxa"/>
        <w:tblLook w:val="04A0" w:firstRow="1" w:lastRow="0" w:firstColumn="1" w:lastColumn="0" w:noHBand="0" w:noVBand="1"/>
      </w:tblPr>
      <w:tblGrid>
        <w:gridCol w:w="2547"/>
        <w:gridCol w:w="8363"/>
      </w:tblGrid>
      <w:tr w:rsidR="00880304" w:rsidRPr="004F1D15" w14:paraId="6F60732B" w14:textId="77777777" w:rsidTr="00646483">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2547" w:type="dxa"/>
            <w:shd w:val="clear" w:color="auto" w:fill="002060"/>
          </w:tcPr>
          <w:p w14:paraId="689B257B" w14:textId="08ECBB9C" w:rsidR="00081454" w:rsidRPr="004F1D15" w:rsidRDefault="008F53FC" w:rsidP="00646483">
            <w:pPr>
              <w:spacing w:line="276" w:lineRule="auto"/>
              <w:jc w:val="left"/>
            </w:pPr>
            <w:r>
              <w:t>Lĩnh vực thương mại số và các lĩnh vực phụ</w:t>
            </w:r>
          </w:p>
        </w:tc>
        <w:tc>
          <w:tcPr>
            <w:tcW w:w="8363" w:type="dxa"/>
            <w:shd w:val="clear" w:color="auto" w:fill="002060"/>
            <w:vAlign w:val="center"/>
          </w:tcPr>
          <w:p w14:paraId="22F9C2D1" w14:textId="3202B206" w:rsidR="00081454" w:rsidRPr="004F1D15" w:rsidRDefault="008F53FC" w:rsidP="00646483">
            <w:pPr>
              <w:spacing w:line="276" w:lineRule="auto"/>
              <w:jc w:val="left"/>
              <w:cnfStyle w:val="100000000000" w:firstRow="1" w:lastRow="0" w:firstColumn="0" w:lastColumn="0" w:oddVBand="0" w:evenVBand="0" w:oddHBand="0" w:evenHBand="0" w:firstRowFirstColumn="0" w:firstRowLastColumn="0" w:lastRowFirstColumn="0" w:lastRowLastColumn="0"/>
            </w:pPr>
            <w:r>
              <w:t>Khuyến nghị được chọn</w:t>
            </w:r>
            <w:r w:rsidR="00081454">
              <w:t xml:space="preserve"> </w:t>
            </w:r>
            <w:r w:rsidR="00081454" w:rsidRPr="004F1D15">
              <w:t xml:space="preserve"> </w:t>
            </w:r>
          </w:p>
        </w:tc>
      </w:tr>
      <w:tr w:rsidR="0029726B" w:rsidRPr="004F1D15" w14:paraId="6867645C" w14:textId="77777777" w:rsidTr="008C4E60">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0910" w:type="dxa"/>
            <w:gridSpan w:val="2"/>
            <w:shd w:val="clear" w:color="auto" w:fill="BDD6EE" w:themeFill="accent5" w:themeFillTint="66"/>
          </w:tcPr>
          <w:p w14:paraId="1CF46F88" w14:textId="54872E47" w:rsidR="00081454" w:rsidRPr="00E12249" w:rsidRDefault="008F53FC" w:rsidP="00454C17">
            <w:pPr>
              <w:spacing w:after="160" w:line="276" w:lineRule="auto"/>
              <w:jc w:val="left"/>
              <w:rPr>
                <w:rFonts w:eastAsia="DengXian"/>
                <w:b w:val="0"/>
                <w:bCs w:val="0"/>
                <w:kern w:val="2"/>
                <w:lang w:eastAsia="zh-CN"/>
                <w14:ligatures w14:val="standardContextual"/>
              </w:rPr>
            </w:pPr>
            <w:r>
              <w:t xml:space="preserve">Lĩnh vực thương mại số số </w:t>
            </w:r>
            <w:r w:rsidR="006B4749">
              <w:t xml:space="preserve">1: </w:t>
            </w:r>
            <w:r w:rsidR="00081454" w:rsidRPr="004F1D15">
              <w:t xml:space="preserve">Logistics </w:t>
            </w:r>
            <w:r>
              <w:t>vào giao nhận số</w:t>
            </w:r>
          </w:p>
        </w:tc>
      </w:tr>
      <w:tr w:rsidR="0029726B" w:rsidRPr="004F1D15" w14:paraId="5D4481DD" w14:textId="77777777" w:rsidTr="00646483">
        <w:trPr>
          <w:trHeight w:val="328"/>
        </w:trPr>
        <w:tc>
          <w:tcPr>
            <w:cnfStyle w:val="001000000000" w:firstRow="0" w:lastRow="0" w:firstColumn="1" w:lastColumn="0" w:oddVBand="0" w:evenVBand="0" w:oddHBand="0" w:evenHBand="0" w:firstRowFirstColumn="0" w:firstRowLastColumn="0" w:lastRowFirstColumn="0" w:lastRowLastColumn="0"/>
            <w:tcW w:w="2547" w:type="dxa"/>
            <w:vMerge w:val="restart"/>
          </w:tcPr>
          <w:p w14:paraId="618200DA" w14:textId="35F185DC" w:rsidR="00081454" w:rsidRPr="004F1D15" w:rsidRDefault="008F53FC" w:rsidP="00353E3F">
            <w:pPr>
              <w:spacing w:line="276" w:lineRule="auto"/>
              <w:jc w:val="left"/>
            </w:pPr>
            <w:r>
              <w:t>Giao hàng chặng</w:t>
            </w:r>
            <w:r w:rsidR="00081454" w:rsidRPr="004F1D15">
              <w:t xml:space="preserve"> </w:t>
            </w:r>
          </w:p>
        </w:tc>
        <w:tc>
          <w:tcPr>
            <w:tcW w:w="8363" w:type="dxa"/>
          </w:tcPr>
          <w:p w14:paraId="53678675" w14:textId="11EE6014" w:rsidR="00081454" w:rsidRPr="00731A07" w:rsidRDefault="008B26AF" w:rsidP="00353E3F">
            <w:pPr>
              <w:spacing w:line="276" w:lineRule="auto"/>
              <w:cnfStyle w:val="000000000000" w:firstRow="0" w:lastRow="0" w:firstColumn="0" w:lastColumn="0" w:oddVBand="0" w:evenVBand="0" w:oddHBand="0" w:evenHBand="0" w:firstRowFirstColumn="0" w:firstRowLastColumn="0" w:lastRowFirstColumn="0" w:lastRowLastColumn="0"/>
              <w:rPr>
                <w:u w:val="single"/>
              </w:rPr>
            </w:pPr>
            <w:r>
              <w:rPr>
                <w:u w:val="single"/>
              </w:rPr>
              <w:t>Khuyến</w:t>
            </w:r>
            <w:r>
              <w:rPr>
                <w:u w:val="single"/>
                <w:lang w:val="vi-VN"/>
              </w:rPr>
              <w:t xml:space="preserve"> nghị</w:t>
            </w:r>
            <w:r w:rsidR="00081454" w:rsidRPr="00731A07">
              <w:rPr>
                <w:u w:val="single"/>
              </w:rPr>
              <w:t xml:space="preserve">: </w:t>
            </w:r>
          </w:p>
          <w:p w14:paraId="459E197C" w14:textId="76DB99B4" w:rsidR="00081454" w:rsidRPr="00516087" w:rsidRDefault="003B402B" w:rsidP="00FF6387">
            <w:pPr>
              <w:pStyle w:val="ListParagraph"/>
              <w:numPr>
                <w:ilvl w:val="0"/>
                <w:numId w:val="40"/>
              </w:numPr>
              <w:spacing w:after="160"/>
              <w:cnfStyle w:val="000000000000" w:firstRow="0" w:lastRow="0" w:firstColumn="0" w:lastColumn="0" w:oddVBand="0" w:evenVBand="0" w:oddHBand="0" w:evenHBand="0" w:firstRowFirstColumn="0" w:firstRowLastColumn="0" w:lastRowFirstColumn="0" w:lastRowLastColumn="0"/>
              <w:rPr>
                <w:rFonts w:eastAsia="DengXian"/>
                <w:lang w:val="en-GB"/>
              </w:rPr>
            </w:pPr>
            <w:r>
              <w:rPr>
                <w:rFonts w:eastAsia="DengXian"/>
                <w:lang w:val="en-GB"/>
              </w:rPr>
              <w:t>Phát</w:t>
            </w:r>
            <w:r>
              <w:rPr>
                <w:rFonts w:eastAsia="DengXian"/>
                <w:lang w:val="vi-VN"/>
              </w:rPr>
              <w:t xml:space="preserve"> triển khung giao hàng chặng cuối (last mile delivery) của ASEAN </w:t>
            </w:r>
          </w:p>
        </w:tc>
      </w:tr>
      <w:tr w:rsidR="0029726B" w:rsidRPr="004F1D15" w14:paraId="606B153E" w14:textId="77777777" w:rsidTr="008C4E60">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547" w:type="dxa"/>
            <w:vMerge/>
          </w:tcPr>
          <w:p w14:paraId="2836D0A1" w14:textId="77777777" w:rsidR="00081454" w:rsidRPr="004F1D15" w:rsidRDefault="00081454" w:rsidP="00353E3F">
            <w:pPr>
              <w:spacing w:line="276" w:lineRule="auto"/>
              <w:jc w:val="left"/>
            </w:pPr>
          </w:p>
        </w:tc>
        <w:tc>
          <w:tcPr>
            <w:tcW w:w="8363" w:type="dxa"/>
            <w:shd w:val="clear" w:color="auto" w:fill="BDD6EE" w:themeFill="accent5" w:themeFillTint="66"/>
          </w:tcPr>
          <w:p w14:paraId="553E790E" w14:textId="77777777" w:rsidR="00F939E1" w:rsidRDefault="003B402B" w:rsidP="002C4BF9">
            <w:pPr>
              <w:spacing w:line="276" w:lineRule="auto"/>
              <w:cnfStyle w:val="000000100000" w:firstRow="0" w:lastRow="0" w:firstColumn="0" w:lastColumn="0" w:oddVBand="0" w:evenVBand="0" w:oddHBand="1" w:evenHBand="0" w:firstRowFirstColumn="0" w:firstRowLastColumn="0" w:lastRowFirstColumn="0" w:lastRowLastColumn="0"/>
              <w:rPr>
                <w:rStyle w:val="ui-provider"/>
                <w:lang w:val="vi-VN"/>
              </w:rPr>
            </w:pPr>
            <w:r w:rsidRPr="003B402B">
              <w:rPr>
                <w:rStyle w:val="ui-provider"/>
                <w:lang w:val="vi-VN"/>
              </w:rPr>
              <w:t>Trong bối cảnh thương mại điện tử phát triển nhanh chóng và sự gia tăng của các giao dịch trực tiếp với người tiêu dùng, giao hàng chặng cuối đã trở thành động lực quan trọng của nền kinh tế số ASEAN. Một hệ sinh thái giao hàng chặng cuối phát triển tốt giúp tăng cường khả năng chống chịu của chuỗi cung ứng, trực tiếp hỗ trợ mục tiêu của Hiệp định Thương mại Điện tử ASEAN nhằm thúc đẩy việc ứng dụng và sử dụng thương mại điện tử trên toàn khu vực</w:t>
            </w:r>
            <w:r w:rsidR="00F939E1" w:rsidRPr="00357DFF">
              <w:rPr>
                <w:rStyle w:val="ui-provider"/>
              </w:rPr>
              <w:t>.</w:t>
            </w:r>
            <w:r w:rsidR="00F939E1" w:rsidRPr="004F1D15">
              <w:rPr>
                <w:rStyle w:val="FootnoteReference"/>
              </w:rPr>
              <w:footnoteReference w:id="4"/>
            </w:r>
            <w:r w:rsidRPr="003B402B">
              <w:rPr>
                <w:rStyle w:val="ui-provider"/>
                <w:lang w:val="vi-VN"/>
              </w:rPr>
              <w:t xml:space="preserve"> Các tiêu chuẩn giao hàng chặng cuối có vai trò quan trọng trong việc giúp các nhà cung cấp dịch vụ logistics tối ưu hóa vận hành, giảm chi phí và nâng cao chất lượng dịch vụ.</w:t>
            </w:r>
          </w:p>
          <w:p w14:paraId="7BE0C149" w14:textId="77777777" w:rsidR="00F939E1" w:rsidRDefault="00F939E1" w:rsidP="002C4BF9">
            <w:pPr>
              <w:spacing w:line="276" w:lineRule="auto"/>
              <w:cnfStyle w:val="000000100000" w:firstRow="0" w:lastRow="0" w:firstColumn="0" w:lastColumn="0" w:oddVBand="0" w:evenVBand="0" w:oddHBand="1" w:evenHBand="0" w:firstRowFirstColumn="0" w:firstRowLastColumn="0" w:lastRowFirstColumn="0" w:lastRowLastColumn="0"/>
              <w:rPr>
                <w:rStyle w:val="ui-provider"/>
                <w:lang w:val="vi-VN"/>
              </w:rPr>
            </w:pPr>
          </w:p>
          <w:p w14:paraId="2B25B3AF" w14:textId="58B6E7A0" w:rsidR="00081454" w:rsidRPr="00F939E1" w:rsidRDefault="00F939E1" w:rsidP="002C4BF9">
            <w:pPr>
              <w:spacing w:line="276" w:lineRule="auto"/>
              <w:cnfStyle w:val="000000100000" w:firstRow="0" w:lastRow="0" w:firstColumn="0" w:lastColumn="0" w:oddVBand="0" w:evenVBand="0" w:oddHBand="1" w:evenHBand="0" w:firstRowFirstColumn="0" w:firstRowLastColumn="0" w:lastRowFirstColumn="0" w:lastRowLastColumn="0"/>
              <w:rPr>
                <w:lang w:val="vi-VN"/>
              </w:rPr>
            </w:pPr>
            <w:r w:rsidRPr="00F939E1">
              <w:rPr>
                <w:rStyle w:val="ui-provider"/>
                <w:lang w:val="vi-VN"/>
              </w:rPr>
              <w:t xml:space="preserve">Mặc dù hiện chưa có tiêu chuẩn quốc tế cho giao hàng chặng cuối, một số AMS như Singapore, Malaysia và Indonesia đã khởi động xây dựng các khung khổ quốc gia. Do đó, việc phát triển một khung khổ cấp ASEAN quy định các nguyên tắc chung về giao hàng chặng cuối cho toàn khu vực sẽ thúc </w:t>
            </w:r>
            <w:r w:rsidRPr="00F939E1">
              <w:rPr>
                <w:rStyle w:val="ui-provider"/>
                <w:lang w:val="vi-VN"/>
              </w:rPr>
              <w:lastRenderedPageBreak/>
              <w:t>đẩy khả năng tương tác và hợp tác khu vực, từ đó nâng cao hiệu quả và giảm chi phí trong thương mại xuyên biên giới.</w:t>
            </w:r>
          </w:p>
        </w:tc>
      </w:tr>
      <w:tr w:rsidR="00081454" w:rsidRPr="004F1D15" w14:paraId="22653898" w14:textId="77777777" w:rsidTr="00646483">
        <w:trPr>
          <w:trHeight w:val="699"/>
        </w:trPr>
        <w:tc>
          <w:tcPr>
            <w:cnfStyle w:val="001000000000" w:firstRow="0" w:lastRow="0" w:firstColumn="1" w:lastColumn="0" w:oddVBand="0" w:evenVBand="0" w:oddHBand="0" w:evenHBand="0" w:firstRowFirstColumn="0" w:firstRowLastColumn="0" w:lastRowFirstColumn="0" w:lastRowLastColumn="0"/>
            <w:tcW w:w="2547" w:type="dxa"/>
            <w:vMerge w:val="restart"/>
          </w:tcPr>
          <w:p w14:paraId="071ACF1B" w14:textId="49A05458" w:rsidR="00081454" w:rsidRPr="004F1D15" w:rsidRDefault="008F53FC" w:rsidP="00353E3F">
            <w:pPr>
              <w:spacing w:line="276" w:lineRule="auto"/>
              <w:jc w:val="left"/>
            </w:pPr>
            <w:r>
              <w:t>Khung hải quan</w:t>
            </w:r>
          </w:p>
        </w:tc>
        <w:tc>
          <w:tcPr>
            <w:tcW w:w="8363" w:type="dxa"/>
          </w:tcPr>
          <w:p w14:paraId="2A8801A5" w14:textId="5BAF96C6" w:rsidR="00081454" w:rsidRPr="00731A07" w:rsidRDefault="000D5A92" w:rsidP="00353E3F">
            <w:pPr>
              <w:spacing w:line="276" w:lineRule="auto"/>
              <w:cnfStyle w:val="000000000000" w:firstRow="0" w:lastRow="0" w:firstColumn="0" w:lastColumn="0" w:oddVBand="0" w:evenVBand="0" w:oddHBand="0" w:evenHBand="0" w:firstRowFirstColumn="0" w:firstRowLastColumn="0" w:lastRowFirstColumn="0" w:lastRowLastColumn="0"/>
              <w:rPr>
                <w:u w:val="single"/>
              </w:rPr>
            </w:pPr>
            <w:r>
              <w:rPr>
                <w:u w:val="single"/>
              </w:rPr>
              <w:t>Các</w:t>
            </w:r>
            <w:r>
              <w:rPr>
                <w:u w:val="single"/>
                <w:lang w:val="vi-VN"/>
              </w:rPr>
              <w:t xml:space="preserve"> khuyến nghị</w:t>
            </w:r>
            <w:r w:rsidR="00081454" w:rsidRPr="00731A07">
              <w:rPr>
                <w:u w:val="single"/>
              </w:rPr>
              <w:t xml:space="preserve">: </w:t>
            </w:r>
          </w:p>
          <w:p w14:paraId="3EB3F1AE" w14:textId="0DB98FEA" w:rsidR="00081454" w:rsidRPr="00516087" w:rsidRDefault="000D5A92" w:rsidP="00FF6387">
            <w:pPr>
              <w:pStyle w:val="ListParagraph"/>
              <w:numPr>
                <w:ilvl w:val="0"/>
                <w:numId w:val="40"/>
              </w:numPr>
              <w:spacing w:after="160"/>
              <w:cnfStyle w:val="000000000000" w:firstRow="0" w:lastRow="0" w:firstColumn="0" w:lastColumn="0" w:oddVBand="0" w:evenVBand="0" w:oddHBand="0" w:evenHBand="0" w:firstRowFirstColumn="0" w:firstRowLastColumn="0" w:lastRowFirstColumn="0" w:lastRowLastColumn="0"/>
              <w:rPr>
                <w:rFonts w:ascii="Arial" w:eastAsia="DengXian" w:hAnsi="Arial"/>
                <w:lang w:val="en-GB"/>
              </w:rPr>
            </w:pPr>
            <w:r>
              <w:rPr>
                <w:rFonts w:ascii="Arial" w:eastAsia="DengXian" w:hAnsi="Arial"/>
                <w:lang w:val="en-GB"/>
              </w:rPr>
              <w:t>Phát</w:t>
            </w:r>
            <w:r>
              <w:rPr>
                <w:rFonts w:ascii="Arial" w:eastAsia="DengXian" w:hAnsi="Arial"/>
                <w:lang w:val="vi-VN"/>
              </w:rPr>
              <w:t xml:space="preserve"> triển thế hệ mới của Cơ chế Một cửa ASEAN</w:t>
            </w:r>
            <w:r w:rsidR="00081454" w:rsidRPr="004F1D15">
              <w:rPr>
                <w:rStyle w:val="FootnoteReference"/>
                <w:rFonts w:ascii="Arial" w:hAnsi="Arial"/>
                <w:lang w:val="en-GB"/>
              </w:rPr>
              <w:footnoteReference w:id="5"/>
            </w:r>
            <w:r>
              <w:rPr>
                <w:rFonts w:ascii="Arial" w:eastAsia="DengXian" w:hAnsi="Arial"/>
                <w:lang w:val="vi-VN"/>
              </w:rPr>
              <w:t xml:space="preserve"> (ASEAN Single Window – ASW)</w:t>
            </w:r>
            <w:r w:rsidR="00081454" w:rsidRPr="00516087">
              <w:rPr>
                <w:rFonts w:ascii="Arial" w:eastAsia="DengXian" w:hAnsi="Arial"/>
                <w:lang w:val="en-GB"/>
              </w:rPr>
              <w:t xml:space="preserve"> </w:t>
            </w:r>
          </w:p>
          <w:p w14:paraId="56A57179" w14:textId="5AA94DFE" w:rsidR="00081454" w:rsidRPr="00D53D68" w:rsidRDefault="00833962" w:rsidP="00FF6387">
            <w:pPr>
              <w:pStyle w:val="ListParagraph"/>
              <w:numPr>
                <w:ilvl w:val="0"/>
                <w:numId w:val="40"/>
              </w:numPr>
              <w:spacing w:after="160"/>
              <w:cnfStyle w:val="000000000000" w:firstRow="0" w:lastRow="0" w:firstColumn="0" w:lastColumn="0" w:oddVBand="0" w:evenVBand="0" w:oddHBand="0" w:evenHBand="0" w:firstRowFirstColumn="0" w:firstRowLastColumn="0" w:lastRowFirstColumn="0" w:lastRowLastColumn="0"/>
              <w:rPr>
                <w:rFonts w:ascii="Arial" w:eastAsia="DengXian" w:hAnsi="Arial"/>
                <w:lang w:val="en-GB"/>
              </w:rPr>
            </w:pPr>
            <w:r>
              <w:rPr>
                <w:rFonts w:ascii="Arial" w:eastAsia="DengXian" w:hAnsi="Arial"/>
                <w:lang w:val="en-GB"/>
              </w:rPr>
              <w:t>Xây</w:t>
            </w:r>
            <w:r>
              <w:rPr>
                <w:rFonts w:ascii="Arial" w:eastAsia="DengXian" w:hAnsi="Arial"/>
                <w:lang w:val="vi-VN"/>
              </w:rPr>
              <w:t xml:space="preserve"> dựng Hướng dẫn trao đổi thông tin dữ liệu thương mại điện tử giữa cơ quan hải quan và các nhà vận hành thương mại điện tử</w:t>
            </w:r>
          </w:p>
          <w:p w14:paraId="184B78C7" w14:textId="74C51529" w:rsidR="00610AD9" w:rsidRPr="00516087" w:rsidRDefault="001018FE" w:rsidP="00FF6387">
            <w:pPr>
              <w:pStyle w:val="ListParagraph"/>
              <w:numPr>
                <w:ilvl w:val="0"/>
                <w:numId w:val="40"/>
              </w:numPr>
              <w:spacing w:after="160"/>
              <w:cnfStyle w:val="000000000000" w:firstRow="0" w:lastRow="0" w:firstColumn="0" w:lastColumn="0" w:oddVBand="0" w:evenVBand="0" w:oddHBand="0" w:evenHBand="0" w:firstRowFirstColumn="0" w:firstRowLastColumn="0" w:lastRowFirstColumn="0" w:lastRowLastColumn="0"/>
              <w:rPr>
                <w:rFonts w:ascii="Arial" w:eastAsia="DengXian" w:hAnsi="Arial"/>
                <w:lang w:val="en-GB"/>
              </w:rPr>
            </w:pPr>
            <w:r>
              <w:rPr>
                <w:rFonts w:ascii="Arial" w:eastAsia="DengXian" w:hAnsi="Arial"/>
                <w:lang w:val="en-GB"/>
              </w:rPr>
              <w:t>Nghiên</w:t>
            </w:r>
            <w:r>
              <w:rPr>
                <w:rFonts w:ascii="Arial" w:eastAsia="DengXian" w:hAnsi="Arial"/>
                <w:lang w:val="vi-VN"/>
              </w:rPr>
              <w:t xml:space="preserve"> cứu Thế hệ mới của Hệ thống quá cảnh hải qian ASEAN (ACTS 2.0) nhằm nâng cấp hệ thống hiện tại, cải thiện mức độ sử dụng, mở rộng sang các phương thức vận tải mới và xem xét khả năng mở rộng sang các quốc gia quan tâm khác, khi phù hợp.</w:t>
            </w:r>
          </w:p>
        </w:tc>
      </w:tr>
      <w:tr w:rsidR="0029726B" w:rsidRPr="004F1D15" w14:paraId="2729F0D0" w14:textId="77777777" w:rsidTr="008C4E60">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547" w:type="dxa"/>
            <w:vMerge/>
          </w:tcPr>
          <w:p w14:paraId="2038F1F1" w14:textId="77777777" w:rsidR="00081454" w:rsidRPr="004F1D15" w:rsidRDefault="00081454" w:rsidP="00353E3F">
            <w:pPr>
              <w:spacing w:line="276" w:lineRule="auto"/>
              <w:jc w:val="left"/>
            </w:pPr>
          </w:p>
        </w:tc>
        <w:tc>
          <w:tcPr>
            <w:tcW w:w="8363" w:type="dxa"/>
            <w:shd w:val="clear" w:color="auto" w:fill="BDD6EE" w:themeFill="accent5" w:themeFillTint="66"/>
          </w:tcPr>
          <w:p w14:paraId="6645D3D4" w14:textId="46F60B39" w:rsidR="001C6EAB" w:rsidRDefault="001C6EAB" w:rsidP="00353E3F">
            <w:pPr>
              <w:spacing w:line="276" w:lineRule="auto"/>
              <w:cnfStyle w:val="000000100000" w:firstRow="0" w:lastRow="0" w:firstColumn="0" w:lastColumn="0" w:oddVBand="0" w:evenVBand="0" w:oddHBand="1" w:evenHBand="0" w:firstRowFirstColumn="0" w:firstRowLastColumn="0" w:lastRowFirstColumn="0" w:lastRowLastColumn="0"/>
              <w:rPr>
                <w:lang w:val="vi-VN"/>
              </w:rPr>
            </w:pPr>
            <w:r w:rsidRPr="001C6EAB">
              <w:rPr>
                <w:lang w:val="vi-VN"/>
              </w:rPr>
              <w:t>ASEAN đã đưa ra cam kết mạnh mẽ về việc đơn giản hóa và hài hòa hóa thủ tục hải quan của các AMS, bắt đầu từ Hiệp định Hải quan ASEAN ký năm 1997</w:t>
            </w:r>
            <w:r w:rsidRPr="00D53D68">
              <w:rPr>
                <w:rStyle w:val="FootnoteReference"/>
                <w:rFonts w:eastAsia="Times New Roman"/>
              </w:rPr>
              <w:footnoteReference w:id="6"/>
            </w:r>
            <w:r w:rsidRPr="001C6EAB">
              <w:rPr>
                <w:lang w:val="vi-VN"/>
              </w:rPr>
              <w:t>. Mặc dù đã đạt được tiến bộ đáng kể trong việc giảm rào cản thương mại và hải quan, sự khác biệt lớn về thời gian xử lý hải quan vẫn tồn tại. Trong bối cảnh công nghệ và các nền tảng số tạo điều kiện cho nhiều giao dịch diễn ra ngoài hình thức thương mại B2B theo lô hàng truyền thống, AMS sẽ được hưởng lợi lớn từ việc tăng cường hội nhập và đơn giản hóa quy trình, khung khổ hải quan thông qua hài hòa hóa các tiêu chuẩn liên quan.</w:t>
            </w:r>
          </w:p>
          <w:p w14:paraId="64AC91AB" w14:textId="77777777" w:rsidR="00FD02CA" w:rsidRDefault="00FD02CA" w:rsidP="00353E3F">
            <w:pPr>
              <w:spacing w:line="276" w:lineRule="auto"/>
              <w:cnfStyle w:val="000000100000" w:firstRow="0" w:lastRow="0" w:firstColumn="0" w:lastColumn="0" w:oddVBand="0" w:evenVBand="0" w:oddHBand="1" w:evenHBand="0" w:firstRowFirstColumn="0" w:firstRowLastColumn="0" w:lastRowFirstColumn="0" w:lastRowLastColumn="0"/>
              <w:rPr>
                <w:lang w:val="vi-VN"/>
              </w:rPr>
            </w:pPr>
          </w:p>
          <w:p w14:paraId="03CA5143" w14:textId="5E68C60F" w:rsidR="00FD02CA" w:rsidRPr="001C6EAB" w:rsidRDefault="00FD02CA" w:rsidP="00353E3F">
            <w:pPr>
              <w:spacing w:line="276" w:lineRule="auto"/>
              <w:cnfStyle w:val="000000100000" w:firstRow="0" w:lastRow="0" w:firstColumn="0" w:lastColumn="0" w:oddVBand="0" w:evenVBand="0" w:oddHBand="1" w:evenHBand="0" w:firstRowFirstColumn="0" w:firstRowLastColumn="0" w:lastRowFirstColumn="0" w:lastRowLastColumn="0"/>
              <w:rPr>
                <w:lang w:val="vi-VN"/>
              </w:rPr>
            </w:pPr>
            <w:r w:rsidRPr="00FD02CA">
              <w:rPr>
                <w:lang w:val="vi-VN"/>
              </w:rPr>
              <w:t>ASW là một sáng kiến tiên phong ở cấp độ khu vực, cho phép trao đổi điện tử các chứng từ thương mại xuyên biên giới giữa các AMS. Với tốc độ phát triển nhanh của công nghệ số và nhu cầu ngày càng tăng đối với thương mại không giấy tờ xuyên biên giới từ cả khu vực công (G2G) và tư (B2G), việc tăng cường khả năng tương tác, cũng như khả năng liên thông giữa các hệ thống trong khu vực tư nhân (B2B), trở nên cấp thiết để khai mở tiềm năng của ASW.</w:t>
            </w:r>
          </w:p>
          <w:p w14:paraId="126AC214" w14:textId="77777777" w:rsidR="001176A5" w:rsidRDefault="001176A5" w:rsidP="001176A5">
            <w:pPr>
              <w:spacing w:line="276" w:lineRule="auto"/>
              <w:cnfStyle w:val="000000100000" w:firstRow="0" w:lastRow="0" w:firstColumn="0" w:lastColumn="0" w:oddVBand="0" w:evenVBand="0" w:oddHBand="1" w:evenHBand="0" w:firstRowFirstColumn="0" w:firstRowLastColumn="0" w:lastRowFirstColumn="0" w:lastRowLastColumn="0"/>
              <w:rPr>
                <w:rFonts w:eastAsia="DengXian"/>
                <w:lang w:val="vi-VN"/>
              </w:rPr>
            </w:pPr>
          </w:p>
          <w:p w14:paraId="5486452B" w14:textId="79543438" w:rsidR="00FD02CA" w:rsidRDefault="00FD02CA" w:rsidP="001176A5">
            <w:pPr>
              <w:spacing w:line="276" w:lineRule="auto"/>
              <w:cnfStyle w:val="000000100000" w:firstRow="0" w:lastRow="0" w:firstColumn="0" w:lastColumn="0" w:oddVBand="0" w:evenVBand="0" w:oddHBand="1" w:evenHBand="0" w:firstRowFirstColumn="0" w:firstRowLastColumn="0" w:lastRowFirstColumn="0" w:lastRowLastColumn="0"/>
              <w:rPr>
                <w:rFonts w:eastAsia="DengXian"/>
                <w:lang w:val="vi-VN"/>
              </w:rPr>
            </w:pPr>
            <w:r w:rsidRPr="00FD02CA">
              <w:rPr>
                <w:rFonts w:eastAsia="DengXian"/>
                <w:lang w:val="vi-VN"/>
              </w:rPr>
              <w:t>Hướng dẫn Trao đổi Thông tin Dữ liệu Thương mại Điện tử giữa Cơ quan Hải quan và Các Nhà vận hành Thương mại Điện tử đang được xây dựng trong khuôn khổ Kế hoạch Phát triển Hải quan (SPCD) 2021–2025, nhằm nâng cao hiệu quả và bảo mật của thương mại điện tử xuyên biên giới trong ASEAN</w:t>
            </w:r>
            <w:r w:rsidRPr="00D53D68">
              <w:rPr>
                <w:rStyle w:val="FootnoteReference"/>
              </w:rPr>
              <w:footnoteReference w:id="7"/>
            </w:r>
            <w:r w:rsidRPr="00FD02CA">
              <w:rPr>
                <w:rFonts w:eastAsia="DengXian"/>
                <w:lang w:val="vi-VN"/>
              </w:rPr>
              <w:t xml:space="preserve">. Hướng dẫn này được thiết kế để thiết lập một khung khổ rõ ràng cho việc trao </w:t>
            </w:r>
            <w:r w:rsidRPr="00FD02CA">
              <w:rPr>
                <w:rFonts w:eastAsia="DengXian"/>
                <w:lang w:val="vi-VN"/>
              </w:rPr>
              <w:lastRenderedPageBreak/>
              <w:t>đổi dữ liệu, đảm bảo tương tác trôi chảy và an toàn giữa cơ quan hải quan và các nhà vận hành thương mại điện tử, qua đó hỗ trợ tăng trưởng thương mại toàn cầu. Tầm quan trọng của hướng dẫn nằm ở khả năng đơn giản hóa thủ tục hải quan, giảm chậm trễ và tăng cường bảo mật cho các giao dịch thương mại điện tử trong khu vực. Bằng cách chuẩn hóa cách thức trao đổi dữ liệu, hướng dẫn sẽ tạo điều kiện thuận lợi cho thương mại xuyên biên giới hiệu quả hơn, đóng góp vào các mục tiêu hội nhập kinh tế và chuyển đổi số của ASEAN.</w:t>
            </w:r>
          </w:p>
          <w:p w14:paraId="3F66AE6E" w14:textId="77777777" w:rsidR="009C0764" w:rsidRDefault="009C0764" w:rsidP="001176A5">
            <w:pPr>
              <w:spacing w:line="276" w:lineRule="auto"/>
              <w:cnfStyle w:val="000000100000" w:firstRow="0" w:lastRow="0" w:firstColumn="0" w:lastColumn="0" w:oddVBand="0" w:evenVBand="0" w:oddHBand="1" w:evenHBand="0" w:firstRowFirstColumn="0" w:firstRowLastColumn="0" w:lastRowFirstColumn="0" w:lastRowLastColumn="0"/>
              <w:rPr>
                <w:lang w:val="vi-VN"/>
              </w:rPr>
            </w:pPr>
          </w:p>
          <w:p w14:paraId="4EB40D9D" w14:textId="4A80ED20" w:rsidR="00FD02CA" w:rsidRDefault="00FD02CA" w:rsidP="001176A5">
            <w:pPr>
              <w:spacing w:line="276" w:lineRule="auto"/>
              <w:cnfStyle w:val="000000100000" w:firstRow="0" w:lastRow="0" w:firstColumn="0" w:lastColumn="0" w:oddVBand="0" w:evenVBand="0" w:oddHBand="1" w:evenHBand="0" w:firstRowFirstColumn="0" w:firstRowLastColumn="0" w:lastRowFirstColumn="0" w:lastRowLastColumn="0"/>
              <w:rPr>
                <w:lang w:val="vi-VN"/>
              </w:rPr>
            </w:pPr>
            <w:r w:rsidRPr="00FD02CA">
              <w:rPr>
                <w:lang w:val="vi-VN"/>
              </w:rPr>
              <w:t>Mặc dù đã đạt được tiến bộ, các thách thức trong tối ưu hóa quy trình quá cảnh vẫn hạn chế tiềm năng của Hệ thống Quá cảnh Hải quan ASEAN (ACTS). Là ưu tiên của năm 2025, nghiên cứu về Thế hệ mới của ACTS (ACTS 2.0) nhằm đánh giá các thách thức này và xác định các biện pháp tăng cường hiệu quả của hệ thống trong việc tạo thuận lợi cho thương mại xuyên biên giới.</w:t>
            </w:r>
          </w:p>
          <w:p w14:paraId="638449FB" w14:textId="77777777" w:rsidR="00FD02CA" w:rsidRDefault="00FD02CA" w:rsidP="001176A5">
            <w:pPr>
              <w:spacing w:line="276" w:lineRule="auto"/>
              <w:cnfStyle w:val="000000100000" w:firstRow="0" w:lastRow="0" w:firstColumn="0" w:lastColumn="0" w:oddVBand="0" w:evenVBand="0" w:oddHBand="1" w:evenHBand="0" w:firstRowFirstColumn="0" w:firstRowLastColumn="0" w:lastRowFirstColumn="0" w:lastRowLastColumn="0"/>
              <w:rPr>
                <w:lang w:val="vi-VN"/>
              </w:rPr>
            </w:pPr>
          </w:p>
          <w:p w14:paraId="47D73C1D" w14:textId="211CAAAD" w:rsidR="009C0764" w:rsidRPr="00AF2352" w:rsidRDefault="00FD02CA" w:rsidP="009C0764">
            <w:pPr>
              <w:spacing w:line="276" w:lineRule="auto"/>
              <w:cnfStyle w:val="000000100000" w:firstRow="0" w:lastRow="0" w:firstColumn="0" w:lastColumn="0" w:oddVBand="0" w:evenVBand="0" w:oddHBand="1" w:evenHBand="0" w:firstRowFirstColumn="0" w:firstRowLastColumn="0" w:lastRowFirstColumn="0" w:lastRowLastColumn="0"/>
              <w:rPr>
                <w:lang w:val="vi-VN"/>
              </w:rPr>
            </w:pPr>
            <w:r w:rsidRPr="00FD02CA">
              <w:rPr>
                <w:lang w:val="vi-VN"/>
              </w:rPr>
              <w:t>Nghiên cứu sẽ xem xét các cơ hội nâng cấp ACTS, cải thiện mức độ sử dụng và mở rộng phạm vi sang các phương thức vận tải khác như đường sắt, đường hàng không, đường biển và vận tải đa phương thức vào năm 2030. Nghiên cứu cũng sẽ đánh giá khả năng kết nối các AMS còn lại và các quốc gia ngoài ASEAN, cũng như xem xét khả năng tích hợp ACTS với ASW và các hệ thống hải quan khác nhằm tăng cường khả năng tương tác số. Ngoài ra, nghiên cứu sẽ định lượng các lợi ích của ACTS thông qua phân tích dữ liệu và tham vấn các bên liên quan, cung cấp cơ sở tham chiếu cho sự tham gia của khu vực tư nhân. Các kết quả nghiên cứu sẽ hỗ trợ nỗ lực tăng cường tính bền vững của ACTS, đảm bảo các AMS có thể tự quản lý hệ thống và củng cố cam kết của ASEAN đối với tạo thuận lợi thương mại liền mạch.</w:t>
            </w:r>
          </w:p>
        </w:tc>
      </w:tr>
      <w:tr w:rsidR="00081454" w:rsidRPr="004F1D15" w14:paraId="4B3D5549" w14:textId="77777777" w:rsidTr="00646483">
        <w:trPr>
          <w:trHeight w:val="1059"/>
        </w:trPr>
        <w:tc>
          <w:tcPr>
            <w:cnfStyle w:val="001000000000" w:firstRow="0" w:lastRow="0" w:firstColumn="1" w:lastColumn="0" w:oddVBand="0" w:evenVBand="0" w:oddHBand="0" w:evenHBand="0" w:firstRowFirstColumn="0" w:firstRowLastColumn="0" w:lastRowFirstColumn="0" w:lastRowLastColumn="0"/>
            <w:tcW w:w="2547" w:type="dxa"/>
            <w:vMerge w:val="restart"/>
          </w:tcPr>
          <w:p w14:paraId="0F0831F5" w14:textId="283F4C0B" w:rsidR="00081454" w:rsidRPr="004F1D15" w:rsidRDefault="00E338F4" w:rsidP="00353E3F">
            <w:pPr>
              <w:spacing w:line="276" w:lineRule="auto"/>
              <w:jc w:val="left"/>
            </w:pPr>
            <w:r w:rsidRPr="00E338F4">
              <w:t>Bảo đảm Giao dịch</w:t>
            </w:r>
          </w:p>
        </w:tc>
        <w:tc>
          <w:tcPr>
            <w:tcW w:w="8363" w:type="dxa"/>
          </w:tcPr>
          <w:p w14:paraId="4871480A" w14:textId="017B027E" w:rsidR="00081454" w:rsidRPr="001B58F5" w:rsidRDefault="00E338F4" w:rsidP="00454C17">
            <w:pPr>
              <w:spacing w:after="160" w:line="276" w:lineRule="auto"/>
              <w:cnfStyle w:val="000000000000" w:firstRow="0" w:lastRow="0" w:firstColumn="0" w:lastColumn="0" w:oddVBand="0" w:evenVBand="0" w:oddHBand="0" w:evenHBand="0" w:firstRowFirstColumn="0" w:firstRowLastColumn="0" w:lastRowFirstColumn="0" w:lastRowLastColumn="0"/>
              <w:rPr>
                <w:rFonts w:eastAsia="DengXian"/>
                <w:u w:val="single"/>
              </w:rPr>
            </w:pPr>
            <w:r w:rsidRPr="00E338F4">
              <w:rPr>
                <w:u w:val="single"/>
              </w:rPr>
              <w:t>Khuyến nghị</w:t>
            </w:r>
            <w:r w:rsidR="00081454" w:rsidRPr="00731A07">
              <w:rPr>
                <w:u w:val="single"/>
              </w:rPr>
              <w:t xml:space="preserve">: </w:t>
            </w:r>
          </w:p>
          <w:p w14:paraId="3CE57EC6" w14:textId="3D77CF29" w:rsidR="00081454" w:rsidRPr="00516087" w:rsidRDefault="003849C4" w:rsidP="00FF6387">
            <w:pPr>
              <w:pStyle w:val="ListParagraph"/>
              <w:numPr>
                <w:ilvl w:val="0"/>
                <w:numId w:val="40"/>
              </w:numPr>
              <w:spacing w:after="160"/>
              <w:cnfStyle w:val="000000000000" w:firstRow="0" w:lastRow="0" w:firstColumn="0" w:lastColumn="0" w:oddVBand="0" w:evenVBand="0" w:oddHBand="0" w:evenHBand="0" w:firstRowFirstColumn="0" w:firstRowLastColumn="0" w:lastRowFirstColumn="0" w:lastRowLastColumn="0"/>
              <w:rPr>
                <w:rFonts w:eastAsia="DengXian"/>
                <w:lang w:val="en-GB"/>
              </w:rPr>
            </w:pPr>
            <w:r w:rsidRPr="003849C4">
              <w:rPr>
                <w:rFonts w:ascii="Arial" w:eastAsia="DengXian" w:hAnsi="Arial"/>
                <w:lang w:val="en-GB"/>
              </w:rPr>
              <w:t>Tăng cường mức độ áp dụng tiêu chuẩn ISO/TC 321 về Bảo đảm Giao dịch trong Thương mại Điện tử bởi các quốc gia thành viên ASEAN (AMS), cũng như đưa tiêu chuẩn này vào các kỳ rà soát tiếp theo của Kế hoạch Công tác triển khai Hiệp định ASEAN về Thương mại Điện tử</w:t>
            </w:r>
          </w:p>
        </w:tc>
      </w:tr>
      <w:tr w:rsidR="00C12929" w:rsidRPr="004F1D15" w14:paraId="0AA8601C" w14:textId="77777777" w:rsidTr="008C4E60">
        <w:trPr>
          <w:cnfStyle w:val="000000100000" w:firstRow="0" w:lastRow="0" w:firstColumn="0" w:lastColumn="0" w:oddVBand="0" w:evenVBand="0" w:oddHBand="1" w:evenHBand="0" w:firstRowFirstColumn="0" w:firstRowLastColumn="0" w:lastRowFirstColumn="0" w:lastRowLastColumn="0"/>
          <w:trHeight w:val="1059"/>
        </w:trPr>
        <w:tc>
          <w:tcPr>
            <w:cnfStyle w:val="001000000000" w:firstRow="0" w:lastRow="0" w:firstColumn="1" w:lastColumn="0" w:oddVBand="0" w:evenVBand="0" w:oddHBand="0" w:evenHBand="0" w:firstRowFirstColumn="0" w:firstRowLastColumn="0" w:lastRowFirstColumn="0" w:lastRowLastColumn="0"/>
            <w:tcW w:w="2547" w:type="dxa"/>
            <w:vMerge/>
          </w:tcPr>
          <w:p w14:paraId="0AFDA5D1" w14:textId="77777777" w:rsidR="00081454" w:rsidRPr="004F1D15" w:rsidRDefault="00081454" w:rsidP="00454C17">
            <w:pPr>
              <w:spacing w:line="276" w:lineRule="auto"/>
              <w:jc w:val="left"/>
            </w:pPr>
          </w:p>
        </w:tc>
        <w:tc>
          <w:tcPr>
            <w:tcW w:w="8363" w:type="dxa"/>
            <w:shd w:val="clear" w:color="auto" w:fill="BDD6EE" w:themeFill="accent5" w:themeFillTint="66"/>
          </w:tcPr>
          <w:p w14:paraId="3FCF03AA" w14:textId="401F3FD0" w:rsidR="00081454" w:rsidRDefault="003849C4" w:rsidP="00454C17">
            <w:pPr>
              <w:spacing w:line="276" w:lineRule="auto"/>
              <w:cnfStyle w:val="000000100000" w:firstRow="0" w:lastRow="0" w:firstColumn="0" w:lastColumn="0" w:oddVBand="0" w:evenVBand="0" w:oddHBand="1" w:evenHBand="0" w:firstRowFirstColumn="0" w:firstRowLastColumn="0" w:lastRowFirstColumn="0" w:lastRowLastColumn="0"/>
              <w:rPr>
                <w:u w:val="single"/>
              </w:rPr>
            </w:pPr>
            <w:r w:rsidRPr="003849C4">
              <w:rPr>
                <w:u w:val="single"/>
              </w:rPr>
              <w:t>Cơ sở lý luận</w:t>
            </w:r>
            <w:r w:rsidR="00081454" w:rsidRPr="00731A07">
              <w:rPr>
                <w:u w:val="single"/>
              </w:rPr>
              <w:t xml:space="preserve">: </w:t>
            </w:r>
          </w:p>
          <w:p w14:paraId="3318F255" w14:textId="77777777" w:rsidR="003849C4" w:rsidRDefault="003849C4" w:rsidP="003849C4">
            <w:pPr>
              <w:spacing w:line="276" w:lineRule="auto"/>
              <w:cnfStyle w:val="000000100000" w:firstRow="0" w:lastRow="0" w:firstColumn="0" w:lastColumn="0" w:oddVBand="0" w:evenVBand="0" w:oddHBand="1" w:evenHBand="0" w:firstRowFirstColumn="0" w:firstRowLastColumn="0" w:lastRowFirstColumn="0" w:lastRowLastColumn="0"/>
            </w:pPr>
            <w:r>
              <w:t>Xây dựng lòng tin giữa người mua và người bán là yếu tố then chốt để thúc đẩy tăng trưởng thị trường và tạo dựng hệ sinh thái thương mại số bền vững. Bảo đảm giao dịch trong thương mại điện tử có ý nghĩa đặc biệt quan trọng do các giao dịch diễn ra mà không có kiểm chứng vật lý.</w:t>
            </w:r>
          </w:p>
          <w:p w14:paraId="5F156A17" w14:textId="77777777" w:rsidR="003849C4" w:rsidRDefault="003849C4" w:rsidP="003849C4">
            <w:pPr>
              <w:spacing w:line="276" w:lineRule="auto"/>
              <w:cnfStyle w:val="000000100000" w:firstRow="0" w:lastRow="0" w:firstColumn="0" w:lastColumn="0" w:oddVBand="0" w:evenVBand="0" w:oddHBand="1" w:evenHBand="0" w:firstRowFirstColumn="0" w:firstRowLastColumn="0" w:lastRowFirstColumn="0" w:lastRowLastColumn="0"/>
            </w:pPr>
          </w:p>
          <w:p w14:paraId="5393CB92" w14:textId="77777777" w:rsidR="003849C4" w:rsidRDefault="003849C4" w:rsidP="003849C4">
            <w:pPr>
              <w:spacing w:line="276" w:lineRule="auto"/>
              <w:cnfStyle w:val="000000100000" w:firstRow="0" w:lastRow="0" w:firstColumn="0" w:lastColumn="0" w:oddVBand="0" w:evenVBand="0" w:oddHBand="1" w:evenHBand="0" w:firstRowFirstColumn="0" w:firstRowLastColumn="0" w:lastRowFirstColumn="0" w:lastRowLastColumn="0"/>
            </w:pPr>
            <w:r>
              <w:lastRenderedPageBreak/>
              <w:t>Các tiêu chuẩn quốc tế về bảo đảm giao dịch giữ vai trò thiết yếu trong thương mại điện tử, cung cấp khung bảo đảm giao dịch an toàn và đáng tin cậy. Những tiêu chuẩn này giúp giảm thiểu rủi ro và củng cố lòng tin của các chủ thể tham gia. Mặc dù một số quốc gia thành viên ASEAN đang tích cực tham gia ISO/TC 321, hiện vẫn có ít thông tin về mức độ áp dụng các tiêu chuẩn này trong khu vực.</w:t>
            </w:r>
          </w:p>
          <w:p w14:paraId="67F58A5C" w14:textId="77777777" w:rsidR="003849C4" w:rsidRDefault="003849C4" w:rsidP="003849C4">
            <w:pPr>
              <w:spacing w:line="276" w:lineRule="auto"/>
              <w:cnfStyle w:val="000000100000" w:firstRow="0" w:lastRow="0" w:firstColumn="0" w:lastColumn="0" w:oddVBand="0" w:evenVBand="0" w:oddHBand="1" w:evenHBand="0" w:firstRowFirstColumn="0" w:firstRowLastColumn="0" w:lastRowFirstColumn="0" w:lastRowLastColumn="0"/>
            </w:pPr>
          </w:p>
          <w:p w14:paraId="51C9E1F5" w14:textId="77777777" w:rsidR="003849C4" w:rsidRDefault="003849C4" w:rsidP="003849C4">
            <w:pPr>
              <w:spacing w:line="276" w:lineRule="auto"/>
              <w:cnfStyle w:val="000000100000" w:firstRow="0" w:lastRow="0" w:firstColumn="0" w:lastColumn="0" w:oddVBand="0" w:evenVBand="0" w:oddHBand="1" w:evenHBand="0" w:firstRowFirstColumn="0" w:firstRowLastColumn="0" w:lastRowFirstColumn="0" w:lastRowLastColumn="0"/>
            </w:pPr>
            <w:r>
              <w:t>Do tiêu chuẩn bảo đảm giao dịch vẫn đang tiếp tục phát triển, chúng chưa được đưa vào Kế hoạch Công tác triển khai Hiệp định ASEAN về Thương mại Điện tử. Tuy nhiên, các AMS có cơ hội chiến lược để tác động đến quá trình xây dựng và áp dụng tiêu chuẩn. Việc tham gia tích cực vào quá trình xây dựng tiêu chuẩn sẽ bảo đảm lợi ích khu vực được phản ánh trong quá trình phát triển tiêu chuẩn thương mại điện tử.</w:t>
            </w:r>
          </w:p>
          <w:p w14:paraId="48EE5B7B" w14:textId="77777777" w:rsidR="003849C4" w:rsidRDefault="003849C4" w:rsidP="003849C4">
            <w:pPr>
              <w:spacing w:line="276" w:lineRule="auto"/>
              <w:cnfStyle w:val="000000100000" w:firstRow="0" w:lastRow="0" w:firstColumn="0" w:lastColumn="0" w:oddVBand="0" w:evenVBand="0" w:oddHBand="1" w:evenHBand="0" w:firstRowFirstColumn="0" w:firstRowLastColumn="0" w:lastRowFirstColumn="0" w:lastRowLastColumn="0"/>
            </w:pPr>
          </w:p>
          <w:p w14:paraId="0C4ABC3F" w14:textId="3A9F6B92" w:rsidR="00081454" w:rsidRPr="00731A07" w:rsidRDefault="003849C4" w:rsidP="003849C4">
            <w:pPr>
              <w:spacing w:line="276" w:lineRule="auto"/>
              <w:cnfStyle w:val="000000100000" w:firstRow="0" w:lastRow="0" w:firstColumn="0" w:lastColumn="0" w:oddVBand="0" w:evenVBand="0" w:oddHBand="1" w:evenHBand="0" w:firstRowFirstColumn="0" w:firstRowLastColumn="0" w:lastRowFirstColumn="0" w:lastRowLastColumn="0"/>
              <w:rPr>
                <w:u w:val="single"/>
              </w:rPr>
            </w:pPr>
            <w:r>
              <w:t>Do đó, khuyến nghị tăng cường áp dụng tiêu chuẩn ISO/TC 321 và đưa tiêu chuẩn này vào các kỳ rà soát tiếp theo của Kế hoạch Công tác Thương mại Điện tử ASEAN là hết sức quan trọng. Điều này sẽ tăng cường hạ tầng thương mại số của khu vực, củng cố niềm tin người tiêu dùng và thúc đẩy sự tham gia lớn hơn vào nền kinh tế số</w:t>
            </w:r>
            <w:r w:rsidR="00081454" w:rsidRPr="0045372F">
              <w:t>.</w:t>
            </w:r>
          </w:p>
        </w:tc>
      </w:tr>
      <w:tr w:rsidR="00E74F92" w:rsidRPr="004F1D15" w14:paraId="379CBEA2" w14:textId="77777777" w:rsidTr="00E74F92">
        <w:trPr>
          <w:trHeight w:val="61"/>
        </w:trPr>
        <w:tc>
          <w:tcPr>
            <w:cnfStyle w:val="001000000000" w:firstRow="0" w:lastRow="0" w:firstColumn="1" w:lastColumn="0" w:oddVBand="0" w:evenVBand="0" w:oddHBand="0" w:evenHBand="0" w:firstRowFirstColumn="0" w:firstRowLastColumn="0" w:lastRowFirstColumn="0" w:lastRowLastColumn="0"/>
            <w:tcW w:w="10910" w:type="dxa"/>
            <w:gridSpan w:val="2"/>
          </w:tcPr>
          <w:p w14:paraId="6D538185" w14:textId="77777777" w:rsidR="00E74F92" w:rsidRPr="00E74F92" w:rsidRDefault="00E74F92" w:rsidP="00353E3F">
            <w:pPr>
              <w:spacing w:line="276" w:lineRule="auto"/>
              <w:jc w:val="left"/>
              <w:rPr>
                <w:sz w:val="6"/>
                <w:szCs w:val="6"/>
              </w:rPr>
            </w:pPr>
          </w:p>
        </w:tc>
      </w:tr>
      <w:tr w:rsidR="00081454" w:rsidRPr="004F1D15" w14:paraId="0512AA2C" w14:textId="77777777" w:rsidTr="008C4E60">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0910" w:type="dxa"/>
            <w:gridSpan w:val="2"/>
            <w:shd w:val="clear" w:color="auto" w:fill="BDD6EE" w:themeFill="accent5" w:themeFillTint="66"/>
          </w:tcPr>
          <w:p w14:paraId="561F2D1E" w14:textId="38B5912E" w:rsidR="00081454" w:rsidRPr="003849C4" w:rsidRDefault="003849C4" w:rsidP="00454C17">
            <w:pPr>
              <w:spacing w:after="160" w:line="276" w:lineRule="auto"/>
              <w:jc w:val="left"/>
              <w:rPr>
                <w:rFonts w:eastAsia="DengXian"/>
                <w:b w:val="0"/>
                <w:bCs w:val="0"/>
                <w:lang w:val="vi-VN"/>
              </w:rPr>
            </w:pPr>
            <w:r w:rsidRPr="003849C4">
              <w:rPr>
                <w:lang w:val="vi-VN"/>
              </w:rPr>
              <w:t xml:space="preserve">Khu vực Thương mại Số </w:t>
            </w:r>
            <w:r w:rsidR="00C16F63">
              <w:rPr>
                <w:lang w:val="en-AU"/>
              </w:rPr>
              <w:t xml:space="preserve">số </w:t>
            </w:r>
            <w:r w:rsidRPr="003849C4">
              <w:rPr>
                <w:lang w:val="vi-VN"/>
              </w:rPr>
              <w:t>2: Giao dịch số</w:t>
            </w:r>
          </w:p>
        </w:tc>
      </w:tr>
      <w:tr w:rsidR="00081454" w:rsidRPr="004F1D15" w14:paraId="7AC57CBA" w14:textId="77777777" w:rsidTr="00646483">
        <w:trPr>
          <w:trHeight w:val="589"/>
        </w:trPr>
        <w:tc>
          <w:tcPr>
            <w:cnfStyle w:val="001000000000" w:firstRow="0" w:lastRow="0" w:firstColumn="1" w:lastColumn="0" w:oddVBand="0" w:evenVBand="0" w:oddHBand="0" w:evenHBand="0" w:firstRowFirstColumn="0" w:firstRowLastColumn="0" w:lastRowFirstColumn="0" w:lastRowLastColumn="0"/>
            <w:tcW w:w="2547" w:type="dxa"/>
            <w:vMerge w:val="restart"/>
          </w:tcPr>
          <w:p w14:paraId="38171E65" w14:textId="55D945AA" w:rsidR="00081454" w:rsidRPr="004F1D15" w:rsidRDefault="003849C4" w:rsidP="00353E3F">
            <w:pPr>
              <w:spacing w:line="276" w:lineRule="auto"/>
              <w:jc w:val="left"/>
            </w:pPr>
            <w:r w:rsidRPr="003849C4">
              <w:t>Thương mại điện tử xuyên biên giới</w:t>
            </w:r>
          </w:p>
        </w:tc>
        <w:tc>
          <w:tcPr>
            <w:tcW w:w="8363" w:type="dxa"/>
          </w:tcPr>
          <w:p w14:paraId="69F5DC4F" w14:textId="78834C8E" w:rsidR="00081454" w:rsidRPr="001B58F5" w:rsidRDefault="003849C4" w:rsidP="00454C17">
            <w:pPr>
              <w:spacing w:after="160" w:line="276" w:lineRule="auto"/>
              <w:cnfStyle w:val="000000000000" w:firstRow="0" w:lastRow="0" w:firstColumn="0" w:lastColumn="0" w:oddVBand="0" w:evenVBand="0" w:oddHBand="0" w:evenHBand="0" w:firstRowFirstColumn="0" w:firstRowLastColumn="0" w:lastRowFirstColumn="0" w:lastRowLastColumn="0"/>
              <w:rPr>
                <w:rFonts w:eastAsia="DengXian"/>
                <w:u w:val="single"/>
              </w:rPr>
            </w:pPr>
            <w:r w:rsidRPr="003849C4">
              <w:rPr>
                <w:u w:val="single"/>
              </w:rPr>
              <w:t>Khuyến nghị</w:t>
            </w:r>
            <w:r w:rsidR="00081454" w:rsidRPr="00731A07">
              <w:rPr>
                <w:u w:val="single"/>
              </w:rPr>
              <w:t xml:space="preserve">: </w:t>
            </w:r>
          </w:p>
          <w:p w14:paraId="1811B7D1" w14:textId="723DFFD9" w:rsidR="00081454" w:rsidRPr="00516087" w:rsidRDefault="003849C4" w:rsidP="00FF6387">
            <w:pPr>
              <w:pStyle w:val="ListParagraph"/>
              <w:numPr>
                <w:ilvl w:val="0"/>
                <w:numId w:val="40"/>
              </w:numPr>
              <w:spacing w:after="160"/>
              <w:cnfStyle w:val="000000000000" w:firstRow="0" w:lastRow="0" w:firstColumn="0" w:lastColumn="0" w:oddVBand="0" w:evenVBand="0" w:oddHBand="0" w:evenHBand="0" w:firstRowFirstColumn="0" w:firstRowLastColumn="0" w:lastRowFirstColumn="0" w:lastRowLastColumn="0"/>
              <w:rPr>
                <w:rFonts w:eastAsia="DengXian"/>
                <w:lang w:val="en-GB"/>
              </w:rPr>
            </w:pPr>
            <w:r w:rsidRPr="003849C4">
              <w:rPr>
                <w:rFonts w:ascii="Arial" w:eastAsia="DengXian" w:hAnsi="Arial"/>
                <w:lang w:val="en-GB"/>
              </w:rPr>
              <w:t>Tăng cường nhận thức, hài hòa và áp dụng UNCITRAL MLEC và UNCITRAL MLETR, phù hợp với các tiêu chuẩn Tạo thuận lợi Thương mại của WTO</w:t>
            </w:r>
          </w:p>
        </w:tc>
      </w:tr>
      <w:tr w:rsidR="00454C17" w:rsidRPr="004F1D15" w14:paraId="23E84FE8" w14:textId="77777777" w:rsidTr="008C4E60">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2547" w:type="dxa"/>
            <w:vMerge/>
          </w:tcPr>
          <w:p w14:paraId="054EE76E" w14:textId="77777777" w:rsidR="00081454" w:rsidRPr="004F1D15" w:rsidRDefault="00081454" w:rsidP="00454C17">
            <w:pPr>
              <w:spacing w:line="276" w:lineRule="auto"/>
              <w:jc w:val="left"/>
            </w:pPr>
          </w:p>
        </w:tc>
        <w:tc>
          <w:tcPr>
            <w:tcW w:w="8363" w:type="dxa"/>
            <w:shd w:val="clear" w:color="auto" w:fill="BDD6EE" w:themeFill="accent5" w:themeFillTint="66"/>
          </w:tcPr>
          <w:p w14:paraId="3F11242E" w14:textId="567790A7" w:rsidR="00081454" w:rsidRDefault="003849C4" w:rsidP="00454C17">
            <w:pPr>
              <w:spacing w:line="276" w:lineRule="auto"/>
              <w:cnfStyle w:val="000000100000" w:firstRow="0" w:lastRow="0" w:firstColumn="0" w:lastColumn="0" w:oddVBand="0" w:evenVBand="0" w:oddHBand="1" w:evenHBand="0" w:firstRowFirstColumn="0" w:firstRowLastColumn="0" w:lastRowFirstColumn="0" w:lastRowLastColumn="0"/>
              <w:rPr>
                <w:u w:val="single"/>
              </w:rPr>
            </w:pPr>
            <w:r w:rsidRPr="003849C4">
              <w:rPr>
                <w:u w:val="single"/>
              </w:rPr>
              <w:t>Cơ sở lý luận</w:t>
            </w:r>
            <w:r w:rsidR="00081454" w:rsidRPr="00731A07">
              <w:rPr>
                <w:u w:val="single"/>
              </w:rPr>
              <w:t xml:space="preserve">: </w:t>
            </w:r>
          </w:p>
          <w:p w14:paraId="0C5A6184" w14:textId="21E428F9" w:rsidR="00C6201B" w:rsidRDefault="00C6201B" w:rsidP="00C6201B">
            <w:pPr>
              <w:spacing w:line="276" w:lineRule="auto"/>
              <w:cnfStyle w:val="000000100000" w:firstRow="0" w:lastRow="0" w:firstColumn="0" w:lastColumn="0" w:oddVBand="0" w:evenVBand="0" w:oddHBand="1" w:evenHBand="0" w:firstRowFirstColumn="0" w:firstRowLastColumn="0" w:lastRowFirstColumn="0" w:lastRowLastColumn="0"/>
            </w:pPr>
            <w:r>
              <w:t>Thương mại điện tử xuyên biên giới ngày càng là chủ đề nổi bật trong các hiệp định thương mại khu vực do tác động lớn tới kinh tế số. Kinh tế số ASEAN dự kiến sẽ tăng gấp ba lần vào năm 2030, từ khoảng 300 tỷ USD lên gần 1 nghìn tỷ USD. Các quy tắc tiến bộ trong DEFA (ASEAN Digital Economy Framework Agreement) có thể đóng góp gấp đôi, giá trị 2 nghìn tỷ USD.</w:t>
            </w:r>
          </w:p>
          <w:p w14:paraId="025BC6E5" w14:textId="77777777" w:rsidR="00C6201B" w:rsidRDefault="00C6201B" w:rsidP="00C6201B">
            <w:pPr>
              <w:spacing w:line="276" w:lineRule="auto"/>
              <w:cnfStyle w:val="000000100000" w:firstRow="0" w:lastRow="0" w:firstColumn="0" w:lastColumn="0" w:oddVBand="0" w:evenVBand="0" w:oddHBand="1" w:evenHBand="0" w:firstRowFirstColumn="0" w:firstRowLastColumn="0" w:lastRowFirstColumn="0" w:lastRowLastColumn="0"/>
            </w:pPr>
          </w:p>
          <w:p w14:paraId="15E9ECAD" w14:textId="77777777" w:rsidR="00C6201B" w:rsidRDefault="00C6201B" w:rsidP="00C6201B">
            <w:pPr>
              <w:spacing w:line="276" w:lineRule="auto"/>
              <w:cnfStyle w:val="000000100000" w:firstRow="0" w:lastRow="0" w:firstColumn="0" w:lastColumn="0" w:oddVBand="0" w:evenVBand="0" w:oddHBand="1" w:evenHBand="0" w:firstRowFirstColumn="0" w:firstRowLastColumn="0" w:lastRowFirstColumn="0" w:lastRowLastColumn="0"/>
            </w:pPr>
            <w:r>
              <w:t>Các tiêu chuẩn quốc tế là yếu tố cốt lõi, bảo đảm tính nhất quán, tin cậy và khả năng tương tác của hệ thống thương mại điện tử xuyên biên giới. Đáng chú ý, 8/10 AMS đã tích hợp Luật Mẫu UNCITRAL về Thương mại Điện tử (MLEC) vào pháp luật quốc gia. Hai nước còn lại cũng đã ban hành quy định khẳng định giá trị pháp lý của giao dịch điện tử, đưa khu vực gần tới mức hài hòa hoàn toàn.</w:t>
            </w:r>
          </w:p>
          <w:p w14:paraId="4A296624" w14:textId="77777777" w:rsidR="00C6201B" w:rsidRDefault="00C6201B" w:rsidP="00C6201B">
            <w:pPr>
              <w:spacing w:line="276" w:lineRule="auto"/>
              <w:cnfStyle w:val="000000100000" w:firstRow="0" w:lastRow="0" w:firstColumn="0" w:lastColumn="0" w:oddVBand="0" w:evenVBand="0" w:oddHBand="1" w:evenHBand="0" w:firstRowFirstColumn="0" w:firstRowLastColumn="0" w:lastRowFirstColumn="0" w:lastRowLastColumn="0"/>
            </w:pPr>
          </w:p>
          <w:p w14:paraId="314053E3" w14:textId="77777777" w:rsidR="00C6201B" w:rsidRDefault="00C6201B" w:rsidP="00C6201B">
            <w:pPr>
              <w:spacing w:line="276" w:lineRule="auto"/>
              <w:cnfStyle w:val="000000100000" w:firstRow="0" w:lastRow="0" w:firstColumn="0" w:lastColumn="0" w:oddVBand="0" w:evenVBand="0" w:oddHBand="1" w:evenHBand="0" w:firstRowFirstColumn="0" w:firstRowLastColumn="0" w:lastRowFirstColumn="0" w:lastRowLastColumn="0"/>
            </w:pPr>
            <w:r>
              <w:lastRenderedPageBreak/>
              <w:t>Tuy nhiên, mức độ áp dụng UNCITRAL MLETR còn hạn chế, hiện mới chỉ có Singapore áp dụng do tiêu chuẩn còn mới. Nghiên cứu về DEFA đã nhấn mạnh tầm quan trọng chiến lược của MLETR. Nhu cầu toàn cầu về tiêu chuẩn này đang tăng mạnh, thể hiện qua việc các nước G7 tiến hành nghiên cứu và đánh giá khả thi.</w:t>
            </w:r>
          </w:p>
          <w:p w14:paraId="0BDEF905" w14:textId="77777777" w:rsidR="00C6201B" w:rsidRDefault="00C6201B" w:rsidP="00C6201B">
            <w:pPr>
              <w:spacing w:line="276" w:lineRule="auto"/>
              <w:cnfStyle w:val="000000100000" w:firstRow="0" w:lastRow="0" w:firstColumn="0" w:lastColumn="0" w:oddVBand="0" w:evenVBand="0" w:oddHBand="1" w:evenHBand="0" w:firstRowFirstColumn="0" w:firstRowLastColumn="0" w:lastRowFirstColumn="0" w:lastRowLastColumn="0"/>
            </w:pPr>
          </w:p>
          <w:p w14:paraId="1375B8AD" w14:textId="24F0770D" w:rsidR="00081454" w:rsidRPr="00512A08" w:rsidRDefault="00C6201B" w:rsidP="00C6201B">
            <w:pPr>
              <w:spacing w:after="160" w:line="276" w:lineRule="auto"/>
              <w:cnfStyle w:val="000000100000" w:firstRow="0" w:lastRow="0" w:firstColumn="0" w:lastColumn="0" w:oddVBand="0" w:evenVBand="0" w:oddHBand="1" w:evenHBand="0" w:firstRowFirstColumn="0" w:firstRowLastColumn="0" w:lastRowFirstColumn="0" w:lastRowLastColumn="0"/>
              <w:rPr>
                <w:rFonts w:eastAsia="Calibri"/>
              </w:rPr>
            </w:pPr>
            <w:r>
              <w:t>Do đó, việc tăng cường áp dụng MLEC và MLETR, phù hợp với tiêu chuẩn Tạo thuận lợi Thương mại của WTO, là rất quan trọng để ASEAN tận dụng cơ hội phát triển kinh tế số đang mở rộng nhanh chóng</w:t>
            </w:r>
            <w:r w:rsidR="00081454" w:rsidRPr="009B4B86">
              <w:rPr>
                <w:rFonts w:eastAsia="Calibri"/>
              </w:rPr>
              <w:t>.</w:t>
            </w:r>
          </w:p>
        </w:tc>
      </w:tr>
      <w:tr w:rsidR="00081454" w:rsidRPr="004F1D15" w14:paraId="32A4E73C" w14:textId="77777777" w:rsidTr="00646483">
        <w:trPr>
          <w:trHeight w:val="589"/>
        </w:trPr>
        <w:tc>
          <w:tcPr>
            <w:cnfStyle w:val="001000000000" w:firstRow="0" w:lastRow="0" w:firstColumn="1" w:lastColumn="0" w:oddVBand="0" w:evenVBand="0" w:oddHBand="0" w:evenHBand="0" w:firstRowFirstColumn="0" w:firstRowLastColumn="0" w:lastRowFirstColumn="0" w:lastRowLastColumn="0"/>
            <w:tcW w:w="2547" w:type="dxa"/>
            <w:vMerge w:val="restart"/>
          </w:tcPr>
          <w:p w14:paraId="2BDEFD0F" w14:textId="18CE6D8D" w:rsidR="00081454" w:rsidRPr="004F1D15" w:rsidRDefault="00C6201B" w:rsidP="00353E3F">
            <w:pPr>
              <w:spacing w:line="276" w:lineRule="auto"/>
              <w:jc w:val="left"/>
            </w:pPr>
            <w:r w:rsidRPr="00C6201B">
              <w:t>Hóa đơn điện tử</w:t>
            </w:r>
          </w:p>
        </w:tc>
        <w:tc>
          <w:tcPr>
            <w:tcW w:w="8363" w:type="dxa"/>
          </w:tcPr>
          <w:p w14:paraId="249EF5C7" w14:textId="3ED66A85" w:rsidR="00081454" w:rsidRPr="001B58F5" w:rsidRDefault="00C6201B" w:rsidP="00454C17">
            <w:pPr>
              <w:spacing w:after="160" w:line="276" w:lineRule="auto"/>
              <w:cnfStyle w:val="000000000000" w:firstRow="0" w:lastRow="0" w:firstColumn="0" w:lastColumn="0" w:oddVBand="0" w:evenVBand="0" w:oddHBand="0" w:evenHBand="0" w:firstRowFirstColumn="0" w:firstRowLastColumn="0" w:lastRowFirstColumn="0" w:lastRowLastColumn="0"/>
              <w:rPr>
                <w:rFonts w:eastAsia="DengXian"/>
                <w:u w:val="single"/>
              </w:rPr>
            </w:pPr>
            <w:r w:rsidRPr="00C6201B">
              <w:rPr>
                <w:u w:val="single"/>
              </w:rPr>
              <w:t>Khuyến nghị</w:t>
            </w:r>
            <w:r w:rsidR="00081454" w:rsidRPr="00731A07">
              <w:rPr>
                <w:u w:val="single"/>
              </w:rPr>
              <w:t xml:space="preserve">: </w:t>
            </w:r>
          </w:p>
          <w:p w14:paraId="01479828" w14:textId="30445937" w:rsidR="00081454" w:rsidRPr="00516087" w:rsidRDefault="00C6201B" w:rsidP="00FF6387">
            <w:pPr>
              <w:pStyle w:val="ListParagraph"/>
              <w:numPr>
                <w:ilvl w:val="0"/>
                <w:numId w:val="40"/>
              </w:numPr>
              <w:spacing w:after="160"/>
              <w:cnfStyle w:val="000000000000" w:firstRow="0" w:lastRow="0" w:firstColumn="0" w:lastColumn="0" w:oddVBand="0" w:evenVBand="0" w:oddHBand="0" w:evenHBand="0" w:firstRowFirstColumn="0" w:firstRowLastColumn="0" w:lastRowFirstColumn="0" w:lastRowLastColumn="0"/>
              <w:rPr>
                <w:rFonts w:eastAsia="DengXian"/>
                <w:lang w:val="en-GB"/>
              </w:rPr>
            </w:pPr>
            <w:r w:rsidRPr="00C6201B">
              <w:rPr>
                <w:rFonts w:ascii="Arial" w:eastAsia="DengXian" w:hAnsi="Arial"/>
                <w:lang w:val="en-GB"/>
              </w:rPr>
              <w:t>Tăng cường áp dụng các tiêu chuẩn hóa đơn điện tử quốc tế và/hoặc hài hòa hệ thống hóa đơn điện tử quốc gia với các tiêu chuẩn này.</w:t>
            </w:r>
          </w:p>
        </w:tc>
      </w:tr>
      <w:tr w:rsidR="00454C17" w:rsidRPr="004F1D15" w14:paraId="4D4EDF1B" w14:textId="77777777" w:rsidTr="008C4E60">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2547" w:type="dxa"/>
            <w:vMerge/>
          </w:tcPr>
          <w:p w14:paraId="7B47C52E" w14:textId="77777777" w:rsidR="00081454" w:rsidRPr="004F1D15" w:rsidRDefault="00081454" w:rsidP="00454C17">
            <w:pPr>
              <w:spacing w:line="276" w:lineRule="auto"/>
              <w:jc w:val="left"/>
            </w:pPr>
          </w:p>
        </w:tc>
        <w:tc>
          <w:tcPr>
            <w:tcW w:w="8363" w:type="dxa"/>
            <w:shd w:val="clear" w:color="auto" w:fill="BDD6EE" w:themeFill="accent5" w:themeFillTint="66"/>
          </w:tcPr>
          <w:p w14:paraId="0B647FFF" w14:textId="733C5343" w:rsidR="00081454" w:rsidRDefault="00C6201B" w:rsidP="00454C17">
            <w:pPr>
              <w:spacing w:line="276" w:lineRule="auto"/>
              <w:cnfStyle w:val="000000100000" w:firstRow="0" w:lastRow="0" w:firstColumn="0" w:lastColumn="0" w:oddVBand="0" w:evenVBand="0" w:oddHBand="1" w:evenHBand="0" w:firstRowFirstColumn="0" w:firstRowLastColumn="0" w:lastRowFirstColumn="0" w:lastRowLastColumn="0"/>
              <w:rPr>
                <w:u w:val="single"/>
              </w:rPr>
            </w:pPr>
            <w:r w:rsidRPr="00C6201B">
              <w:rPr>
                <w:u w:val="single"/>
              </w:rPr>
              <w:t>Cơ sở lý luận</w:t>
            </w:r>
            <w:r w:rsidR="00081454" w:rsidRPr="00731A07">
              <w:rPr>
                <w:u w:val="single"/>
              </w:rPr>
              <w:t xml:space="preserve">: </w:t>
            </w:r>
          </w:p>
          <w:p w14:paraId="450F0FAF" w14:textId="5313018B" w:rsidR="00C6201B" w:rsidRPr="00C6201B" w:rsidRDefault="00C6201B" w:rsidP="00C6201B">
            <w:pPr>
              <w:spacing w:before="120" w:line="276" w:lineRule="auto"/>
              <w:cnfStyle w:val="000000100000" w:firstRow="0" w:lastRow="0" w:firstColumn="0" w:lastColumn="0" w:oddVBand="0" w:evenVBand="0" w:oddHBand="1" w:evenHBand="0" w:firstRowFirstColumn="0" w:firstRowLastColumn="0" w:lastRowFirstColumn="0" w:lastRowLastColumn="0"/>
              <w:rPr>
                <w:rFonts w:eastAsia="DengXian"/>
              </w:rPr>
            </w:pPr>
            <w:r w:rsidRPr="00C6201B">
              <w:rPr>
                <w:rFonts w:eastAsia="DengXian"/>
              </w:rPr>
              <w:t>Hóa đơn điện tử là động lực then chốt trong giao dịch số, giúp đơn giản hóa quy trình hành chính, tăng tính minh bạch, giảm gian lận và thúc đẩy giao dịch nhanh chóng. Việc áp dụng tiêu chuẩn quốc tế là yếu tố cốt lõi vì chúng bảo đảm yêu cầu chung, đặc tính kỹ thuật và hướng dẫn giúp các hệ thống có khả năng tương tác xuyên biên giới.</w:t>
            </w:r>
            <w:r>
              <w:rPr>
                <w:rFonts w:eastAsia="DengXian"/>
                <w:lang w:val="vi-VN"/>
              </w:rPr>
              <w:t xml:space="preserve"> </w:t>
            </w:r>
            <w:r w:rsidRPr="00C6201B">
              <w:rPr>
                <w:rFonts w:eastAsia="DengXian"/>
              </w:rPr>
              <w:t>Trong ASEAN, nhiều tiến triển đã đạt được:</w:t>
            </w:r>
            <w:r>
              <w:rPr>
                <w:rFonts w:eastAsia="DengXian"/>
                <w:lang w:val="vi-VN"/>
              </w:rPr>
              <w:t xml:space="preserve"> </w:t>
            </w:r>
            <w:r w:rsidRPr="00C6201B">
              <w:rPr>
                <w:rFonts w:eastAsia="DengXian"/>
              </w:rPr>
              <w:t>Thái Lan (Cơ quan Phát triển Giao dịch Điện tử – Electronic Transactions Development Agency) đã áp dụng tiêu chuẩn UN/</w:t>
            </w:r>
            <w:r>
              <w:rPr>
                <w:rFonts w:eastAsia="DengXian"/>
              </w:rPr>
              <w:t>CEFACT</w:t>
            </w:r>
            <w:r>
              <w:rPr>
                <w:rFonts w:eastAsia="DengXian"/>
                <w:lang w:val="vi-VN"/>
              </w:rPr>
              <w:t xml:space="preserve">; </w:t>
            </w:r>
            <w:r w:rsidRPr="00C6201B">
              <w:rPr>
                <w:rFonts w:eastAsia="DengXian"/>
              </w:rPr>
              <w:t xml:space="preserve">Malaysia và Singapore áp dụng tiêu chuẩn </w:t>
            </w:r>
            <w:r>
              <w:rPr>
                <w:rFonts w:eastAsia="DengXian"/>
              </w:rPr>
              <w:t>PEPPOL</w:t>
            </w:r>
            <w:r>
              <w:rPr>
                <w:rFonts w:eastAsia="DengXian"/>
                <w:lang w:val="vi-VN"/>
              </w:rPr>
              <w:t xml:space="preserve">; </w:t>
            </w:r>
            <w:r w:rsidRPr="00C6201B">
              <w:rPr>
                <w:rFonts w:eastAsia="DengXian"/>
              </w:rPr>
              <w:t xml:space="preserve">Việt Nam có khả năng sẽ đi theo hướng </w:t>
            </w:r>
            <w:r>
              <w:rPr>
                <w:rFonts w:eastAsia="DengXian"/>
              </w:rPr>
              <w:t>này</w:t>
            </w:r>
            <w:r>
              <w:rPr>
                <w:rFonts w:eastAsia="DengXian"/>
                <w:lang w:val="vi-VN"/>
              </w:rPr>
              <w:t xml:space="preserve">; </w:t>
            </w:r>
            <w:r w:rsidRPr="00C6201B">
              <w:rPr>
                <w:rFonts w:eastAsia="DengXian"/>
              </w:rPr>
              <w:t>Thái Lan và Philippines đã xây dựng hệ thống dựa trên mô hình RTIR của Hàn Quốc.</w:t>
            </w:r>
          </w:p>
          <w:p w14:paraId="65DBB163" w14:textId="06510052" w:rsidR="00081454" w:rsidRPr="00516087" w:rsidRDefault="00C6201B" w:rsidP="00C6201B">
            <w:pPr>
              <w:spacing w:before="120" w:after="160" w:line="276" w:lineRule="auto"/>
              <w:cnfStyle w:val="000000100000" w:firstRow="0" w:lastRow="0" w:firstColumn="0" w:lastColumn="0" w:oddVBand="0" w:evenVBand="0" w:oddHBand="1" w:evenHBand="0" w:firstRowFirstColumn="0" w:firstRowLastColumn="0" w:lastRowFirstColumn="0" w:lastRowLastColumn="0"/>
              <w:rPr>
                <w:rFonts w:eastAsia="DengXian"/>
              </w:rPr>
            </w:pPr>
            <w:r w:rsidRPr="00C6201B">
              <w:rPr>
                <w:rFonts w:eastAsia="DengXian"/>
              </w:rPr>
              <w:t xml:space="preserve">Do đó, tăng cường áp dụng các tiêu chuẩn quốc tế về </w:t>
            </w:r>
            <w:r w:rsidR="006F703C">
              <w:rPr>
                <w:rFonts w:eastAsia="DengXian"/>
              </w:rPr>
              <w:t>hóa đơn điện tử</w:t>
            </w:r>
            <w:r w:rsidRPr="00C6201B">
              <w:rPr>
                <w:rFonts w:eastAsia="DengXian"/>
              </w:rPr>
              <w:t>, hoặc hài hòa hệ thống quốc gia với các tiêu chuẩn này, là cần thiết để tăng khả năng tương tác, nâng cao năng lực thương mại số khu vực và đưa ASEAN trở thành điểm sáng toàn cầu về thương mại điện tử</w:t>
            </w:r>
            <w:r w:rsidR="00081454" w:rsidRPr="00516087">
              <w:rPr>
                <w:rFonts w:eastAsia="DengXian"/>
              </w:rPr>
              <w:t>.</w:t>
            </w:r>
          </w:p>
        </w:tc>
      </w:tr>
      <w:tr w:rsidR="00081454" w:rsidRPr="004F1D15" w14:paraId="6907C63A" w14:textId="77777777" w:rsidTr="00646483">
        <w:trPr>
          <w:trHeight w:val="1059"/>
        </w:trPr>
        <w:tc>
          <w:tcPr>
            <w:cnfStyle w:val="001000000000" w:firstRow="0" w:lastRow="0" w:firstColumn="1" w:lastColumn="0" w:oddVBand="0" w:evenVBand="0" w:oddHBand="0" w:evenHBand="0" w:firstRowFirstColumn="0" w:firstRowLastColumn="0" w:lastRowFirstColumn="0" w:lastRowLastColumn="0"/>
            <w:tcW w:w="2547" w:type="dxa"/>
            <w:vMerge w:val="restart"/>
          </w:tcPr>
          <w:p w14:paraId="4C0E691C" w14:textId="12716D2F" w:rsidR="00081454" w:rsidRPr="004F1D15" w:rsidRDefault="00112659" w:rsidP="00353E3F">
            <w:pPr>
              <w:spacing w:line="276" w:lineRule="auto"/>
              <w:jc w:val="left"/>
            </w:pPr>
            <w:r w:rsidRPr="00112659">
              <w:t>Thanh toán</w:t>
            </w:r>
          </w:p>
        </w:tc>
        <w:tc>
          <w:tcPr>
            <w:tcW w:w="8363" w:type="dxa"/>
          </w:tcPr>
          <w:p w14:paraId="5FE32C37" w14:textId="45977E4A" w:rsidR="00081454" w:rsidRPr="001B58F5" w:rsidRDefault="00112659" w:rsidP="00454C17">
            <w:pPr>
              <w:spacing w:after="160" w:line="276" w:lineRule="auto"/>
              <w:cnfStyle w:val="000000000000" w:firstRow="0" w:lastRow="0" w:firstColumn="0" w:lastColumn="0" w:oddVBand="0" w:evenVBand="0" w:oddHBand="0" w:evenHBand="0" w:firstRowFirstColumn="0" w:firstRowLastColumn="0" w:lastRowFirstColumn="0" w:lastRowLastColumn="0"/>
              <w:rPr>
                <w:rFonts w:eastAsia="DengXian"/>
                <w:u w:val="single"/>
              </w:rPr>
            </w:pPr>
            <w:r w:rsidRPr="00112659">
              <w:rPr>
                <w:u w:val="single"/>
              </w:rPr>
              <w:t>Khuyến nghị</w:t>
            </w:r>
            <w:r w:rsidR="00081454" w:rsidRPr="00731A07">
              <w:rPr>
                <w:u w:val="single"/>
              </w:rPr>
              <w:t xml:space="preserve">: </w:t>
            </w:r>
          </w:p>
          <w:p w14:paraId="29241A0A" w14:textId="4B8C9B29" w:rsidR="00081454" w:rsidRPr="00516087" w:rsidRDefault="00112659" w:rsidP="00FF6387">
            <w:pPr>
              <w:pStyle w:val="ListParagraph"/>
              <w:numPr>
                <w:ilvl w:val="0"/>
                <w:numId w:val="40"/>
              </w:numPr>
              <w:spacing w:after="160"/>
              <w:cnfStyle w:val="000000000000" w:firstRow="0" w:lastRow="0" w:firstColumn="0" w:lastColumn="0" w:oddVBand="0" w:evenVBand="0" w:oddHBand="0" w:evenHBand="0" w:firstRowFirstColumn="0" w:firstRowLastColumn="0" w:lastRowFirstColumn="0" w:lastRowLastColumn="0"/>
              <w:rPr>
                <w:rFonts w:eastAsia="DengXian"/>
                <w:lang w:val="en-GB"/>
              </w:rPr>
            </w:pPr>
            <w:r w:rsidRPr="00112659">
              <w:rPr>
                <w:rFonts w:ascii="Arial" w:eastAsia="DengXian" w:hAnsi="Arial"/>
                <w:lang w:val="en-GB"/>
              </w:rPr>
              <w:t>Áp dụng tiêu chuẩn ISO 20022 cho cả Hệ thống Thanh toán Bán lẻ (Retail Payment Systems) và Hệ thống Thanh toán Giá trị lớn (Large Value Payment Systems) tại cả 10 AMS; đồng thời tăng cường hài hòa với các tiêu chuẩn toàn cầu như CBPR+, IP+ và tiêu chuẩn điều hòa của CPMI</w:t>
            </w:r>
            <w:r w:rsidR="00081454" w:rsidRPr="00516087">
              <w:rPr>
                <w:rFonts w:ascii="Arial" w:eastAsia="DengXian" w:hAnsi="Arial"/>
                <w:lang w:val="en-GB"/>
              </w:rPr>
              <w:t>.</w:t>
            </w:r>
          </w:p>
        </w:tc>
      </w:tr>
      <w:tr w:rsidR="00454C17" w:rsidRPr="004F1D15" w14:paraId="2B43D933" w14:textId="77777777" w:rsidTr="008C4E60">
        <w:trPr>
          <w:cnfStyle w:val="000000100000" w:firstRow="0" w:lastRow="0" w:firstColumn="0" w:lastColumn="0" w:oddVBand="0" w:evenVBand="0" w:oddHBand="1" w:evenHBand="0" w:firstRowFirstColumn="0" w:firstRowLastColumn="0" w:lastRowFirstColumn="0" w:lastRowLastColumn="0"/>
          <w:trHeight w:val="1059"/>
        </w:trPr>
        <w:tc>
          <w:tcPr>
            <w:cnfStyle w:val="001000000000" w:firstRow="0" w:lastRow="0" w:firstColumn="1" w:lastColumn="0" w:oddVBand="0" w:evenVBand="0" w:oddHBand="0" w:evenHBand="0" w:firstRowFirstColumn="0" w:firstRowLastColumn="0" w:lastRowFirstColumn="0" w:lastRowLastColumn="0"/>
            <w:tcW w:w="2547" w:type="dxa"/>
            <w:vMerge/>
          </w:tcPr>
          <w:p w14:paraId="6A4C7BAE" w14:textId="77777777" w:rsidR="00081454" w:rsidRPr="004F1D15" w:rsidRDefault="00081454" w:rsidP="00454C17">
            <w:pPr>
              <w:spacing w:line="276" w:lineRule="auto"/>
              <w:jc w:val="left"/>
            </w:pPr>
          </w:p>
        </w:tc>
        <w:tc>
          <w:tcPr>
            <w:tcW w:w="8363" w:type="dxa"/>
            <w:shd w:val="clear" w:color="auto" w:fill="BDD6EE" w:themeFill="accent5" w:themeFillTint="66"/>
          </w:tcPr>
          <w:p w14:paraId="1331AF89" w14:textId="1D0D318A" w:rsidR="00081454" w:rsidRDefault="00112659" w:rsidP="00454C17">
            <w:pPr>
              <w:spacing w:line="276" w:lineRule="auto"/>
              <w:cnfStyle w:val="000000100000" w:firstRow="0" w:lastRow="0" w:firstColumn="0" w:lastColumn="0" w:oddVBand="0" w:evenVBand="0" w:oddHBand="1" w:evenHBand="0" w:firstRowFirstColumn="0" w:firstRowLastColumn="0" w:lastRowFirstColumn="0" w:lastRowLastColumn="0"/>
              <w:rPr>
                <w:u w:val="single"/>
              </w:rPr>
            </w:pPr>
            <w:r w:rsidRPr="00112659">
              <w:rPr>
                <w:u w:val="single"/>
              </w:rPr>
              <w:t>Cơ sở lý luận</w:t>
            </w:r>
            <w:r w:rsidR="00081454" w:rsidRPr="00731A07">
              <w:rPr>
                <w:u w:val="single"/>
              </w:rPr>
              <w:t xml:space="preserve">: </w:t>
            </w:r>
          </w:p>
          <w:p w14:paraId="7427CEC4" w14:textId="134FCBE0" w:rsidR="00081454" w:rsidRDefault="00112659" w:rsidP="00454C17">
            <w:pPr>
              <w:spacing w:line="276" w:lineRule="auto"/>
              <w:cnfStyle w:val="000000100000" w:firstRow="0" w:lastRow="0" w:firstColumn="0" w:lastColumn="0" w:oddVBand="0" w:evenVBand="0" w:oddHBand="1" w:evenHBand="0" w:firstRowFirstColumn="0" w:firstRowLastColumn="0" w:lastRowFirstColumn="0" w:lastRowLastColumn="0"/>
            </w:pPr>
            <w:r w:rsidRPr="00112659">
              <w:t>Thanh toán số là động lực quan trọng của tăng trưởng kinh tế ASEAN. Giá trị thanh toán số tại 6 nền kinh tế lớn ASEAN đạt 806 tỷ USD năm 2022 và dự kiến đạt 1,2 nghìn tỷ USD vào năm 2025</w:t>
            </w:r>
            <w:r w:rsidR="00081454" w:rsidRPr="004F1D15">
              <w:t>.</w:t>
            </w:r>
            <w:r w:rsidR="00081454" w:rsidRPr="004F1D15">
              <w:rPr>
                <w:rStyle w:val="FootnoteReference"/>
                <w:rFonts w:eastAsia="Times New Roman"/>
              </w:rPr>
              <w:footnoteReference w:id="8"/>
            </w:r>
            <w:r w:rsidR="00081454" w:rsidRPr="004F1D15">
              <w:t xml:space="preserve"> </w:t>
            </w:r>
          </w:p>
          <w:p w14:paraId="363437A7" w14:textId="77777777" w:rsidR="00081454" w:rsidRDefault="00081454" w:rsidP="00454C17">
            <w:pPr>
              <w:spacing w:line="276" w:lineRule="auto"/>
              <w:cnfStyle w:val="000000100000" w:firstRow="0" w:lastRow="0" w:firstColumn="0" w:lastColumn="0" w:oddVBand="0" w:evenVBand="0" w:oddHBand="1" w:evenHBand="0" w:firstRowFirstColumn="0" w:firstRowLastColumn="0" w:lastRowFirstColumn="0" w:lastRowLastColumn="0"/>
            </w:pPr>
          </w:p>
          <w:p w14:paraId="51750517" w14:textId="77777777" w:rsidR="00112659" w:rsidRDefault="00112659" w:rsidP="00112659">
            <w:pPr>
              <w:spacing w:line="276" w:lineRule="auto"/>
              <w:cnfStyle w:val="000000100000" w:firstRow="0" w:lastRow="0" w:firstColumn="0" w:lastColumn="0" w:oddVBand="0" w:evenVBand="0" w:oddHBand="1" w:evenHBand="0" w:firstRowFirstColumn="0" w:firstRowLastColumn="0" w:lastRowFirstColumn="0" w:lastRowLastColumn="0"/>
            </w:pPr>
            <w:r>
              <w:t>Áp dụng tiêu chuẩn thanh toán quốc tế là điều cần thiết để tăng khả năng tương tác, kết nối với hệ thống tài chính toàn cầu, thúc đẩy giao dịch xuyên biên giới và nâng cao năng lực cạnh tranh khu vực.</w:t>
            </w:r>
          </w:p>
          <w:p w14:paraId="115120B8" w14:textId="77777777" w:rsidR="00112659" w:rsidRDefault="00112659" w:rsidP="00112659">
            <w:pPr>
              <w:spacing w:line="276" w:lineRule="auto"/>
              <w:cnfStyle w:val="000000100000" w:firstRow="0" w:lastRow="0" w:firstColumn="0" w:lastColumn="0" w:oddVBand="0" w:evenVBand="0" w:oddHBand="1" w:evenHBand="0" w:firstRowFirstColumn="0" w:firstRowLastColumn="0" w:lastRowFirstColumn="0" w:lastRowLastColumn="0"/>
            </w:pPr>
          </w:p>
          <w:p w14:paraId="64DB569A" w14:textId="7060F2C1" w:rsidR="00081454" w:rsidRPr="00550588" w:rsidRDefault="00112659" w:rsidP="00112659">
            <w:pPr>
              <w:spacing w:after="160" w:line="276" w:lineRule="auto"/>
              <w:cnfStyle w:val="000000100000" w:firstRow="0" w:lastRow="0" w:firstColumn="0" w:lastColumn="0" w:oddVBand="0" w:evenVBand="0" w:oddHBand="1" w:evenHBand="0" w:firstRowFirstColumn="0" w:firstRowLastColumn="0" w:lastRowFirstColumn="0" w:lastRowLastColumn="0"/>
              <w:rPr>
                <w:rFonts w:eastAsia="DengXian"/>
              </w:rPr>
            </w:pPr>
            <w:r>
              <w:t>Hiện mức độ áp dụng tiêu chuẩn như LEI và ISO/IEC 18004 QR Code còn không đồng đều giữa các nước. Do đó, tăng cường áp dụng tiêu chuẩn ISO 20022 và liên thông với CBPR+, IP+, CPMI là cần thiết để tăng hiệu quả thanh toán xuyên biên giới, mở rộng tài chính toàn diện và duy trì vị thế ASEAN trong nền kinh tế số.</w:t>
            </w:r>
          </w:p>
        </w:tc>
      </w:tr>
      <w:tr w:rsidR="00E74F92" w:rsidRPr="004F1D15" w14:paraId="734791CD" w14:textId="77777777" w:rsidTr="006B4749">
        <w:trPr>
          <w:trHeight w:val="61"/>
        </w:trPr>
        <w:tc>
          <w:tcPr>
            <w:cnfStyle w:val="001000000000" w:firstRow="0" w:lastRow="0" w:firstColumn="1" w:lastColumn="0" w:oddVBand="0" w:evenVBand="0" w:oddHBand="0" w:evenHBand="0" w:firstRowFirstColumn="0" w:firstRowLastColumn="0" w:lastRowFirstColumn="0" w:lastRowLastColumn="0"/>
            <w:tcW w:w="10910" w:type="dxa"/>
            <w:gridSpan w:val="2"/>
          </w:tcPr>
          <w:p w14:paraId="2433D38D" w14:textId="77777777" w:rsidR="00E74F92" w:rsidRPr="00E74F92" w:rsidRDefault="00E74F92" w:rsidP="00353E3F">
            <w:pPr>
              <w:spacing w:line="276" w:lineRule="auto"/>
              <w:jc w:val="left"/>
              <w:rPr>
                <w:sz w:val="6"/>
                <w:szCs w:val="6"/>
              </w:rPr>
            </w:pPr>
          </w:p>
        </w:tc>
      </w:tr>
      <w:tr w:rsidR="00081454" w:rsidRPr="004F1D15" w14:paraId="362D86F1" w14:textId="77777777" w:rsidTr="008C4E60">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0910" w:type="dxa"/>
            <w:gridSpan w:val="2"/>
            <w:shd w:val="clear" w:color="auto" w:fill="BDD6EE" w:themeFill="accent5" w:themeFillTint="66"/>
          </w:tcPr>
          <w:p w14:paraId="1A3674DA" w14:textId="7B0B5026" w:rsidR="00081454" w:rsidRPr="00112659" w:rsidRDefault="00112659" w:rsidP="00454C17">
            <w:pPr>
              <w:spacing w:after="160" w:line="276" w:lineRule="auto"/>
              <w:jc w:val="left"/>
              <w:rPr>
                <w:rFonts w:eastAsia="DengXian"/>
                <w:b w:val="0"/>
                <w:bCs w:val="0"/>
                <w:lang w:val="vi-VN"/>
              </w:rPr>
            </w:pPr>
            <w:r w:rsidRPr="00112659">
              <w:rPr>
                <w:rFonts w:eastAsia="DengXian"/>
                <w:lang w:val="vi-VN"/>
              </w:rPr>
              <w:t xml:space="preserve">Khu vực Thương mại Số </w:t>
            </w:r>
            <w:r w:rsidR="00C16F63">
              <w:rPr>
                <w:rFonts w:eastAsia="DengXian"/>
                <w:lang w:val="en-AU"/>
              </w:rPr>
              <w:t xml:space="preserve">số </w:t>
            </w:r>
            <w:r w:rsidRPr="00112659">
              <w:rPr>
                <w:rFonts w:eastAsia="DengXian"/>
                <w:lang w:val="vi-VN"/>
              </w:rPr>
              <w:t>3: Niềm tin số</w:t>
            </w:r>
          </w:p>
        </w:tc>
      </w:tr>
      <w:tr w:rsidR="00C12929" w:rsidRPr="004F1D15" w14:paraId="6ED6151A" w14:textId="77777777" w:rsidTr="00646483">
        <w:trPr>
          <w:trHeight w:val="106"/>
        </w:trPr>
        <w:tc>
          <w:tcPr>
            <w:cnfStyle w:val="001000000000" w:firstRow="0" w:lastRow="0" w:firstColumn="1" w:lastColumn="0" w:oddVBand="0" w:evenVBand="0" w:oddHBand="0" w:evenHBand="0" w:firstRowFirstColumn="0" w:firstRowLastColumn="0" w:lastRowFirstColumn="0" w:lastRowLastColumn="0"/>
            <w:tcW w:w="2547" w:type="dxa"/>
            <w:vMerge w:val="restart"/>
          </w:tcPr>
          <w:p w14:paraId="0B9EAACA" w14:textId="7E4EA270" w:rsidR="00081454" w:rsidRPr="004F1D15" w:rsidRDefault="00112659" w:rsidP="00454C17">
            <w:pPr>
              <w:spacing w:line="276" w:lineRule="auto"/>
              <w:jc w:val="left"/>
            </w:pPr>
            <w:r w:rsidRPr="00112659">
              <w:t>Danh tính số và Xác thực</w:t>
            </w:r>
          </w:p>
        </w:tc>
        <w:tc>
          <w:tcPr>
            <w:tcW w:w="8363" w:type="dxa"/>
          </w:tcPr>
          <w:p w14:paraId="610AB5B0" w14:textId="2069AA5E" w:rsidR="00081454" w:rsidRPr="001B58F5" w:rsidRDefault="00112659" w:rsidP="00454C17">
            <w:pPr>
              <w:spacing w:after="160" w:line="276" w:lineRule="auto"/>
              <w:cnfStyle w:val="000000000000" w:firstRow="0" w:lastRow="0" w:firstColumn="0" w:lastColumn="0" w:oddVBand="0" w:evenVBand="0" w:oddHBand="0" w:evenHBand="0" w:firstRowFirstColumn="0" w:firstRowLastColumn="0" w:lastRowFirstColumn="0" w:lastRowLastColumn="0"/>
              <w:rPr>
                <w:rFonts w:eastAsia="DengXian"/>
                <w:u w:val="single"/>
              </w:rPr>
            </w:pPr>
            <w:r w:rsidRPr="00112659">
              <w:rPr>
                <w:u w:val="single"/>
              </w:rPr>
              <w:t>Khuyến nghị</w:t>
            </w:r>
            <w:r w:rsidR="00081454" w:rsidRPr="00731A07">
              <w:rPr>
                <w:u w:val="single"/>
              </w:rPr>
              <w:t xml:space="preserve">: </w:t>
            </w:r>
          </w:p>
          <w:p w14:paraId="72E90484" w14:textId="4271683A" w:rsidR="00081454" w:rsidRPr="00516087" w:rsidRDefault="001767DC" w:rsidP="00FF6387">
            <w:pPr>
              <w:pStyle w:val="ListParagraph"/>
              <w:numPr>
                <w:ilvl w:val="0"/>
                <w:numId w:val="40"/>
              </w:numPr>
              <w:spacing w:after="160"/>
              <w:cnfStyle w:val="000000000000" w:firstRow="0" w:lastRow="0" w:firstColumn="0" w:lastColumn="0" w:oddVBand="0" w:evenVBand="0" w:oddHBand="0" w:evenHBand="0" w:firstRowFirstColumn="0" w:firstRowLastColumn="0" w:lastRowFirstColumn="0" w:lastRowLastColumn="0"/>
              <w:rPr>
                <w:rFonts w:eastAsia="DengXian"/>
                <w:lang w:val="en-GB"/>
              </w:rPr>
            </w:pPr>
            <w:r w:rsidRPr="001767DC">
              <w:rPr>
                <w:rFonts w:ascii="Arial" w:eastAsia="DengXian" w:hAnsi="Arial"/>
                <w:lang w:val="en-GB"/>
              </w:rPr>
              <w:t>Xây dựng Lộ trình triển khai UBIN – Unified Business Identification Number (Mã định danh doanh nghiệp thống nhất) có khả năng so sánh và được công nhận trên toàn ASEAN.</w:t>
            </w:r>
          </w:p>
        </w:tc>
      </w:tr>
      <w:tr w:rsidR="00880304" w:rsidRPr="004F1D15" w14:paraId="39FCCEFC" w14:textId="77777777" w:rsidTr="008C4E60">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2547" w:type="dxa"/>
            <w:vMerge/>
          </w:tcPr>
          <w:p w14:paraId="0D2123E9" w14:textId="77777777" w:rsidR="00081454" w:rsidRPr="004F1D15" w:rsidRDefault="00081454" w:rsidP="00353E3F">
            <w:pPr>
              <w:spacing w:line="276" w:lineRule="auto"/>
              <w:jc w:val="left"/>
            </w:pPr>
          </w:p>
        </w:tc>
        <w:tc>
          <w:tcPr>
            <w:tcW w:w="8363" w:type="dxa"/>
            <w:shd w:val="clear" w:color="auto" w:fill="BDD6EE" w:themeFill="accent5" w:themeFillTint="66"/>
          </w:tcPr>
          <w:p w14:paraId="4B6B53EC" w14:textId="0C543864" w:rsidR="00081454" w:rsidRDefault="001767DC" w:rsidP="00353E3F">
            <w:pPr>
              <w:spacing w:line="276" w:lineRule="auto"/>
              <w:cnfStyle w:val="000000100000" w:firstRow="0" w:lastRow="0" w:firstColumn="0" w:lastColumn="0" w:oddVBand="0" w:evenVBand="0" w:oddHBand="1" w:evenHBand="0" w:firstRowFirstColumn="0" w:firstRowLastColumn="0" w:lastRowFirstColumn="0" w:lastRowLastColumn="0"/>
              <w:rPr>
                <w:u w:val="single"/>
              </w:rPr>
            </w:pPr>
            <w:r w:rsidRPr="001767DC">
              <w:rPr>
                <w:u w:val="single"/>
              </w:rPr>
              <w:t>Cơ sở lý luận</w:t>
            </w:r>
            <w:r w:rsidR="00081454" w:rsidRPr="00731A07">
              <w:rPr>
                <w:u w:val="single"/>
              </w:rPr>
              <w:t xml:space="preserve">: </w:t>
            </w:r>
          </w:p>
          <w:p w14:paraId="6F7F5A00" w14:textId="50AB06F1" w:rsidR="00081454" w:rsidRDefault="001767DC" w:rsidP="00353E3F">
            <w:pPr>
              <w:spacing w:line="276" w:lineRule="auto"/>
              <w:cnfStyle w:val="000000100000" w:firstRow="0" w:lastRow="0" w:firstColumn="0" w:lastColumn="0" w:oddVBand="0" w:evenVBand="0" w:oddHBand="1" w:evenHBand="0" w:firstRowFirstColumn="0" w:firstRowLastColumn="0" w:lastRowFirstColumn="0" w:lastRowLastColumn="0"/>
            </w:pPr>
            <w:r w:rsidRPr="001767DC">
              <w:t>Niềm tin số là nền tảng của kinh tế số. UBIN và hệ thống danh tính số đảm bảo định danh và xác thực chính xác chủ thể, từ đó tăng tính an toàn và minh bạch của giao dịch số – yếu tố thiết yếu cho thương mại trong và ngoài ASEAN</w:t>
            </w:r>
            <w:r w:rsidR="00081454">
              <w:t>.</w:t>
            </w:r>
          </w:p>
          <w:p w14:paraId="03ACA6F8" w14:textId="77777777" w:rsidR="00081454" w:rsidRDefault="00081454" w:rsidP="00353E3F">
            <w:pPr>
              <w:spacing w:line="276" w:lineRule="auto"/>
              <w:cnfStyle w:val="000000100000" w:firstRow="0" w:lastRow="0" w:firstColumn="0" w:lastColumn="0" w:oddVBand="0" w:evenVBand="0" w:oddHBand="1" w:evenHBand="0" w:firstRowFirstColumn="0" w:firstRowLastColumn="0" w:lastRowFirstColumn="0" w:lastRowLastColumn="0"/>
            </w:pPr>
          </w:p>
          <w:p w14:paraId="118E1A0A" w14:textId="5A64B5FE" w:rsidR="00081454" w:rsidRPr="004F1D15" w:rsidRDefault="001767DC" w:rsidP="00353E3F">
            <w:pPr>
              <w:spacing w:line="276" w:lineRule="auto"/>
              <w:cnfStyle w:val="000000100000" w:firstRow="0" w:lastRow="0" w:firstColumn="0" w:lastColumn="0" w:oddVBand="0" w:evenVBand="0" w:oddHBand="1" w:evenHBand="0" w:firstRowFirstColumn="0" w:firstRowLastColumn="0" w:lastRowFirstColumn="0" w:lastRowLastColumn="0"/>
            </w:pPr>
            <w:r w:rsidRPr="001767DC">
              <w:t>Tiêu chuẩn danh tính số giúp tăng khả năng tương tác, bảo đảm giao dịch xuyên biên giới nhanh hơn, an toàn hơn và hiệu quả hơn, thúc đẩy hội nhập kinh tế</w:t>
            </w:r>
            <w:r w:rsidR="00081454">
              <w:t>.</w:t>
            </w:r>
          </w:p>
          <w:p w14:paraId="1389AFFA" w14:textId="77777777" w:rsidR="00081454" w:rsidRDefault="00081454" w:rsidP="00353E3F">
            <w:pPr>
              <w:spacing w:line="276" w:lineRule="auto"/>
              <w:cnfStyle w:val="000000100000" w:firstRow="0" w:lastRow="0" w:firstColumn="0" w:lastColumn="0" w:oddVBand="0" w:evenVBand="0" w:oddHBand="1" w:evenHBand="0" w:firstRowFirstColumn="0" w:firstRowLastColumn="0" w:lastRowFirstColumn="0" w:lastRowLastColumn="0"/>
            </w:pPr>
          </w:p>
          <w:p w14:paraId="2430C218" w14:textId="38238672" w:rsidR="00081454" w:rsidRDefault="00566B27" w:rsidP="00566B27">
            <w:pPr>
              <w:spacing w:line="276" w:lineRule="auto"/>
              <w:cnfStyle w:val="000000100000" w:firstRow="0" w:lastRow="0" w:firstColumn="0" w:lastColumn="0" w:oddVBand="0" w:evenVBand="0" w:oddHBand="1" w:evenHBand="0" w:firstRowFirstColumn="0" w:firstRowLastColumn="0" w:lastRowFirstColumn="0" w:lastRowLastColumn="0"/>
            </w:pPr>
            <w:r>
              <w:t>Hiện mới có thông tin hạn chế về mức độ áp dụng ISO/IEC 24745:2022 trong ASEAN. Tuy nhiên:</w:t>
            </w:r>
            <w:r>
              <w:rPr>
                <w:lang w:val="vi-VN"/>
              </w:rPr>
              <w:t xml:space="preserve"> </w:t>
            </w:r>
            <w:r>
              <w:t>Thái Lan (Electronic Transactions Development Agency)</w:t>
            </w:r>
            <w:r>
              <w:rPr>
                <w:lang w:val="vi-VN"/>
              </w:rPr>
              <w:t xml:space="preserve"> và </w:t>
            </w:r>
            <w:r>
              <w:t>Việt Nam (Bộ Thông tin và Truyền thông)</w:t>
            </w:r>
            <w:r>
              <w:rPr>
                <w:lang w:val="vi-VN"/>
              </w:rPr>
              <w:t xml:space="preserve"> </w:t>
            </w:r>
            <w:r>
              <w:t xml:space="preserve">là thành viên chính phủ trong </w:t>
            </w:r>
            <w:r>
              <w:lastRenderedPageBreak/>
              <w:t>FIDO Alliance.</w:t>
            </w:r>
            <w:r>
              <w:rPr>
                <w:lang w:val="vi-VN"/>
              </w:rPr>
              <w:t xml:space="preserve"> Hiện tại, </w:t>
            </w:r>
            <w:r>
              <w:t>9/10 AMS đã triển khai hệ thống ID nền tảng; Philippines đang trong quá trình triển khai</w:t>
            </w:r>
            <w:r w:rsidR="00081454" w:rsidRPr="00E23D70">
              <w:rPr>
                <w:rFonts w:eastAsia="DengXian"/>
              </w:rPr>
              <w:t>.</w:t>
            </w:r>
            <w:r w:rsidR="00081454" w:rsidRPr="0098487E">
              <w:rPr>
                <w:rStyle w:val="FootnoteReference"/>
                <w:rFonts w:eastAsia="Times New Roman"/>
              </w:rPr>
              <w:footnoteReference w:id="9"/>
            </w:r>
          </w:p>
          <w:p w14:paraId="7D92D600" w14:textId="77777777" w:rsidR="00081454" w:rsidRDefault="00081454" w:rsidP="00353E3F">
            <w:pPr>
              <w:spacing w:line="276" w:lineRule="auto"/>
              <w:cnfStyle w:val="000000100000" w:firstRow="0" w:lastRow="0" w:firstColumn="0" w:lastColumn="0" w:oddVBand="0" w:evenVBand="0" w:oddHBand="1" w:evenHBand="0" w:firstRowFirstColumn="0" w:firstRowLastColumn="0" w:lastRowFirstColumn="0" w:lastRowLastColumn="0"/>
            </w:pPr>
          </w:p>
          <w:p w14:paraId="0528C28D" w14:textId="44452D4B" w:rsidR="00081454" w:rsidRPr="00375776" w:rsidRDefault="00E72ACB" w:rsidP="00454C17">
            <w:pPr>
              <w:spacing w:after="160" w:line="276" w:lineRule="auto"/>
              <w:cnfStyle w:val="000000100000" w:firstRow="0" w:lastRow="0" w:firstColumn="0" w:lastColumn="0" w:oddVBand="0" w:evenVBand="0" w:oddHBand="1" w:evenHBand="0" w:firstRowFirstColumn="0" w:firstRowLastColumn="0" w:lastRowFirstColumn="0" w:lastRowLastColumn="0"/>
              <w:rPr>
                <w:rFonts w:eastAsia="DengXian"/>
              </w:rPr>
            </w:pPr>
            <w:r w:rsidRPr="00E72ACB">
              <w:t>Trong bối cảnh hệ sinh thái định danh số (digital ID) trong khu vực hiện đang phân mảnh, việc xây dựng Lộ trình Triển khai nhằm Thiết lập Mã Định danh Doanh nghiệp Thống nhất (Unified Business Identification Number – UBIN) có khả năng so sánh và được công nhận ở cấp độ khu vực trong ASEAN là hết sức quan trọng. Lộ trình này sẽ giúp thiết lập một hệ thống UBIN thống nhất và có khả năng tương tác liên thông, được kỳ vọng sẽ trở thành nền tảng cốt lõi của nền kinh tế số ASEAN. Bằng cách tăng cường khả năng tiếp cận tài chính và thúc đẩy khả năng kết nối – liên thông của các cơ sở dữ liệu đăng ký doanh nghiệp giữa các Quốc gia Thành viên ASEAN (ASEAN Member States – AMS), sáng kiến này sẽ tạo thuận lợi cho thương mại xuyên biên giới và nâng cao đáng kể năng lực cạnh tranh của khu vực trong nền kinh tế số toàn cầu.</w:t>
            </w:r>
          </w:p>
        </w:tc>
      </w:tr>
      <w:tr w:rsidR="00C12929" w:rsidRPr="004F1D15" w14:paraId="33D3BB60" w14:textId="77777777" w:rsidTr="00646483">
        <w:trPr>
          <w:trHeight w:val="106"/>
        </w:trPr>
        <w:tc>
          <w:tcPr>
            <w:cnfStyle w:val="001000000000" w:firstRow="0" w:lastRow="0" w:firstColumn="1" w:lastColumn="0" w:oddVBand="0" w:evenVBand="0" w:oddHBand="0" w:evenHBand="0" w:firstRowFirstColumn="0" w:firstRowLastColumn="0" w:lastRowFirstColumn="0" w:lastRowLastColumn="0"/>
            <w:tcW w:w="2547" w:type="dxa"/>
            <w:vMerge w:val="restart"/>
          </w:tcPr>
          <w:p w14:paraId="6001253B" w14:textId="1829343A" w:rsidR="00081454" w:rsidRPr="00566B27" w:rsidRDefault="00566B27" w:rsidP="00454C17">
            <w:pPr>
              <w:spacing w:line="276" w:lineRule="auto"/>
              <w:jc w:val="left"/>
              <w:rPr>
                <w:lang w:val="vi-VN"/>
              </w:rPr>
            </w:pPr>
            <w:r w:rsidRPr="00566B27">
              <w:rPr>
                <w:lang w:val="vi-VN"/>
              </w:rPr>
              <w:t>An ninh mạng</w:t>
            </w:r>
          </w:p>
        </w:tc>
        <w:tc>
          <w:tcPr>
            <w:tcW w:w="8363" w:type="dxa"/>
          </w:tcPr>
          <w:p w14:paraId="26FE2845" w14:textId="6E1EDC23" w:rsidR="00081454" w:rsidRPr="001B58F5" w:rsidRDefault="0035138A" w:rsidP="00454C17">
            <w:pPr>
              <w:spacing w:after="160" w:line="276" w:lineRule="auto"/>
              <w:cnfStyle w:val="000000000000" w:firstRow="0" w:lastRow="0" w:firstColumn="0" w:lastColumn="0" w:oddVBand="0" w:evenVBand="0" w:oddHBand="0" w:evenHBand="0" w:firstRowFirstColumn="0" w:firstRowLastColumn="0" w:lastRowFirstColumn="0" w:lastRowLastColumn="0"/>
              <w:rPr>
                <w:rFonts w:eastAsia="DengXian"/>
                <w:u w:val="single"/>
              </w:rPr>
            </w:pPr>
            <w:r w:rsidRPr="0035138A">
              <w:rPr>
                <w:u w:val="single"/>
              </w:rPr>
              <w:t xml:space="preserve">Khuyến </w:t>
            </w:r>
            <w:r>
              <w:rPr>
                <w:u w:val="single"/>
              </w:rPr>
              <w:t>nghị</w:t>
            </w:r>
            <w:r>
              <w:rPr>
                <w:u w:val="single"/>
                <w:lang w:val="vi-VN"/>
              </w:rPr>
              <w:t>:</w:t>
            </w:r>
            <w:r w:rsidR="00081454" w:rsidRPr="00731A07">
              <w:rPr>
                <w:u w:val="single"/>
              </w:rPr>
              <w:t xml:space="preserve"> </w:t>
            </w:r>
          </w:p>
          <w:p w14:paraId="7F5B9EC0" w14:textId="1969C043" w:rsidR="00081454" w:rsidRPr="00516087" w:rsidRDefault="0035138A" w:rsidP="00FF6387">
            <w:pPr>
              <w:pStyle w:val="ListParagraph"/>
              <w:numPr>
                <w:ilvl w:val="0"/>
                <w:numId w:val="40"/>
              </w:numPr>
              <w:spacing w:after="160"/>
              <w:cnfStyle w:val="000000000000" w:firstRow="0" w:lastRow="0" w:firstColumn="0" w:lastColumn="0" w:oddVBand="0" w:evenVBand="0" w:oddHBand="0" w:evenHBand="0" w:firstRowFirstColumn="0" w:firstRowLastColumn="0" w:lastRowFirstColumn="0" w:lastRowLastColumn="0"/>
              <w:rPr>
                <w:rFonts w:eastAsia="DengXian"/>
                <w:lang w:val="en-GB"/>
              </w:rPr>
            </w:pPr>
            <w:r w:rsidRPr="0035138A">
              <w:rPr>
                <w:rFonts w:ascii="Arial" w:eastAsia="DengXian" w:hAnsi="Arial"/>
                <w:lang w:val="en-GB"/>
              </w:rPr>
              <w:t>Áp dụng tiêu chuẩn ISO/IEC 27001 và ISO/IEC 27002 trên toàn bộ 10 AMS.</w:t>
            </w:r>
          </w:p>
        </w:tc>
      </w:tr>
      <w:tr w:rsidR="00081454" w:rsidRPr="004F1D15" w14:paraId="584149B0" w14:textId="77777777" w:rsidTr="008C4E60">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2547" w:type="dxa"/>
            <w:vMerge/>
          </w:tcPr>
          <w:p w14:paraId="3375A744" w14:textId="77777777" w:rsidR="00081454" w:rsidRPr="004F1D15" w:rsidRDefault="00081454" w:rsidP="00353E3F">
            <w:pPr>
              <w:spacing w:line="276" w:lineRule="auto"/>
              <w:jc w:val="left"/>
            </w:pPr>
          </w:p>
        </w:tc>
        <w:tc>
          <w:tcPr>
            <w:tcW w:w="8363" w:type="dxa"/>
            <w:shd w:val="clear" w:color="auto" w:fill="BDD6EE" w:themeFill="accent5" w:themeFillTint="66"/>
          </w:tcPr>
          <w:p w14:paraId="439EA150" w14:textId="49E216F2" w:rsidR="00081454" w:rsidRDefault="0035138A" w:rsidP="00353E3F">
            <w:pPr>
              <w:spacing w:line="276" w:lineRule="auto"/>
              <w:cnfStyle w:val="000000100000" w:firstRow="0" w:lastRow="0" w:firstColumn="0" w:lastColumn="0" w:oddVBand="0" w:evenVBand="0" w:oddHBand="1" w:evenHBand="0" w:firstRowFirstColumn="0" w:firstRowLastColumn="0" w:lastRowFirstColumn="0" w:lastRowLastColumn="0"/>
              <w:rPr>
                <w:u w:val="single"/>
              </w:rPr>
            </w:pPr>
            <w:r w:rsidRPr="0035138A">
              <w:rPr>
                <w:u w:val="single"/>
              </w:rPr>
              <w:t>Cơ sở lý luận</w:t>
            </w:r>
            <w:r w:rsidR="00081454" w:rsidRPr="00731A07">
              <w:rPr>
                <w:u w:val="single"/>
              </w:rPr>
              <w:t xml:space="preserve">: </w:t>
            </w:r>
          </w:p>
          <w:p w14:paraId="379F4A16" w14:textId="0BD7C65A" w:rsidR="00081454" w:rsidRPr="004F1D15" w:rsidRDefault="0035082A" w:rsidP="00353E3F">
            <w:pPr>
              <w:spacing w:line="276" w:lineRule="auto"/>
              <w:cnfStyle w:val="000000100000" w:firstRow="0" w:lastRow="0" w:firstColumn="0" w:lastColumn="0" w:oddVBand="0" w:evenVBand="0" w:oddHBand="1" w:evenHBand="0" w:firstRowFirstColumn="0" w:firstRowLastColumn="0" w:lastRowFirstColumn="0" w:lastRowLastColumn="0"/>
            </w:pPr>
            <w:r w:rsidRPr="0035082A">
              <w:t>Trong bối cảnh hệ sinh thái thương mại số của ASEAN đang mở rộng nhanh chóng, khu vực cũng phải đối mặt với số lượng ngày càng tăng các mối đe dọa mạng. Đáng chú ý, Đông Nam Á chiếm tỷ lệ đáng kể trong các chiến dịch Tấn công Có chủ đích và Duy trì (Advanced Persistent Threat – APT) trên toàn cầu, với 68 trong tổng số 86 cuộc tấn công nhằm vào các quốc gia như Singapore, Thái Lan, Việt Nam và Indonesia</w:t>
            </w:r>
            <w:r w:rsidR="00081454" w:rsidRPr="004F1D15">
              <w:t>.</w:t>
            </w:r>
            <w:r w:rsidR="00081454" w:rsidRPr="004F1D15">
              <w:rPr>
                <w:rStyle w:val="FootnoteReference"/>
                <w:rFonts w:eastAsia="Times New Roman"/>
              </w:rPr>
              <w:footnoteReference w:id="10"/>
            </w:r>
          </w:p>
          <w:p w14:paraId="74EA0787" w14:textId="77777777" w:rsidR="00081454" w:rsidRDefault="00081454" w:rsidP="00353E3F">
            <w:pPr>
              <w:spacing w:line="276" w:lineRule="auto"/>
              <w:cnfStyle w:val="000000100000" w:firstRow="0" w:lastRow="0" w:firstColumn="0" w:lastColumn="0" w:oddVBand="0" w:evenVBand="0" w:oddHBand="1" w:evenHBand="0" w:firstRowFirstColumn="0" w:firstRowLastColumn="0" w:lastRowFirstColumn="0" w:lastRowLastColumn="0"/>
            </w:pPr>
          </w:p>
          <w:p w14:paraId="512FC891" w14:textId="45D00CF4" w:rsidR="00081454" w:rsidRPr="004F1D15" w:rsidRDefault="0035082A" w:rsidP="00353E3F">
            <w:pPr>
              <w:spacing w:line="276" w:lineRule="auto"/>
              <w:cnfStyle w:val="000000100000" w:firstRow="0" w:lastRow="0" w:firstColumn="0" w:lastColumn="0" w:oddVBand="0" w:evenVBand="0" w:oddHBand="1" w:evenHBand="0" w:firstRowFirstColumn="0" w:firstRowLastColumn="0" w:lastRowFirstColumn="0" w:lastRowLastColumn="0"/>
            </w:pPr>
            <w:r w:rsidRPr="0035082A">
              <w:t>Các tiêu chuẩn an ninh mạng quốc tế đóng vai trò là biện pháp bảo vệ thiết yếu trước các tổn thất tài chính phát sinh từ gián đoạn chuỗi cung ứng cho tới các lỗ hổng phần mềm</w:t>
            </w:r>
            <w:r w:rsidR="00081454">
              <w:t>.</w:t>
            </w:r>
            <w:r w:rsidR="00081454" w:rsidRPr="004F1D15">
              <w:rPr>
                <w:rStyle w:val="FootnoteReference"/>
                <w:rFonts w:eastAsia="Times New Roman"/>
              </w:rPr>
              <w:footnoteReference w:id="11"/>
            </w:r>
            <w:r w:rsidR="00081454" w:rsidRPr="004F1D15">
              <w:t xml:space="preserve"> </w:t>
            </w:r>
            <w:r w:rsidRPr="0035082A">
              <w:t>Do đó, việc áp dụng các tiêu chuẩn an ninh mạng quốc tế là điều tối quan trọng nhằm bảo vệ tính toàn vẹn và khả năng bền vững của hệ sinh thái thương mại số ASEAN.</w:t>
            </w:r>
          </w:p>
          <w:p w14:paraId="312E4CB3" w14:textId="151F699E" w:rsidR="00081454" w:rsidRPr="00375776" w:rsidRDefault="0035082A" w:rsidP="00454C17">
            <w:pPr>
              <w:spacing w:before="120" w:after="160" w:line="276" w:lineRule="auto"/>
              <w:cnfStyle w:val="000000100000" w:firstRow="0" w:lastRow="0" w:firstColumn="0" w:lastColumn="0" w:oddVBand="0" w:evenVBand="0" w:oddHBand="1" w:evenHBand="0" w:firstRowFirstColumn="0" w:firstRowLastColumn="0" w:lastRowFirstColumn="0" w:lastRowLastColumn="0"/>
              <w:rPr>
                <w:rFonts w:eastAsia="DengXian"/>
              </w:rPr>
            </w:pPr>
            <w:r w:rsidRPr="0035082A">
              <w:t xml:space="preserve">Mức độ áp dụng các tiêu chuẩn an ninh mạng quốc tế giữa các Quốc gia Thành viên ASEAN (ASEAN Member States – AMS) hiện còn khác nhau. Các </w:t>
            </w:r>
            <w:r w:rsidRPr="0035082A">
              <w:lastRenderedPageBreak/>
              <w:t>tiêu chuẩn ISO/IEC 27001 và 27002 được công nhận rộng rãi và đã được triển khai tại Singapore</w:t>
            </w:r>
            <w:r w:rsidRPr="00AA1347">
              <w:rPr>
                <w:vertAlign w:val="superscript"/>
              </w:rPr>
              <w:footnoteReference w:id="12"/>
            </w:r>
            <w:r w:rsidRPr="0035082A">
              <w:t>, Indonesia, Malaysia, Philippines và Việt Nam</w:t>
            </w:r>
            <w:r w:rsidRPr="00C2274A">
              <w:rPr>
                <w:vertAlign w:val="superscript"/>
              </w:rPr>
              <w:footnoteReference w:id="13"/>
            </w:r>
            <w:r w:rsidRPr="0035082A">
              <w:t>. Để ứng phó với các mối đe dọa mạng gia tăng và bảo đảm mức độ bảo vệ toàn diện, việc cả 10 AMS cùng áp dụng các tiêu chuẩn này là hết sức cần thiết. Điều này không chỉ củng cố năng lực an ninh mạng của khu vực mà còn tăng cường niềm tin vào các giao dịch số, hỗ trợ hội nhập khu vực và bảo vệ vị thế của ASEAN trong nền kinh tế số toàn cầu.</w:t>
            </w:r>
          </w:p>
        </w:tc>
      </w:tr>
      <w:tr w:rsidR="00C12929" w:rsidRPr="004F1D15" w14:paraId="1A75B7AA" w14:textId="77777777" w:rsidTr="00646483">
        <w:trPr>
          <w:trHeight w:val="106"/>
        </w:trPr>
        <w:tc>
          <w:tcPr>
            <w:cnfStyle w:val="001000000000" w:firstRow="0" w:lastRow="0" w:firstColumn="1" w:lastColumn="0" w:oddVBand="0" w:evenVBand="0" w:oddHBand="0" w:evenHBand="0" w:firstRowFirstColumn="0" w:firstRowLastColumn="0" w:lastRowFirstColumn="0" w:lastRowLastColumn="0"/>
            <w:tcW w:w="2547" w:type="dxa"/>
            <w:vMerge w:val="restart"/>
          </w:tcPr>
          <w:p w14:paraId="5BB4DCE5" w14:textId="2A7C62F2" w:rsidR="00081454" w:rsidRPr="004F1D15" w:rsidRDefault="00593A2F" w:rsidP="00454C17">
            <w:pPr>
              <w:spacing w:line="276" w:lineRule="auto"/>
              <w:jc w:val="left"/>
            </w:pPr>
            <w:r w:rsidRPr="00593A2F">
              <w:t>An toàn Trực tuyến</w:t>
            </w:r>
          </w:p>
        </w:tc>
        <w:tc>
          <w:tcPr>
            <w:tcW w:w="8363" w:type="dxa"/>
          </w:tcPr>
          <w:p w14:paraId="448B35FA" w14:textId="67D2C82C" w:rsidR="00081454" w:rsidRPr="006E5BD0" w:rsidRDefault="00593A2F" w:rsidP="00454C17">
            <w:pPr>
              <w:spacing w:after="160" w:line="276" w:lineRule="auto"/>
              <w:cnfStyle w:val="000000000000" w:firstRow="0" w:lastRow="0" w:firstColumn="0" w:lastColumn="0" w:oddVBand="0" w:evenVBand="0" w:oddHBand="0" w:evenHBand="0" w:firstRowFirstColumn="0" w:firstRowLastColumn="0" w:lastRowFirstColumn="0" w:lastRowLastColumn="0"/>
              <w:rPr>
                <w:rFonts w:eastAsia="DengXian"/>
                <w:u w:val="single"/>
              </w:rPr>
            </w:pPr>
            <w:r w:rsidRPr="00593A2F">
              <w:rPr>
                <w:u w:val="single"/>
              </w:rPr>
              <w:t>Khuyến nghị</w:t>
            </w:r>
            <w:r w:rsidR="00081454" w:rsidRPr="006E5BD0">
              <w:rPr>
                <w:u w:val="single"/>
              </w:rPr>
              <w:t xml:space="preserve">: </w:t>
            </w:r>
          </w:p>
          <w:p w14:paraId="2BA28A2B" w14:textId="5608B736" w:rsidR="00081454" w:rsidRPr="00516087" w:rsidRDefault="00593A2F" w:rsidP="00FF6387">
            <w:pPr>
              <w:pStyle w:val="ListParagraph"/>
              <w:numPr>
                <w:ilvl w:val="0"/>
                <w:numId w:val="40"/>
              </w:numPr>
              <w:spacing w:after="160"/>
              <w:cnfStyle w:val="000000000000" w:firstRow="0" w:lastRow="0" w:firstColumn="0" w:lastColumn="0" w:oddVBand="0" w:evenVBand="0" w:oddHBand="0" w:evenHBand="0" w:firstRowFirstColumn="0" w:firstRowLastColumn="0" w:lastRowFirstColumn="0" w:lastRowLastColumn="0"/>
              <w:rPr>
                <w:rFonts w:eastAsia="DengXian"/>
                <w:lang w:val="en-GB"/>
              </w:rPr>
            </w:pPr>
            <w:r w:rsidRPr="00593A2F">
              <w:rPr>
                <w:rFonts w:ascii="Arial" w:eastAsia="DengXian" w:hAnsi="Arial"/>
                <w:lang w:val="en-GB"/>
              </w:rPr>
              <w:t>Tăng cường Bộ Quy tắc Ứng xử Kinh doanh Trực tuyến ASEAN</w:t>
            </w:r>
            <w:r w:rsidR="00C77A3B">
              <w:rPr>
                <w:rFonts w:ascii="Arial" w:eastAsia="DengXian" w:hAnsi="Arial"/>
                <w:lang w:val="en-GB"/>
              </w:rPr>
              <w:t xml:space="preserve"> </w:t>
            </w:r>
          </w:p>
        </w:tc>
      </w:tr>
      <w:tr w:rsidR="00081454" w:rsidRPr="004F1D15" w14:paraId="1D709DDD" w14:textId="77777777" w:rsidTr="008C4E60">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2547" w:type="dxa"/>
            <w:vMerge/>
          </w:tcPr>
          <w:p w14:paraId="04985281" w14:textId="77777777" w:rsidR="00081454" w:rsidRPr="004F1D15" w:rsidRDefault="00081454" w:rsidP="00353E3F">
            <w:pPr>
              <w:spacing w:line="276" w:lineRule="auto"/>
              <w:jc w:val="left"/>
            </w:pPr>
          </w:p>
        </w:tc>
        <w:tc>
          <w:tcPr>
            <w:tcW w:w="8363" w:type="dxa"/>
            <w:shd w:val="clear" w:color="auto" w:fill="BDD6EE" w:themeFill="accent5" w:themeFillTint="66"/>
          </w:tcPr>
          <w:p w14:paraId="62A1C79F" w14:textId="205DBD3B" w:rsidR="00081454" w:rsidRDefault="00593A2F" w:rsidP="00353E3F">
            <w:pPr>
              <w:spacing w:line="276" w:lineRule="auto"/>
              <w:cnfStyle w:val="000000100000" w:firstRow="0" w:lastRow="0" w:firstColumn="0" w:lastColumn="0" w:oddVBand="0" w:evenVBand="0" w:oddHBand="1" w:evenHBand="0" w:firstRowFirstColumn="0" w:firstRowLastColumn="0" w:lastRowFirstColumn="0" w:lastRowLastColumn="0"/>
              <w:rPr>
                <w:u w:val="single"/>
              </w:rPr>
            </w:pPr>
            <w:r w:rsidRPr="00593A2F">
              <w:rPr>
                <w:u w:val="single"/>
              </w:rPr>
              <w:t>Cơ sở lý luận</w:t>
            </w:r>
            <w:r w:rsidR="00081454" w:rsidRPr="00731A07">
              <w:rPr>
                <w:u w:val="single"/>
              </w:rPr>
              <w:t xml:space="preserve">: </w:t>
            </w:r>
          </w:p>
          <w:p w14:paraId="7E529F5C" w14:textId="77777777" w:rsidR="00593A2F" w:rsidRPr="00593A2F" w:rsidRDefault="00593A2F" w:rsidP="00593A2F">
            <w:pPr>
              <w:spacing w:line="276" w:lineRule="auto"/>
              <w:cnfStyle w:val="000000100000" w:firstRow="0" w:lastRow="0" w:firstColumn="0" w:lastColumn="0" w:oddVBand="0" w:evenVBand="0" w:oddHBand="1" w:evenHBand="0" w:firstRowFirstColumn="0" w:firstRowLastColumn="0" w:lastRowFirstColumn="0" w:lastRowLastColumn="0"/>
              <w:rPr>
                <w:rStyle w:val="Strong"/>
                <w:b w:val="0"/>
              </w:rPr>
            </w:pPr>
            <w:r w:rsidRPr="00593A2F">
              <w:rPr>
                <w:rStyle w:val="Strong"/>
                <w:b w:val="0"/>
              </w:rPr>
              <w:t>An toàn trực tuyến đóng vai trò thiết yếu đối với thương mại số tại ASEAN, bảo vệ doanh nghiệp và người tiêu dùng khỏi các mối đe dọa mạng như gian lận, rò rỉ dữ liệu và lừa đảo – những yếu tố có thể làm xói mòn niềm tin và cản trở giao dịch. Mặc dù các biện pháp an toàn trực tuyến mạnh giúp bảo đảm độ tin cậy và bảo mật của nền tảng số, nhiều luật pháp quốc gia về thương mại điện tử trong khu vực đã lỗi thời, cho thấy nhu cầu cấp thiết về việc áp dụng các tiêu chuẩn quốc tế cập nhật.</w:t>
            </w:r>
          </w:p>
          <w:p w14:paraId="42B88415" w14:textId="77777777" w:rsidR="00593A2F" w:rsidRPr="00593A2F" w:rsidRDefault="00593A2F" w:rsidP="00593A2F">
            <w:pPr>
              <w:spacing w:line="276" w:lineRule="auto"/>
              <w:cnfStyle w:val="000000100000" w:firstRow="0" w:lastRow="0" w:firstColumn="0" w:lastColumn="0" w:oddVBand="0" w:evenVBand="0" w:oddHBand="1" w:evenHBand="0" w:firstRowFirstColumn="0" w:firstRowLastColumn="0" w:lastRowFirstColumn="0" w:lastRowLastColumn="0"/>
              <w:rPr>
                <w:rStyle w:val="Strong"/>
                <w:b w:val="0"/>
              </w:rPr>
            </w:pPr>
          </w:p>
          <w:p w14:paraId="3BAFF69E" w14:textId="77777777" w:rsidR="00593A2F" w:rsidRPr="00593A2F" w:rsidRDefault="00593A2F" w:rsidP="00593A2F">
            <w:pPr>
              <w:spacing w:line="276" w:lineRule="auto"/>
              <w:cnfStyle w:val="000000100000" w:firstRow="0" w:lastRow="0" w:firstColumn="0" w:lastColumn="0" w:oddVBand="0" w:evenVBand="0" w:oddHBand="1" w:evenHBand="0" w:firstRowFirstColumn="0" w:firstRowLastColumn="0" w:lastRowFirstColumn="0" w:lastRowLastColumn="0"/>
              <w:rPr>
                <w:rStyle w:val="Strong"/>
                <w:b w:val="0"/>
              </w:rPr>
            </w:pPr>
            <w:r w:rsidRPr="00593A2F">
              <w:rPr>
                <w:rStyle w:val="Strong"/>
                <w:b w:val="0"/>
              </w:rPr>
              <w:t>Tuy nhiên, hiện không tồn tại một “tiêu chuẩn quốc tế duy nhất về bảo vệ người tiêu dùng trực tuyến”; thay vào đó, an toàn trực tuyến được đề cập trong các khuôn khổ rộng hơn như tiêu chuẩn hóa thương mại điện tử hoặc phát triển phần mềm. Các tiêu chuẩn ISO/IEC 27001 và 27002 được công nhận và áp dụng rộng rãi ở các quốc gia như Singapore, Indonesia, Malaysia, Philippines và Việt Nam, song có rất ít bằng chứng cho thấy các tiêu chuẩn này được áp dụng tại các Quốc gia Thành viên ASEAN (AMS) khác.</w:t>
            </w:r>
          </w:p>
          <w:p w14:paraId="6894CED5" w14:textId="77777777" w:rsidR="00593A2F" w:rsidRPr="00593A2F" w:rsidRDefault="00593A2F" w:rsidP="00593A2F">
            <w:pPr>
              <w:spacing w:line="276" w:lineRule="auto"/>
              <w:cnfStyle w:val="000000100000" w:firstRow="0" w:lastRow="0" w:firstColumn="0" w:lastColumn="0" w:oddVBand="0" w:evenVBand="0" w:oddHBand="1" w:evenHBand="0" w:firstRowFirstColumn="0" w:firstRowLastColumn="0" w:lastRowFirstColumn="0" w:lastRowLastColumn="0"/>
              <w:rPr>
                <w:rStyle w:val="Strong"/>
                <w:b w:val="0"/>
              </w:rPr>
            </w:pPr>
          </w:p>
          <w:p w14:paraId="2FCFAD80" w14:textId="77777777" w:rsidR="00593A2F" w:rsidRPr="00593A2F" w:rsidRDefault="00593A2F" w:rsidP="00593A2F">
            <w:pPr>
              <w:spacing w:line="276" w:lineRule="auto"/>
              <w:cnfStyle w:val="000000100000" w:firstRow="0" w:lastRow="0" w:firstColumn="0" w:lastColumn="0" w:oddVBand="0" w:evenVBand="0" w:oddHBand="1" w:evenHBand="0" w:firstRowFirstColumn="0" w:firstRowLastColumn="0" w:lastRowFirstColumn="0" w:lastRowLastColumn="0"/>
              <w:rPr>
                <w:rStyle w:val="Strong"/>
                <w:b w:val="0"/>
              </w:rPr>
            </w:pPr>
            <w:r w:rsidRPr="00593A2F">
              <w:rPr>
                <w:rStyle w:val="Strong"/>
                <w:b w:val="0"/>
              </w:rPr>
              <w:t>Ở cấp độ quốc gia, các AMS đang ở những giai đoạn rất khác nhau trong xây dựng khung pháp lý về bảo vệ người tiêu dùng và thương mại điện tử. Một số AMS hiện chưa có luật bảo vệ người tiêu dùng đối với giao dịch thương mại điện tử, trong khi các nước khác đã có dự thảo luật hoặc ban hành nghị định điều chỉnh các khía cạnh cụ thể của thương mại điện tử.</w:t>
            </w:r>
          </w:p>
          <w:p w14:paraId="4D3FE576" w14:textId="77777777" w:rsidR="00593A2F" w:rsidRPr="00593A2F" w:rsidRDefault="00593A2F" w:rsidP="00593A2F">
            <w:pPr>
              <w:spacing w:line="276" w:lineRule="auto"/>
              <w:cnfStyle w:val="000000100000" w:firstRow="0" w:lastRow="0" w:firstColumn="0" w:lastColumn="0" w:oddVBand="0" w:evenVBand="0" w:oddHBand="1" w:evenHBand="0" w:firstRowFirstColumn="0" w:firstRowLastColumn="0" w:lastRowFirstColumn="0" w:lastRowLastColumn="0"/>
              <w:rPr>
                <w:rStyle w:val="Strong"/>
                <w:b w:val="0"/>
              </w:rPr>
            </w:pPr>
          </w:p>
          <w:p w14:paraId="2752B12B" w14:textId="77777777" w:rsidR="00593A2F" w:rsidRPr="00593A2F" w:rsidRDefault="00593A2F" w:rsidP="00593A2F">
            <w:pPr>
              <w:spacing w:line="276" w:lineRule="auto"/>
              <w:cnfStyle w:val="000000100000" w:firstRow="0" w:lastRow="0" w:firstColumn="0" w:lastColumn="0" w:oddVBand="0" w:evenVBand="0" w:oddHBand="1" w:evenHBand="0" w:firstRowFirstColumn="0" w:firstRowLastColumn="0" w:lastRowFirstColumn="0" w:lastRowLastColumn="0"/>
              <w:rPr>
                <w:rStyle w:val="Strong"/>
                <w:b w:val="0"/>
              </w:rPr>
            </w:pPr>
            <w:r w:rsidRPr="00593A2F">
              <w:rPr>
                <w:rStyle w:val="Strong"/>
                <w:b w:val="0"/>
              </w:rPr>
              <w:lastRenderedPageBreak/>
              <w:t>Đáp lại, ASEAN đã giới thiệu Bộ Quy tắc Ứng xử Kinh doanh Trực tuyến ASEAN, đưa ra các cam kết cốt lõi để doanh nghiệp trực tuyến áp dụng nhằm cải thiện bảo vệ người tiêu dùng. Việc tăng cường Bộ Quy tắc này bằng cách cung cấp hướng dẫn chi tiết hơn cho doanh nghiệp trực tuyến, bảo đảm phù hợp với luật bảo vệ người tiêu dùng và an toàn trực tuyến của các AMS, là điều cần thiết để hiện đại hóa khuôn khổ bảo vệ người tiêu dùng và bắt kịp bối cảnh thương mại số đang phát triển nhanh của khu vực.</w:t>
            </w:r>
          </w:p>
          <w:p w14:paraId="2A63752C" w14:textId="77777777" w:rsidR="00593A2F" w:rsidRPr="00593A2F" w:rsidRDefault="00593A2F" w:rsidP="00593A2F">
            <w:pPr>
              <w:spacing w:line="276" w:lineRule="auto"/>
              <w:cnfStyle w:val="000000100000" w:firstRow="0" w:lastRow="0" w:firstColumn="0" w:lastColumn="0" w:oddVBand="0" w:evenVBand="0" w:oddHBand="1" w:evenHBand="0" w:firstRowFirstColumn="0" w:firstRowLastColumn="0" w:lastRowFirstColumn="0" w:lastRowLastColumn="0"/>
              <w:rPr>
                <w:rStyle w:val="Strong"/>
                <w:b w:val="0"/>
              </w:rPr>
            </w:pPr>
          </w:p>
          <w:p w14:paraId="1B1F5E48" w14:textId="50138D05" w:rsidR="00081454" w:rsidRPr="00375776" w:rsidRDefault="00593A2F" w:rsidP="00593A2F">
            <w:pPr>
              <w:spacing w:after="160" w:line="276" w:lineRule="auto"/>
              <w:cnfStyle w:val="000000100000" w:firstRow="0" w:lastRow="0" w:firstColumn="0" w:lastColumn="0" w:oddVBand="0" w:evenVBand="0" w:oddHBand="1" w:evenHBand="0" w:firstRowFirstColumn="0" w:firstRowLastColumn="0" w:lastRowFirstColumn="0" w:lastRowLastColumn="0"/>
              <w:rPr>
                <w:rFonts w:eastAsia="DengXian"/>
              </w:rPr>
            </w:pPr>
            <w:r w:rsidRPr="00593A2F">
              <w:rPr>
                <w:rStyle w:val="Strong"/>
                <w:b w:val="0"/>
              </w:rPr>
              <w:t>Hướng dẫn ASEAN về Bảo vệ Người tiêu dùng trong Thương mại Điện tử (ASEAN Guidelines on Consumer Protection in E-commerce) – một công cụ “luật mềm” dành cho nhà hoạch định chính sách – là một sản phẩm ưu tiên trong Lịch trình Thực hiện (sửa đổi) của Kế hoạch Hành động Chiến lược ASEAN về Bảo vệ Người tiêu dùng (ASAPCP) 2016–2025. Bộ hướng dẫn hỗ trợ hiện đại hóa và dần hội tụ các luật bảo vệ người tiêu dùng giữa các AMS. Việc xây dựng phiên bản cập nhật của ASAPCP là rất cần thiết nhằm hiện đại hóa khuôn khổ bảo vệ người tiêu dùng và bảo đảm rằng các khung này tiếp tục phát triển phù hợp với môi trường thương mại số thay đổi nhanh chóng của khu vực</w:t>
            </w:r>
            <w:r w:rsidR="00081454" w:rsidRPr="00F91943">
              <w:t>.</w:t>
            </w:r>
          </w:p>
        </w:tc>
      </w:tr>
      <w:tr w:rsidR="00C12929" w:rsidRPr="004F1D15" w14:paraId="35F8A97B" w14:textId="77777777" w:rsidTr="00744E62">
        <w:trPr>
          <w:trHeight w:val="106"/>
        </w:trPr>
        <w:tc>
          <w:tcPr>
            <w:cnfStyle w:val="001000000000" w:firstRow="0" w:lastRow="0" w:firstColumn="1" w:lastColumn="0" w:oddVBand="0" w:evenVBand="0" w:oddHBand="0" w:evenHBand="0" w:firstRowFirstColumn="0" w:firstRowLastColumn="0" w:lastRowFirstColumn="0" w:lastRowLastColumn="0"/>
            <w:tcW w:w="2547" w:type="dxa"/>
            <w:vMerge w:val="restart"/>
          </w:tcPr>
          <w:p w14:paraId="0464F97C" w14:textId="014916B9" w:rsidR="00081454" w:rsidRPr="004F1D15" w:rsidRDefault="00593A2F" w:rsidP="00454C17">
            <w:pPr>
              <w:spacing w:line="276" w:lineRule="auto"/>
              <w:jc w:val="left"/>
            </w:pPr>
            <w:r w:rsidRPr="00593A2F">
              <w:t>Bảo vệ Dữ liệu và Quyền riêng tư Xuyên biên giới</w:t>
            </w:r>
          </w:p>
        </w:tc>
        <w:tc>
          <w:tcPr>
            <w:tcW w:w="8363" w:type="dxa"/>
          </w:tcPr>
          <w:p w14:paraId="30C3C77D" w14:textId="19B26176" w:rsidR="00081454" w:rsidRPr="001B58F5" w:rsidRDefault="006A0C99" w:rsidP="00454C17">
            <w:pPr>
              <w:spacing w:after="160" w:line="276" w:lineRule="auto"/>
              <w:cnfStyle w:val="000000000000" w:firstRow="0" w:lastRow="0" w:firstColumn="0" w:lastColumn="0" w:oddVBand="0" w:evenVBand="0" w:oddHBand="0" w:evenHBand="0" w:firstRowFirstColumn="0" w:firstRowLastColumn="0" w:lastRowFirstColumn="0" w:lastRowLastColumn="0"/>
              <w:rPr>
                <w:rFonts w:eastAsia="DengXian"/>
                <w:u w:val="single"/>
              </w:rPr>
            </w:pPr>
            <w:r w:rsidRPr="006A0C99">
              <w:rPr>
                <w:u w:val="single"/>
              </w:rPr>
              <w:t>Khuyến nghị</w:t>
            </w:r>
            <w:r>
              <w:rPr>
                <w:u w:val="single"/>
              </w:rPr>
              <w:t>:</w:t>
            </w:r>
            <w:r w:rsidR="00081454" w:rsidRPr="00731A07">
              <w:rPr>
                <w:u w:val="single"/>
              </w:rPr>
              <w:t xml:space="preserve"> </w:t>
            </w:r>
          </w:p>
          <w:p w14:paraId="61C8DE26" w14:textId="19C11338" w:rsidR="00081454" w:rsidRPr="00516087" w:rsidRDefault="006A0C99" w:rsidP="00FF6387">
            <w:pPr>
              <w:pStyle w:val="ListParagraph"/>
              <w:numPr>
                <w:ilvl w:val="0"/>
                <w:numId w:val="40"/>
              </w:numPr>
              <w:spacing w:after="160"/>
              <w:cnfStyle w:val="000000000000" w:firstRow="0" w:lastRow="0" w:firstColumn="0" w:lastColumn="0" w:oddVBand="0" w:evenVBand="0" w:oddHBand="0" w:evenHBand="0" w:firstRowFirstColumn="0" w:firstRowLastColumn="0" w:lastRowFirstColumn="0" w:lastRowLastColumn="0"/>
              <w:rPr>
                <w:rFonts w:eastAsia="DengXian"/>
                <w:lang w:val="en-GB"/>
              </w:rPr>
            </w:pPr>
            <w:r w:rsidRPr="006A0C99">
              <w:rPr>
                <w:rFonts w:ascii="Arial" w:eastAsia="DengXian" w:hAnsi="Arial"/>
                <w:lang w:val="en-GB"/>
              </w:rPr>
              <w:t>Tăng cường áp dụng Các Điều khoản Hợp đồng Mẫu ASEAN cho Dòng dữ liệu Xuyên biên giới (ASEAN Model Contractual Clauses – MCCs) trong doanh nghiệp nội địa thông qua hướng dẫn vận hành.</w:t>
            </w:r>
          </w:p>
        </w:tc>
      </w:tr>
      <w:tr w:rsidR="00081454" w:rsidRPr="004F1D15" w14:paraId="0D88402E" w14:textId="77777777" w:rsidTr="008C4E60">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2547" w:type="dxa"/>
            <w:vMerge/>
          </w:tcPr>
          <w:p w14:paraId="6A284A2F" w14:textId="77777777" w:rsidR="00081454" w:rsidRPr="004F1D15" w:rsidRDefault="00081454" w:rsidP="00353E3F">
            <w:pPr>
              <w:spacing w:line="276" w:lineRule="auto"/>
              <w:jc w:val="left"/>
            </w:pPr>
          </w:p>
        </w:tc>
        <w:tc>
          <w:tcPr>
            <w:tcW w:w="8363" w:type="dxa"/>
            <w:shd w:val="clear" w:color="auto" w:fill="BDD6EE" w:themeFill="accent5" w:themeFillTint="66"/>
          </w:tcPr>
          <w:p w14:paraId="26B2D740" w14:textId="2859FDCA" w:rsidR="00081454" w:rsidRDefault="006A0C99" w:rsidP="00353E3F">
            <w:pPr>
              <w:spacing w:line="276" w:lineRule="auto"/>
              <w:cnfStyle w:val="000000100000" w:firstRow="0" w:lastRow="0" w:firstColumn="0" w:lastColumn="0" w:oddVBand="0" w:evenVBand="0" w:oddHBand="1" w:evenHBand="0" w:firstRowFirstColumn="0" w:firstRowLastColumn="0" w:lastRowFirstColumn="0" w:lastRowLastColumn="0"/>
              <w:rPr>
                <w:u w:val="single"/>
              </w:rPr>
            </w:pPr>
            <w:r w:rsidRPr="006A0C99">
              <w:rPr>
                <w:u w:val="single"/>
              </w:rPr>
              <w:t>Cơ sở lý luận:</w:t>
            </w:r>
          </w:p>
          <w:p w14:paraId="5D4D4F22" w14:textId="0C230B9C" w:rsidR="006A0C99" w:rsidRPr="006A0C99" w:rsidRDefault="00C16F63" w:rsidP="006A0C99">
            <w:pPr>
              <w:spacing w:before="120" w:line="276" w:lineRule="auto"/>
              <w:cnfStyle w:val="000000100000" w:firstRow="0" w:lastRow="0" w:firstColumn="0" w:lastColumn="0" w:oddVBand="0" w:evenVBand="0" w:oddHBand="1" w:evenHBand="0" w:firstRowFirstColumn="0" w:firstRowLastColumn="0" w:lastRowFirstColumn="0" w:lastRowLastColumn="0"/>
              <w:rPr>
                <w:rFonts w:eastAsia="DengXian"/>
              </w:rPr>
            </w:pPr>
            <w:r>
              <w:rPr>
                <w:rFonts w:eastAsia="DengXian"/>
              </w:rPr>
              <w:t xml:space="preserve">Việc </w:t>
            </w:r>
            <w:r w:rsidR="006A0C99" w:rsidRPr="006A0C99">
              <w:rPr>
                <w:rFonts w:eastAsia="DengXian"/>
              </w:rPr>
              <w:t>mở rộng nền kinh tế số ASEAN thúc đẩy mạnh mẽ thương mại số, kéo theo lượng lớn dữ liệu cá nhân, xã hội và kinh doanh được truyền qua biên giới. Khi dòng dữ liệu này gia tăng, nhu cầu củng cố khung bảo vệ dữ liệu và quyền riêng tư trở nên cấp thiết. Thiết lập một chế độ bảo vệ dữ liệu vững chắc không chỉ tăng cường niềm tin của doanh nghiệp và người tiêu dùng mà còn củng cố niềm tin của đối tác thương mại, từ đó tạo ra môi trường an toàn cho giao dịch số.</w:t>
            </w:r>
          </w:p>
          <w:p w14:paraId="5FD322BF" w14:textId="1B121812" w:rsidR="006A0C99" w:rsidRPr="006A0C99" w:rsidRDefault="006A0C99" w:rsidP="006A0C99">
            <w:pPr>
              <w:spacing w:before="120" w:line="276" w:lineRule="auto"/>
              <w:cnfStyle w:val="000000100000" w:firstRow="0" w:lastRow="0" w:firstColumn="0" w:lastColumn="0" w:oddVBand="0" w:evenVBand="0" w:oddHBand="1" w:evenHBand="0" w:firstRowFirstColumn="0" w:firstRowLastColumn="0" w:lastRowFirstColumn="0" w:lastRowLastColumn="0"/>
              <w:rPr>
                <w:rFonts w:eastAsia="DengXian"/>
              </w:rPr>
            </w:pPr>
            <w:r w:rsidRPr="006A0C99">
              <w:rPr>
                <w:rFonts w:eastAsia="DengXian"/>
              </w:rPr>
              <w:t xml:space="preserve">Hài hòa hóa tiêu chuẩn bảo vệ dữ liệu và quyền riêng tư trong ASEAN có thể thúc đẩy mạnh mẽ tăng trưởng thương mại số. Với doanh nghiệp – đặc biệt tại Brunei Darussalam, Campuchia, Lào và Myanmar, nơi quy định bảo vệ dữ liệu còn đang phát triển – các tiêu chuẩn hài hòa giúp giảm chi phí tuân thủ </w:t>
            </w:r>
            <w:r w:rsidRPr="006A0C99">
              <w:rPr>
                <w:rFonts w:eastAsia="DengXian"/>
              </w:rPr>
              <w:lastRenderedPageBreak/>
              <w:t>và tăng tính chắc chắn</w:t>
            </w:r>
            <w:r w:rsidRPr="004F1D15">
              <w:rPr>
                <w:rStyle w:val="FootnoteReference"/>
                <w:rFonts w:eastAsia="Times New Roman"/>
              </w:rPr>
              <w:footnoteReference w:id="14"/>
            </w:r>
            <w:r w:rsidRPr="006A0C99">
              <w:rPr>
                <w:rFonts w:eastAsia="DengXian"/>
              </w:rPr>
              <w:t>. Hiện nay, doanh nghiệp hoạt động tại nhiều quốc gia ASEAN phải đối mặt với khung quy định phức tạp, do sự khác biệt về quy định bảo vệ dữ liệu cá nhân, truyền tải và lưu trữ dữ liệu. Chuẩn hóa các quy định này giúp loại bỏ rào cản như yêu cầu nội địa hóa dữ liệu và hạn chế truyền dữ liệu, qua đó tạo điều kiện vận hành xuyên biên giới trôi chảy hơn. Một khuôn khổ hài hòa cũng giúp tăng vị thế của ASEAN trong vai trò là một tác nhân quan trọng trong các thảo luận toàn cầu về quản trị dữ liệu.</w:t>
            </w:r>
          </w:p>
          <w:p w14:paraId="7CEC3A5F" w14:textId="41E8F47E" w:rsidR="006A0C99" w:rsidRPr="00375776" w:rsidRDefault="006A0C99" w:rsidP="006A0C99">
            <w:pPr>
              <w:spacing w:before="120" w:after="160" w:line="276" w:lineRule="auto"/>
              <w:cnfStyle w:val="000000100000" w:firstRow="0" w:lastRow="0" w:firstColumn="0" w:lastColumn="0" w:oddVBand="0" w:evenVBand="0" w:oddHBand="1" w:evenHBand="0" w:firstRowFirstColumn="0" w:firstRowLastColumn="0" w:lastRowFirstColumn="0" w:lastRowLastColumn="0"/>
              <w:rPr>
                <w:rFonts w:eastAsia="DengXian"/>
              </w:rPr>
            </w:pPr>
            <w:r w:rsidRPr="006A0C99">
              <w:rPr>
                <w:rFonts w:eastAsia="DengXian"/>
              </w:rPr>
              <w:t>Dù các tiêu chuẩn quốc tế về bảo vệ dữ liệu thường mang tính khuyến nghị thay vì ràng buộc pháp lý, ASEAN đã đạt được những bước tiến đáng kể. Đáng chú ý, MCCs được giới thiệu năm 2021, cung cấp bộ điều khoản chuẩn cho doanh nghiệp sử dụng khi truyền dữ liệu cá nhân qua biên giới. Thúc đẩy việc áp dụng MCCs trong doanh nghiệp nội địa sẽ giúp đơn giản hóa tuân thủ yêu cầu pháp lý trong toàn khu vực và tăng cường hội nhập thương mại số ASEAN.</w:t>
            </w:r>
          </w:p>
        </w:tc>
      </w:tr>
      <w:tr w:rsidR="00081454" w:rsidRPr="004F1D15" w14:paraId="542716A3" w14:textId="77777777" w:rsidTr="00E74F92">
        <w:trPr>
          <w:trHeight w:val="460"/>
        </w:trPr>
        <w:tc>
          <w:tcPr>
            <w:cnfStyle w:val="001000000000" w:firstRow="0" w:lastRow="0" w:firstColumn="1" w:lastColumn="0" w:oddVBand="0" w:evenVBand="0" w:oddHBand="0" w:evenHBand="0" w:firstRowFirstColumn="0" w:firstRowLastColumn="0" w:lastRowFirstColumn="0" w:lastRowLastColumn="0"/>
            <w:tcW w:w="10910" w:type="dxa"/>
            <w:gridSpan w:val="2"/>
          </w:tcPr>
          <w:p w14:paraId="3F12ED51" w14:textId="051ADAEC" w:rsidR="00081454" w:rsidRPr="00375776" w:rsidRDefault="003E5C51" w:rsidP="00454C17">
            <w:pPr>
              <w:spacing w:after="160" w:line="276" w:lineRule="auto"/>
              <w:jc w:val="left"/>
              <w:rPr>
                <w:rFonts w:eastAsia="DengXian"/>
                <w:b w:val="0"/>
                <w:bCs w:val="0"/>
              </w:rPr>
            </w:pPr>
            <w:r w:rsidRPr="003E5C51">
              <w:t xml:space="preserve">Khu vực Thương mại Số </w:t>
            </w:r>
            <w:r w:rsidR="00C16F63">
              <w:t xml:space="preserve">số </w:t>
            </w:r>
            <w:r w:rsidRPr="003E5C51">
              <w:t>4: Hợp tác về các chủ đề mới nổi</w:t>
            </w:r>
          </w:p>
        </w:tc>
      </w:tr>
      <w:tr w:rsidR="00081454" w:rsidRPr="004F1D15" w14:paraId="79DCCCCC" w14:textId="77777777" w:rsidTr="008C4E60">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BDD6EE" w:themeFill="accent5" w:themeFillTint="66"/>
          </w:tcPr>
          <w:p w14:paraId="7A9C5FBA" w14:textId="74F71CDE" w:rsidR="00081454" w:rsidRPr="004F1D15" w:rsidRDefault="004F369D" w:rsidP="00353E3F">
            <w:pPr>
              <w:spacing w:line="276" w:lineRule="auto"/>
              <w:jc w:val="left"/>
            </w:pPr>
            <w:r w:rsidRPr="004F369D">
              <w:t>Trí tuệ nhân tạo (AI)</w:t>
            </w:r>
          </w:p>
        </w:tc>
        <w:tc>
          <w:tcPr>
            <w:tcW w:w="8363" w:type="dxa"/>
            <w:shd w:val="clear" w:color="auto" w:fill="BDD6EE" w:themeFill="accent5" w:themeFillTint="66"/>
          </w:tcPr>
          <w:p w14:paraId="5C114DB7" w14:textId="4A46FC1C" w:rsidR="00081454" w:rsidRPr="001B58F5" w:rsidRDefault="004F369D" w:rsidP="00454C17">
            <w:pPr>
              <w:spacing w:after="160" w:line="276" w:lineRule="auto"/>
              <w:cnfStyle w:val="000000100000" w:firstRow="0" w:lastRow="0" w:firstColumn="0" w:lastColumn="0" w:oddVBand="0" w:evenVBand="0" w:oddHBand="1" w:evenHBand="0" w:firstRowFirstColumn="0" w:firstRowLastColumn="0" w:lastRowFirstColumn="0" w:lastRowLastColumn="0"/>
              <w:rPr>
                <w:rFonts w:eastAsia="DengXian"/>
                <w:u w:val="single"/>
              </w:rPr>
            </w:pPr>
            <w:r w:rsidRPr="004F369D">
              <w:rPr>
                <w:u w:val="single"/>
              </w:rPr>
              <w:t>Khuyến nghị</w:t>
            </w:r>
            <w:r w:rsidR="00081454" w:rsidRPr="00731A07">
              <w:rPr>
                <w:u w:val="single"/>
              </w:rPr>
              <w:t xml:space="preserve">: </w:t>
            </w:r>
          </w:p>
          <w:p w14:paraId="1EDF5C18" w14:textId="62FA028D" w:rsidR="00081454" w:rsidRPr="00516087" w:rsidRDefault="004F369D" w:rsidP="00FF6387">
            <w:pPr>
              <w:pStyle w:val="ListParagraph"/>
              <w:numPr>
                <w:ilvl w:val="0"/>
                <w:numId w:val="40"/>
              </w:numPr>
              <w:spacing w:after="160"/>
              <w:cnfStyle w:val="000000100000" w:firstRow="0" w:lastRow="0" w:firstColumn="0" w:lastColumn="0" w:oddVBand="0" w:evenVBand="0" w:oddHBand="1" w:evenHBand="0" w:firstRowFirstColumn="0" w:firstRowLastColumn="0" w:lastRowFirstColumn="0" w:lastRowLastColumn="0"/>
              <w:rPr>
                <w:rFonts w:eastAsia="DengXian"/>
                <w:lang w:val="en-GB"/>
              </w:rPr>
            </w:pPr>
            <w:r w:rsidRPr="004F369D">
              <w:rPr>
                <w:rFonts w:ascii="Arial" w:eastAsia="DengXian" w:hAnsi="Arial"/>
                <w:lang w:val="en-GB"/>
              </w:rPr>
              <w:t>Tăng cường tham gia vào quá trình xây dựng và triển khai Tiêu chuẩn AI quốc tế.</w:t>
            </w:r>
          </w:p>
        </w:tc>
      </w:tr>
      <w:tr w:rsidR="00C12929" w:rsidRPr="004F1D15" w14:paraId="3495792E" w14:textId="77777777" w:rsidTr="00646483">
        <w:trPr>
          <w:trHeight w:val="106"/>
        </w:trPr>
        <w:tc>
          <w:tcPr>
            <w:cnfStyle w:val="001000000000" w:firstRow="0" w:lastRow="0" w:firstColumn="1" w:lastColumn="0" w:oddVBand="0" w:evenVBand="0" w:oddHBand="0" w:evenHBand="0" w:firstRowFirstColumn="0" w:firstRowLastColumn="0" w:lastRowFirstColumn="0" w:lastRowLastColumn="0"/>
            <w:tcW w:w="2547" w:type="dxa"/>
            <w:vMerge/>
          </w:tcPr>
          <w:p w14:paraId="26A9A446" w14:textId="77777777" w:rsidR="00081454" w:rsidRPr="004F1D15" w:rsidRDefault="00081454" w:rsidP="00454C17">
            <w:pPr>
              <w:spacing w:line="276" w:lineRule="auto"/>
              <w:jc w:val="left"/>
            </w:pPr>
          </w:p>
        </w:tc>
        <w:tc>
          <w:tcPr>
            <w:tcW w:w="8363" w:type="dxa"/>
          </w:tcPr>
          <w:p w14:paraId="550FD623" w14:textId="01AFD563" w:rsidR="00081454" w:rsidRDefault="004F369D" w:rsidP="00454C17">
            <w:pPr>
              <w:spacing w:line="276" w:lineRule="auto"/>
              <w:cnfStyle w:val="000000000000" w:firstRow="0" w:lastRow="0" w:firstColumn="0" w:lastColumn="0" w:oddVBand="0" w:evenVBand="0" w:oddHBand="0" w:evenHBand="0" w:firstRowFirstColumn="0" w:firstRowLastColumn="0" w:lastRowFirstColumn="0" w:lastRowLastColumn="0"/>
              <w:rPr>
                <w:u w:val="single"/>
              </w:rPr>
            </w:pPr>
            <w:r w:rsidRPr="004F369D">
              <w:rPr>
                <w:u w:val="single"/>
              </w:rPr>
              <w:t>Cơ sở lý luận</w:t>
            </w:r>
            <w:r w:rsidR="00081454" w:rsidRPr="00731A07">
              <w:rPr>
                <w:u w:val="single"/>
              </w:rPr>
              <w:t xml:space="preserve">: </w:t>
            </w:r>
          </w:p>
          <w:p w14:paraId="5B96EC35" w14:textId="4AF64589" w:rsidR="00081454" w:rsidRPr="004F1D15" w:rsidRDefault="004F369D" w:rsidP="00454C17">
            <w:pPr>
              <w:spacing w:line="276" w:lineRule="auto"/>
              <w:cnfStyle w:val="000000000000" w:firstRow="0" w:lastRow="0" w:firstColumn="0" w:lastColumn="0" w:oddVBand="0" w:evenVBand="0" w:oddHBand="0" w:evenHBand="0" w:firstRowFirstColumn="0" w:firstRowLastColumn="0" w:lastRowFirstColumn="0" w:lastRowLastColumn="0"/>
              <w:rPr>
                <w:lang w:eastAsia="zh-CN"/>
              </w:rPr>
            </w:pPr>
            <w:r w:rsidRPr="004F369D">
              <w:rPr>
                <w:lang w:eastAsia="zh-CN"/>
              </w:rPr>
              <w:t>AI có tiềm năng to lớn trong chuyển đổi ngành, tối ưu hóa quy trình và tạo ra cơ hội kinh tế mới. Theo ước tính của Kearney, AI có thể đóng góp 1 nghìn tỷ USD cho kinh tế ASEAN vào năm 2030</w:t>
            </w:r>
            <w:r w:rsidR="00081454" w:rsidRPr="004F1D15">
              <w:rPr>
                <w:lang w:eastAsia="zh-CN"/>
              </w:rPr>
              <w:t>.</w:t>
            </w:r>
            <w:r w:rsidR="00081454" w:rsidRPr="004F1D15">
              <w:rPr>
                <w:rStyle w:val="FootnoteReference"/>
                <w:rFonts w:eastAsia="Times New Roman"/>
                <w:kern w:val="2"/>
                <w:lang w:eastAsia="zh-CN"/>
                <w14:ligatures w14:val="standardContextual"/>
              </w:rPr>
              <w:footnoteReference w:id="15"/>
            </w:r>
            <w:r w:rsidR="00081454" w:rsidRPr="004F1D15">
              <w:rPr>
                <w:lang w:eastAsia="zh-CN"/>
              </w:rPr>
              <w:t xml:space="preserve"> </w:t>
            </w:r>
          </w:p>
          <w:p w14:paraId="111F0620" w14:textId="77777777" w:rsidR="004F369D" w:rsidRDefault="004F369D" w:rsidP="004F369D">
            <w:pPr>
              <w:spacing w:before="120" w:line="276" w:lineRule="auto"/>
              <w:cnfStyle w:val="000000000000" w:firstRow="0" w:lastRow="0" w:firstColumn="0" w:lastColumn="0" w:oddVBand="0" w:evenVBand="0" w:oddHBand="0" w:evenHBand="0" w:firstRowFirstColumn="0" w:firstRowLastColumn="0" w:lastRowFirstColumn="0" w:lastRowLastColumn="0"/>
            </w:pPr>
            <w:r w:rsidRPr="004F369D">
              <w:t>Các tiêu chuẩn AI giữ vai trò then chốt trong thúc đẩy thương mại số ASEAN thông qua khung cho tính tương tác, minh bạch và niềm tin. Dù thông tin về mức độ áp dụng các tiêu chuẩn ISO còn hạn chế, một số AMS đang tích cực tham gia nỗ lực tiêu chuẩn hóa AI quốc tế thông qua ISO/IEC JTC 1/SC 42 – Malaysia, Philippines và Singapore là thành viên tham gia; Indonesia là quan sát viên.</w:t>
            </w:r>
          </w:p>
          <w:p w14:paraId="4BCDD46D" w14:textId="547480E9" w:rsidR="006167CD" w:rsidRDefault="004F369D" w:rsidP="006167CD">
            <w:pPr>
              <w:spacing w:before="120" w:line="276" w:lineRule="auto"/>
              <w:cnfStyle w:val="000000000000" w:firstRow="0" w:lastRow="0" w:firstColumn="0" w:lastColumn="0" w:oddVBand="0" w:evenVBand="0" w:oddHBand="0" w:evenHBand="0" w:firstRowFirstColumn="0" w:firstRowLastColumn="0" w:lastRowFirstColumn="0" w:lastRowLastColumn="0"/>
            </w:pPr>
            <w:r w:rsidRPr="004F369D">
              <w:t xml:space="preserve">AI là ưu tiên nổi lên trong ASEAN, với nhiều nỗ lực điều phối đang diễn ra. Gần đây, ASEAN đã công bố </w:t>
            </w:r>
            <w:r w:rsidRPr="006167CD">
              <w:rPr>
                <w:i/>
                <w:iCs/>
              </w:rPr>
              <w:t>Hướng dẫn ASEAN về Quản trị và Đạo đức AI</w:t>
            </w:r>
            <w:r w:rsidR="006167CD" w:rsidRPr="004F1D15">
              <w:rPr>
                <w:vertAlign w:val="superscript"/>
              </w:rPr>
              <w:footnoteReference w:id="16"/>
            </w:r>
            <w:r w:rsidRPr="004F369D">
              <w:t xml:space="preserve"> và mở rộng phạm vi sang AI tạo sinh. Nhóm Công tác ASEAN về Quản trị AI </w:t>
            </w:r>
            <w:r w:rsidRPr="004F369D">
              <w:lastRenderedPageBreak/>
              <w:t xml:space="preserve">(WG-AI) dưới khuôn khổ Cuộc họp Quan chức </w:t>
            </w:r>
            <w:r w:rsidR="00616696">
              <w:t>Số</w:t>
            </w:r>
            <w:r w:rsidRPr="004F369D">
              <w:t xml:space="preserve"> Cấp cao ASEAN – ADGSOM đang điều phối các vấn đề này. Bản Hướng dẫn mở rộng về AI tạo sinh được ADGMIN phê duyệt và công bố tháng 1/2025.</w:t>
            </w:r>
          </w:p>
          <w:p w14:paraId="0B89464D" w14:textId="413E815B" w:rsidR="0017581B" w:rsidRPr="006167CD" w:rsidRDefault="006167CD" w:rsidP="006167CD">
            <w:pPr>
              <w:spacing w:before="120" w:line="276" w:lineRule="auto"/>
              <w:cnfStyle w:val="000000000000" w:firstRow="0" w:lastRow="0" w:firstColumn="0" w:lastColumn="0" w:oddVBand="0" w:evenVBand="0" w:oddHBand="0" w:evenHBand="0" w:firstRowFirstColumn="0" w:firstRowLastColumn="0" w:lastRowFirstColumn="0" w:lastRowLastColumn="0"/>
            </w:pPr>
            <w:r w:rsidRPr="006167CD">
              <w:rPr>
                <w:rFonts w:eastAsia="DengXian"/>
              </w:rPr>
              <w:t>Vì AI là công nghệ mới nổi và tiêu chuẩn quốc tế đang tiếp tục phát triển, ASEAN chưa cần phải hài hòa tiêu chuẩn ngay lập tức. Thay vào đó, ASEAN nên duy trì tham gia tích cực vào phát triển tiêu chuẩn quốc tế và theo dõi sát các diễn biến</w:t>
            </w:r>
            <w:r w:rsidR="00081454">
              <w:t>.</w:t>
            </w:r>
          </w:p>
        </w:tc>
      </w:tr>
      <w:tr w:rsidR="00081454" w:rsidRPr="004F1D15" w14:paraId="3D865002" w14:textId="77777777" w:rsidTr="008C4E60">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BDD6EE" w:themeFill="accent5" w:themeFillTint="66"/>
          </w:tcPr>
          <w:p w14:paraId="2E842009" w14:textId="77777777" w:rsidR="00081454" w:rsidRPr="004F1D15" w:rsidRDefault="00081454" w:rsidP="00353E3F">
            <w:pPr>
              <w:spacing w:line="276" w:lineRule="auto"/>
              <w:jc w:val="left"/>
            </w:pPr>
            <w:r w:rsidRPr="004F1D15">
              <w:t>Blockchain</w:t>
            </w:r>
          </w:p>
        </w:tc>
        <w:tc>
          <w:tcPr>
            <w:tcW w:w="8363" w:type="dxa"/>
            <w:shd w:val="clear" w:color="auto" w:fill="BDD6EE" w:themeFill="accent5" w:themeFillTint="66"/>
          </w:tcPr>
          <w:p w14:paraId="1DCDC6AC" w14:textId="295E303A" w:rsidR="00081454" w:rsidRPr="001B58F5" w:rsidRDefault="006167CD" w:rsidP="00454C17">
            <w:pPr>
              <w:spacing w:after="160" w:line="276" w:lineRule="auto"/>
              <w:cnfStyle w:val="000000100000" w:firstRow="0" w:lastRow="0" w:firstColumn="0" w:lastColumn="0" w:oddVBand="0" w:evenVBand="0" w:oddHBand="1" w:evenHBand="0" w:firstRowFirstColumn="0" w:firstRowLastColumn="0" w:lastRowFirstColumn="0" w:lastRowLastColumn="0"/>
              <w:rPr>
                <w:rFonts w:eastAsia="DengXian"/>
                <w:u w:val="single"/>
              </w:rPr>
            </w:pPr>
            <w:r w:rsidRPr="006167CD">
              <w:rPr>
                <w:u w:val="single"/>
              </w:rPr>
              <w:t>Khuyến nghị</w:t>
            </w:r>
            <w:r w:rsidR="00081454" w:rsidRPr="00731A07">
              <w:rPr>
                <w:u w:val="single"/>
              </w:rPr>
              <w:t xml:space="preserve">: </w:t>
            </w:r>
          </w:p>
          <w:p w14:paraId="7A4B804F" w14:textId="7BEA76BA" w:rsidR="00081454" w:rsidRPr="00516087" w:rsidRDefault="006167CD" w:rsidP="00FF6387">
            <w:pPr>
              <w:pStyle w:val="ListParagraph"/>
              <w:numPr>
                <w:ilvl w:val="0"/>
                <w:numId w:val="40"/>
              </w:numPr>
              <w:spacing w:after="160"/>
              <w:cnfStyle w:val="000000100000" w:firstRow="0" w:lastRow="0" w:firstColumn="0" w:lastColumn="0" w:oddVBand="0" w:evenVBand="0" w:oddHBand="1" w:evenHBand="0" w:firstRowFirstColumn="0" w:firstRowLastColumn="0" w:lastRowFirstColumn="0" w:lastRowLastColumn="0"/>
              <w:rPr>
                <w:rFonts w:eastAsia="DengXian"/>
                <w:lang w:val="en-GB"/>
              </w:rPr>
            </w:pPr>
            <w:r w:rsidRPr="006167CD">
              <w:rPr>
                <w:rFonts w:ascii="Arial" w:eastAsia="DengXian" w:hAnsi="Arial"/>
                <w:lang w:val="en-GB"/>
              </w:rPr>
              <w:t>Tăng cường tham gia xây dựng các Tiêu chuẩn Blockchain quốc tế.</w:t>
            </w:r>
          </w:p>
        </w:tc>
      </w:tr>
      <w:tr w:rsidR="00C12929" w:rsidRPr="004F1D15" w14:paraId="71120B80" w14:textId="77777777" w:rsidTr="00646483">
        <w:trPr>
          <w:trHeight w:val="106"/>
        </w:trPr>
        <w:tc>
          <w:tcPr>
            <w:cnfStyle w:val="001000000000" w:firstRow="0" w:lastRow="0" w:firstColumn="1" w:lastColumn="0" w:oddVBand="0" w:evenVBand="0" w:oddHBand="0" w:evenHBand="0" w:firstRowFirstColumn="0" w:firstRowLastColumn="0" w:lastRowFirstColumn="0" w:lastRowLastColumn="0"/>
            <w:tcW w:w="2547" w:type="dxa"/>
            <w:vMerge/>
          </w:tcPr>
          <w:p w14:paraId="64B83990" w14:textId="77777777" w:rsidR="00081454" w:rsidRPr="004F1D15" w:rsidRDefault="00081454" w:rsidP="00454C17">
            <w:pPr>
              <w:spacing w:line="276" w:lineRule="auto"/>
              <w:jc w:val="left"/>
            </w:pPr>
          </w:p>
        </w:tc>
        <w:tc>
          <w:tcPr>
            <w:tcW w:w="8363" w:type="dxa"/>
          </w:tcPr>
          <w:p w14:paraId="0A85252E" w14:textId="44DFE6FC" w:rsidR="00081454" w:rsidRDefault="00384FF5" w:rsidP="00454C17">
            <w:pPr>
              <w:spacing w:line="276" w:lineRule="auto"/>
              <w:cnfStyle w:val="000000000000" w:firstRow="0" w:lastRow="0" w:firstColumn="0" w:lastColumn="0" w:oddVBand="0" w:evenVBand="0" w:oddHBand="0" w:evenHBand="0" w:firstRowFirstColumn="0" w:firstRowLastColumn="0" w:lastRowFirstColumn="0" w:lastRowLastColumn="0"/>
              <w:rPr>
                <w:u w:val="single"/>
              </w:rPr>
            </w:pPr>
            <w:r w:rsidRPr="00384FF5">
              <w:rPr>
                <w:u w:val="single"/>
              </w:rPr>
              <w:t>Cơ sở lý luận</w:t>
            </w:r>
            <w:r w:rsidR="00081454" w:rsidRPr="00731A07">
              <w:rPr>
                <w:u w:val="single"/>
              </w:rPr>
              <w:t xml:space="preserve">: </w:t>
            </w:r>
          </w:p>
          <w:p w14:paraId="30EFFD59" w14:textId="10069811" w:rsidR="00081454" w:rsidRPr="004F1D15" w:rsidRDefault="003E5C51" w:rsidP="00454C17">
            <w:pPr>
              <w:spacing w:line="276" w:lineRule="auto"/>
              <w:cnfStyle w:val="000000000000" w:firstRow="0" w:lastRow="0" w:firstColumn="0" w:lastColumn="0" w:oddVBand="0" w:evenVBand="0" w:oddHBand="0" w:evenHBand="0" w:firstRowFirstColumn="0" w:firstRowLastColumn="0" w:lastRowFirstColumn="0" w:lastRowLastColumn="0"/>
              <w:rPr>
                <w:lang w:eastAsia="zh-CN"/>
              </w:rPr>
            </w:pPr>
            <w:r w:rsidRPr="003E5C51">
              <w:rPr>
                <w:lang w:eastAsia="zh-CN"/>
              </w:rPr>
              <w:t>Hợp tác và quản trị đối với các công nghệ mới nổi như blockchain là yếu tố then chốt để ASEAN khai thác tối đa tiềm năng của thương mại số. Khi chính phủ và khu vực tư nhân ngày càng nhận thức rõ khả năng chuyển đổi mạnh mẽ của các công nghệ này, đầu tư cho chuyển đổi số tại khu vực Châu Á – Thái Bình Dương được dự báo sẽ tăng mạnh, với dự báo của IDC cho thấy chi tiêu sẽ đạt 1 nghìn tỷ USD vào năm 2026, tăng từ 500 tỷ USD vào năm 2022</w:t>
            </w:r>
            <w:r w:rsidR="00081454" w:rsidRPr="004F1D15">
              <w:rPr>
                <w:lang w:eastAsia="zh-CN"/>
              </w:rPr>
              <w:t>.</w:t>
            </w:r>
            <w:r w:rsidR="00081454" w:rsidRPr="004F1D15">
              <w:rPr>
                <w:rStyle w:val="FootnoteReference"/>
                <w:rFonts w:eastAsia="Times New Roman"/>
                <w:kern w:val="2"/>
                <w:lang w:eastAsia="zh-CN"/>
                <w14:ligatures w14:val="standardContextual"/>
              </w:rPr>
              <w:footnoteReference w:id="17"/>
            </w:r>
            <w:r w:rsidR="00081454" w:rsidRPr="004F1D15">
              <w:rPr>
                <w:lang w:eastAsia="zh-CN"/>
              </w:rPr>
              <w:t xml:space="preserve"> </w:t>
            </w:r>
          </w:p>
          <w:p w14:paraId="01D71C8C" w14:textId="59BF5852" w:rsidR="00081454" w:rsidRPr="004F1D15" w:rsidRDefault="003E5C51" w:rsidP="00454C17">
            <w:pPr>
              <w:spacing w:before="120" w:line="276" w:lineRule="auto"/>
              <w:cnfStyle w:val="000000000000" w:firstRow="0" w:lastRow="0" w:firstColumn="0" w:lastColumn="0" w:oddVBand="0" w:evenVBand="0" w:oddHBand="0" w:evenHBand="0" w:firstRowFirstColumn="0" w:firstRowLastColumn="0" w:lastRowFirstColumn="0" w:lastRowLastColumn="0"/>
            </w:pPr>
            <w:r w:rsidRPr="003E5C51">
              <w:t>Các tiêu chuẩn blockchain giữ vai trò quan trọng trong việc thúc đẩy khả năng tương tác giữa các nền tảng khác nhau, củng cố niềm tin trong giao dịch và bảo đảm tuân thủ quy định trong hệ sinh thái thương mại số của ASEAN. Mặc dù là công nghệ mới nổi, blockchain đã chứng kiến sự tiến bộ đáng kể trong nỗ lực tiêu chuẩn hóa quốc tế do ISO/IEC dẫn dắt. Dù thông tin về việc áp dụng tiêu chuẩn blockchain trong các quốc gia thành viên ASEAN còn hạn chế, một số quốc gia như Malaysia, Singapore và Thái Lan đang tham gia tích cực trong ISO TC/307, trong khi Campuchia, Indonesia và Philippines là thành viên quan sát</w:t>
            </w:r>
            <w:r w:rsidR="00081454" w:rsidRPr="004F1D15">
              <w:t>.</w:t>
            </w:r>
            <w:r w:rsidR="00081454" w:rsidRPr="004F1D15">
              <w:rPr>
                <w:rStyle w:val="FootnoteReference"/>
                <w:rFonts w:eastAsia="Times New Roman"/>
              </w:rPr>
              <w:footnoteReference w:id="18"/>
            </w:r>
          </w:p>
          <w:p w14:paraId="346ED8D6" w14:textId="7A9011D1" w:rsidR="007E4B66" w:rsidRPr="007E4B66" w:rsidRDefault="003E5C51" w:rsidP="00454C17">
            <w:pPr>
              <w:spacing w:before="120" w:after="160" w:line="276" w:lineRule="auto"/>
              <w:cnfStyle w:val="000000000000" w:firstRow="0" w:lastRow="0" w:firstColumn="0" w:lastColumn="0" w:oddVBand="0" w:evenVBand="0" w:oddHBand="0" w:evenHBand="0" w:firstRowFirstColumn="0" w:firstRowLastColumn="0" w:lastRowFirstColumn="0" w:lastRowLastColumn="0"/>
              <w:rPr>
                <w:rFonts w:eastAsia="DengXian"/>
                <w:lang w:val="en-AU"/>
              </w:rPr>
            </w:pPr>
            <w:r w:rsidRPr="003E5C51">
              <w:t xml:space="preserve">Vì blockchain vẫn là công nghệ mới nổi, ASEAN chưa cần gấp rút hài hòa tiêu chuẩn trong giai đoạn hiện tại. Thay vào đó, ASEAN nên theo đuổi cách tiếp cận chủ động bằng cách tích cực tham gia vào các công việc hiện tại và tương lai liên quan đến tiêu chuẩn quốc tế về blockchain, theo sát các diễn biến công nghệ và tham gia mạnh mẽ vào các nỗ lực tiêu chuẩn hóa đang diễn ra. Duy trì sự phối hợp với các Cơ quan Tiêu chuẩn Quốc gia và khu vực </w:t>
            </w:r>
            <w:r w:rsidRPr="003E5C51">
              <w:lastRenderedPageBreak/>
              <w:t>tư nhân sẽ giúp ASEAN bắt kịp các tiến bộ toàn cầu, từ đó tận dụng tối đa lợi ích mà blockchain mang lại</w:t>
            </w:r>
            <w:r w:rsidR="008F40FC" w:rsidRPr="008F40FC">
              <w:t>.</w:t>
            </w:r>
          </w:p>
        </w:tc>
      </w:tr>
      <w:tr w:rsidR="00081454" w:rsidRPr="004F1D15" w14:paraId="594E32BE" w14:textId="77777777" w:rsidTr="008C4E60">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2547" w:type="dxa"/>
            <w:vMerge w:val="restart"/>
            <w:shd w:val="clear" w:color="auto" w:fill="BDD6EE" w:themeFill="accent5" w:themeFillTint="66"/>
          </w:tcPr>
          <w:p w14:paraId="4EB94996" w14:textId="37960D3C" w:rsidR="00081454" w:rsidRPr="004F1D15" w:rsidRDefault="0013722A" w:rsidP="00353E3F">
            <w:pPr>
              <w:spacing w:line="276" w:lineRule="auto"/>
              <w:jc w:val="left"/>
            </w:pPr>
            <w:r w:rsidRPr="0013722A">
              <w:t>Điện toán đám mây</w:t>
            </w:r>
          </w:p>
        </w:tc>
        <w:tc>
          <w:tcPr>
            <w:tcW w:w="8363" w:type="dxa"/>
            <w:shd w:val="clear" w:color="auto" w:fill="BDD6EE" w:themeFill="accent5" w:themeFillTint="66"/>
          </w:tcPr>
          <w:p w14:paraId="3548E386" w14:textId="46560546" w:rsidR="00081454" w:rsidRPr="001B58F5" w:rsidRDefault="0068693A" w:rsidP="00454C17">
            <w:pPr>
              <w:spacing w:after="160" w:line="276" w:lineRule="auto"/>
              <w:cnfStyle w:val="000000100000" w:firstRow="0" w:lastRow="0" w:firstColumn="0" w:lastColumn="0" w:oddVBand="0" w:evenVBand="0" w:oddHBand="1" w:evenHBand="0" w:firstRowFirstColumn="0" w:firstRowLastColumn="0" w:lastRowFirstColumn="0" w:lastRowLastColumn="0"/>
              <w:rPr>
                <w:rFonts w:eastAsia="DengXian"/>
                <w:u w:val="single"/>
              </w:rPr>
            </w:pPr>
            <w:r w:rsidRPr="0068693A">
              <w:rPr>
                <w:u w:val="single"/>
              </w:rPr>
              <w:t>Khuyến nghị</w:t>
            </w:r>
            <w:r w:rsidR="00081454" w:rsidRPr="00731A07">
              <w:rPr>
                <w:u w:val="single"/>
              </w:rPr>
              <w:t xml:space="preserve">: </w:t>
            </w:r>
          </w:p>
          <w:p w14:paraId="484D51F6" w14:textId="42299299" w:rsidR="00081454" w:rsidRPr="00516087" w:rsidRDefault="0068693A" w:rsidP="00FF6387">
            <w:pPr>
              <w:pStyle w:val="ListParagraph"/>
              <w:numPr>
                <w:ilvl w:val="0"/>
                <w:numId w:val="40"/>
              </w:numPr>
              <w:spacing w:after="160"/>
              <w:cnfStyle w:val="000000100000" w:firstRow="0" w:lastRow="0" w:firstColumn="0" w:lastColumn="0" w:oddVBand="0" w:evenVBand="0" w:oddHBand="1" w:evenHBand="0" w:firstRowFirstColumn="0" w:firstRowLastColumn="0" w:lastRowFirstColumn="0" w:lastRowLastColumn="0"/>
              <w:rPr>
                <w:rFonts w:eastAsia="DengXian"/>
                <w:lang w:val="en-GB"/>
              </w:rPr>
            </w:pPr>
            <w:r w:rsidRPr="0068693A">
              <w:rPr>
                <w:rFonts w:ascii="Arial" w:eastAsia="DengXian" w:hAnsi="Arial"/>
                <w:lang w:val="en-GB"/>
              </w:rPr>
              <w:t>Xây dựng Khung ASEAN về Điện toán Đám mây</w:t>
            </w:r>
          </w:p>
        </w:tc>
      </w:tr>
      <w:tr w:rsidR="00C12929" w:rsidRPr="004F1D15" w14:paraId="5BE7811F" w14:textId="77777777" w:rsidTr="00646483">
        <w:trPr>
          <w:trHeight w:val="589"/>
        </w:trPr>
        <w:tc>
          <w:tcPr>
            <w:cnfStyle w:val="001000000000" w:firstRow="0" w:lastRow="0" w:firstColumn="1" w:lastColumn="0" w:oddVBand="0" w:evenVBand="0" w:oddHBand="0" w:evenHBand="0" w:firstRowFirstColumn="0" w:firstRowLastColumn="0" w:lastRowFirstColumn="0" w:lastRowLastColumn="0"/>
            <w:tcW w:w="2547" w:type="dxa"/>
            <w:vMerge/>
          </w:tcPr>
          <w:p w14:paraId="27FD7DD7" w14:textId="77777777" w:rsidR="00081454" w:rsidRPr="004F1D15" w:rsidRDefault="00081454" w:rsidP="00454C17">
            <w:pPr>
              <w:spacing w:line="276" w:lineRule="auto"/>
              <w:jc w:val="left"/>
            </w:pPr>
          </w:p>
        </w:tc>
        <w:tc>
          <w:tcPr>
            <w:tcW w:w="8363" w:type="dxa"/>
          </w:tcPr>
          <w:p w14:paraId="42D15A47" w14:textId="66E74557" w:rsidR="00081454" w:rsidRDefault="0068693A" w:rsidP="00454C17">
            <w:pPr>
              <w:spacing w:line="276" w:lineRule="auto"/>
              <w:cnfStyle w:val="000000000000" w:firstRow="0" w:lastRow="0" w:firstColumn="0" w:lastColumn="0" w:oddVBand="0" w:evenVBand="0" w:oddHBand="0" w:evenHBand="0" w:firstRowFirstColumn="0" w:firstRowLastColumn="0" w:lastRowFirstColumn="0" w:lastRowLastColumn="0"/>
              <w:rPr>
                <w:u w:val="single"/>
              </w:rPr>
            </w:pPr>
            <w:r>
              <w:rPr>
                <w:u w:val="single"/>
              </w:rPr>
              <w:t>Cơ sở lý luận</w:t>
            </w:r>
            <w:r w:rsidR="00081454" w:rsidRPr="00731A07">
              <w:rPr>
                <w:u w:val="single"/>
              </w:rPr>
              <w:t xml:space="preserve">: </w:t>
            </w:r>
          </w:p>
          <w:p w14:paraId="74811FF8" w14:textId="18404970" w:rsidR="00081454" w:rsidRPr="00E74F92" w:rsidRDefault="0068693A" w:rsidP="00454C17">
            <w:pPr>
              <w:spacing w:line="276" w:lineRule="auto"/>
              <w:cnfStyle w:val="000000000000" w:firstRow="0" w:lastRow="0" w:firstColumn="0" w:lastColumn="0" w:oddVBand="0" w:evenVBand="0" w:oddHBand="0" w:evenHBand="0" w:firstRowFirstColumn="0" w:firstRowLastColumn="0" w:lastRowFirstColumn="0" w:lastRowLastColumn="0"/>
            </w:pPr>
            <w:r w:rsidRPr="0068693A">
              <w:t>Điện toán đám mây đóng vai trò thiết yếu đối với thương mại số của ASEAN vì nó cung cấp hạ tầng có khả năng mở rộng và tiết kiệm chi phí, cho phép doanh nghiệp đổi mới và phát triển mà không cần đầu tư lớn vào cơ sở hạ tầng CNTT vật lý. Công nghệ này nâng cao giao dịch số xuyên biên giới bằng cách cung cấp các nền tảng lưu trữ và xử lý dữ liệu an toàn, tin cậy và dễ truy cập</w:t>
            </w:r>
            <w:r w:rsidR="00081454" w:rsidRPr="00E74F92">
              <w:t xml:space="preserve">. </w:t>
            </w:r>
          </w:p>
          <w:p w14:paraId="18B4668E" w14:textId="77777777" w:rsidR="00081454" w:rsidRPr="00E74F92" w:rsidRDefault="00081454" w:rsidP="00454C17">
            <w:pPr>
              <w:spacing w:line="276" w:lineRule="auto"/>
              <w:cnfStyle w:val="000000000000" w:firstRow="0" w:lastRow="0" w:firstColumn="0" w:lastColumn="0" w:oddVBand="0" w:evenVBand="0" w:oddHBand="0" w:evenHBand="0" w:firstRowFirstColumn="0" w:firstRowLastColumn="0" w:lastRowFirstColumn="0" w:lastRowLastColumn="0"/>
              <w:rPr>
                <w:shd w:val="clear" w:color="auto" w:fill="FFFFFF"/>
              </w:rPr>
            </w:pPr>
          </w:p>
          <w:p w14:paraId="4C7E3AB5" w14:textId="66AF0861" w:rsidR="0068693A" w:rsidRPr="0068693A" w:rsidRDefault="0068693A" w:rsidP="00454C17">
            <w:pPr>
              <w:spacing w:line="276" w:lineRule="auto"/>
              <w:cnfStyle w:val="000000000000" w:firstRow="0" w:lastRow="0" w:firstColumn="0" w:lastColumn="0" w:oddVBand="0" w:evenVBand="0" w:oddHBand="0" w:evenHBand="0" w:firstRowFirstColumn="0" w:firstRowLastColumn="0" w:lastRowFirstColumn="0" w:lastRowLastColumn="0"/>
            </w:pPr>
            <w:r w:rsidRPr="0068693A">
              <w:t>Các tiêu chuẩn điện toán đám mây là yếu tố then chốt để bảo đảm khả năng tương tác giữa các nền tảng và dịch vụ khác nhau, hỗ trợ trao đổi dữ liệu liền mạch và vận hành mượt mà giữa các hệ thống đám mây</w:t>
            </w:r>
            <w:r w:rsidR="00921D8B" w:rsidRPr="007A125A">
              <w:rPr>
                <w:vertAlign w:val="superscript"/>
              </w:rPr>
              <w:footnoteReference w:id="19"/>
            </w:r>
            <w:r w:rsidRPr="0068693A">
              <w:t>. Những tiêu chuẩn này cũng giúp củng cố niềm tin của người dùng thông qua bảo vệ dữ liệu</w:t>
            </w:r>
            <w:r w:rsidR="00921D8B" w:rsidRPr="007A125A">
              <w:rPr>
                <w:vertAlign w:val="superscript"/>
              </w:rPr>
              <w:footnoteReference w:id="20"/>
            </w:r>
            <w:r w:rsidRPr="0068693A">
              <w:t>, đồng thời hỗ trợ khả năng mở rộng của các dịch vụ số, giúp các doanh nghiệp nhỏ như MSME có cơ hội cạnh tranh bình đẳng với các tập đoàn lớn</w:t>
            </w:r>
            <w:r w:rsidR="00921D8B" w:rsidRPr="007A125A">
              <w:rPr>
                <w:vertAlign w:val="superscript"/>
              </w:rPr>
              <w:footnoteReference w:id="21"/>
            </w:r>
            <w:r w:rsidRPr="0068693A">
              <w:t>. Khi ASEAN thúc đẩy hội nhập số sâu rộng hơn, các tiêu chuẩn điện toán đám mây sẽ trở nên không thể thiếu để đạt được hội nhập kinh tế khu vực và nâng cao năng lực cạnh tranh toàn cầu.</w:t>
            </w:r>
          </w:p>
          <w:p w14:paraId="33251F42" w14:textId="77777777" w:rsidR="00081454" w:rsidRDefault="00081454" w:rsidP="00454C17">
            <w:pPr>
              <w:spacing w:line="276" w:lineRule="auto"/>
              <w:cnfStyle w:val="000000000000" w:firstRow="0" w:lastRow="0" w:firstColumn="0" w:lastColumn="0" w:oddVBand="0" w:evenVBand="0" w:oddHBand="0" w:evenHBand="0" w:firstRowFirstColumn="0" w:firstRowLastColumn="0" w:lastRowFirstColumn="0" w:lastRowLastColumn="0"/>
            </w:pPr>
          </w:p>
          <w:p w14:paraId="322CF5BA" w14:textId="2BE3452E" w:rsidR="00081454" w:rsidRPr="004F1D15" w:rsidRDefault="00921D8B" w:rsidP="00454C17">
            <w:pPr>
              <w:spacing w:line="276" w:lineRule="auto"/>
              <w:cnfStyle w:val="000000000000" w:firstRow="0" w:lastRow="0" w:firstColumn="0" w:lastColumn="0" w:oddVBand="0" w:evenVBand="0" w:oddHBand="0" w:evenHBand="0" w:firstRowFirstColumn="0" w:firstRowLastColumn="0" w:lastRowFirstColumn="0" w:lastRowLastColumn="0"/>
            </w:pPr>
            <w:r w:rsidRPr="00921D8B">
              <w:t>Hiện thông tin về việc áp dụng tiêu chuẩn điện toán đám mây tại các quốc gia thành viên ASEAN còn hạn chế, nhưng một số nước đã tham gia vào Tiểu ban ISO JTC1/SC 27 về An ninh thông tin, an ninh mạng và bảo vệ quyền riêng tư – cơ quan kỹ thuật chịu trách nhiệm ban hành các tiêu chuẩn ISO về điện toán đám mây</w:t>
            </w:r>
            <w:r w:rsidRPr="004F1D15">
              <w:rPr>
                <w:rStyle w:val="FootnoteReference"/>
                <w:rFonts w:eastAsia="Times New Roman"/>
              </w:rPr>
              <w:footnoteReference w:id="22"/>
            </w:r>
            <w:r w:rsidRPr="00921D8B">
              <w:t>. Indonesia, Malaysia, Philippines và Singapore là thành viên tham gia; Thái Lan và Việt Nam là thành viên quan sát.</w:t>
            </w:r>
            <w:r w:rsidR="00081454" w:rsidRPr="004F1D15">
              <w:rPr>
                <w:rStyle w:val="FootnoteReference"/>
                <w:rFonts w:eastAsia="Times New Roman"/>
              </w:rPr>
              <w:footnoteReference w:id="23"/>
            </w:r>
          </w:p>
          <w:p w14:paraId="01DBB6BE" w14:textId="68FB11DD" w:rsidR="00081454" w:rsidRPr="003E24CF" w:rsidRDefault="00921D8B" w:rsidP="00454C17">
            <w:pPr>
              <w:spacing w:before="120" w:after="160" w:line="276" w:lineRule="auto"/>
              <w:cnfStyle w:val="000000000000" w:firstRow="0" w:lastRow="0" w:firstColumn="0" w:lastColumn="0" w:oddVBand="0" w:evenVBand="0" w:oddHBand="0" w:evenHBand="0" w:firstRowFirstColumn="0" w:firstRowLastColumn="0" w:lastRowFirstColumn="0" w:lastRowLastColumn="0"/>
              <w:rPr>
                <w:rFonts w:eastAsia="DengXian"/>
              </w:rPr>
            </w:pPr>
            <w:r w:rsidRPr="00921D8B">
              <w:t xml:space="preserve">Khi công nghệ điện toán đám mây và các nỗ lực tiêu chuẩn hóa tiếp tục phát triển, ASEAN nên tập trung theo dõi chặt chẽ các diễn biến này và duy trì sự tham gia tích cực với các Cơ quan Tiêu chuẩn Quốc gia và khu vực tư nhân. </w:t>
            </w:r>
            <w:r w:rsidRPr="00921D8B">
              <w:lastRenderedPageBreak/>
              <w:t>Việc duy trì sự tương thích với tiến bộ toàn cầu sẽ giúp ASEAN bảo đảm thành công dài hạn trong lĩnh vực thương mại số mà không cần phải hài hòa hóa tiêu chuẩn ngay lập tức trên toàn khu vực</w:t>
            </w:r>
            <w:r w:rsidR="00081454">
              <w:t>.</w:t>
            </w:r>
          </w:p>
        </w:tc>
      </w:tr>
    </w:tbl>
    <w:p w14:paraId="7F13BC4B" w14:textId="1EEB3F77" w:rsidR="00783390" w:rsidRPr="00927456" w:rsidRDefault="00927456" w:rsidP="00AF0668">
      <w:pPr>
        <w:rPr>
          <w:i/>
          <w:sz w:val="20"/>
          <w:szCs w:val="20"/>
          <w:lang w:val="vi-VN"/>
        </w:rPr>
      </w:pPr>
      <w:r>
        <w:rPr>
          <w:i/>
          <w:sz w:val="20"/>
          <w:szCs w:val="20"/>
        </w:rPr>
        <w:t>Nguồn</w:t>
      </w:r>
      <w:r>
        <w:rPr>
          <w:i/>
          <w:sz w:val="20"/>
          <w:szCs w:val="20"/>
          <w:lang w:val="vi-VN"/>
        </w:rPr>
        <w:t>: Phân tích của Access Partnership</w:t>
      </w:r>
    </w:p>
    <w:p w14:paraId="0DD89E63" w14:textId="7CC73257" w:rsidR="00D71024" w:rsidRPr="00B22C77" w:rsidRDefault="00927456" w:rsidP="00E24CA3">
      <w:pPr>
        <w:pStyle w:val="Heading1"/>
        <w:numPr>
          <w:ilvl w:val="0"/>
          <w:numId w:val="49"/>
        </w:numPr>
        <w:rPr>
          <w:lang w:val="en-GB"/>
        </w:rPr>
      </w:pPr>
      <w:r>
        <w:rPr>
          <w:lang w:val="en-GB"/>
        </w:rPr>
        <w:lastRenderedPageBreak/>
        <w:t>Giới</w:t>
      </w:r>
      <w:r>
        <w:rPr>
          <w:lang w:val="vi-VN"/>
        </w:rPr>
        <w:t xml:space="preserve"> thiệu</w:t>
      </w:r>
    </w:p>
    <w:p w14:paraId="4A40F5F6" w14:textId="34D5E97D" w:rsidR="00D71024" w:rsidRPr="00C8150F" w:rsidRDefault="00C8150F" w:rsidP="007F2898">
      <w:pPr>
        <w:spacing w:line="276" w:lineRule="auto"/>
        <w:rPr>
          <w:lang w:val="vi-VN"/>
        </w:rPr>
      </w:pPr>
      <w:r w:rsidRPr="00C8150F">
        <w:rPr>
          <w:lang w:val="vi-VN"/>
        </w:rPr>
        <w:t>Phần này sẽ cung cấp bối cảnh của Lộ trình Tiêu chuẩn Thương mại Số ASEAN (</w:t>
      </w:r>
      <w:r w:rsidR="00F873B7">
        <w:rPr>
          <w:lang w:val="en-AU"/>
        </w:rPr>
        <w:t xml:space="preserve">TCTMS hay </w:t>
      </w:r>
      <w:r w:rsidRPr="00C8150F">
        <w:rPr>
          <w:lang w:val="vi-VN"/>
        </w:rPr>
        <w:t>DTS) trong khuôn khổ chương trình chuyển đổi số và hội nhập kinh tế rộng hơn của ASEAN. Phần này sẽ nhấn mạnh vai trò then chốt của các tiêu chuẩn trong việc hiện thực hóa chương trình hội nhập số tổng thể của ASEAN, đồng thời cung cấp tổng quan về các loại tiêu chuẩn liên quan.</w:t>
      </w:r>
    </w:p>
    <w:p w14:paraId="698D3245" w14:textId="0BB2A974" w:rsidR="00D71024" w:rsidRPr="004F1D15" w:rsidRDefault="00C8150F" w:rsidP="007664A3">
      <w:pPr>
        <w:pStyle w:val="Heading2"/>
        <w:rPr>
          <w:lang w:val="en-GB"/>
        </w:rPr>
      </w:pPr>
      <w:r>
        <w:rPr>
          <w:lang w:val="en-GB"/>
        </w:rPr>
        <w:t>Bối</w:t>
      </w:r>
      <w:r>
        <w:rPr>
          <w:lang w:val="vi-VN"/>
        </w:rPr>
        <w:t xml:space="preserve"> cảnh</w:t>
      </w:r>
    </w:p>
    <w:p w14:paraId="1EBDCEDB" w14:textId="70A9E727" w:rsidR="00AC0974" w:rsidRPr="00AC0974" w:rsidRDefault="00AC0974" w:rsidP="007664A3">
      <w:pPr>
        <w:rPr>
          <w:lang w:val="vi-VN"/>
        </w:rPr>
      </w:pPr>
      <w:r w:rsidRPr="00AC0974">
        <w:rPr>
          <w:lang w:val="vi-VN"/>
        </w:rPr>
        <w:t>Chương trình chuyển đổi số của ASEAN (bao gồm Lộ trình Bandar Seri Begawan</w:t>
      </w:r>
      <w:r w:rsidRPr="004F1D15">
        <w:rPr>
          <w:rStyle w:val="FootnoteReference"/>
        </w:rPr>
        <w:footnoteReference w:id="24"/>
      </w:r>
      <w:r w:rsidRPr="00AC0974">
        <w:rPr>
          <w:lang w:val="vi-VN"/>
        </w:rPr>
        <w:t>, Kế hoạch Tổng thể Số ASEAN 2025</w:t>
      </w:r>
      <w:r w:rsidRPr="004F1D15">
        <w:rPr>
          <w:rStyle w:val="FootnoteReference"/>
        </w:rPr>
        <w:footnoteReference w:id="25"/>
      </w:r>
      <w:r w:rsidRPr="00AC0974">
        <w:rPr>
          <w:lang w:val="vi-VN"/>
        </w:rPr>
        <w:t xml:space="preserve"> và Chiến lược Hợp tác An ninh mạng ASEAN 2021-2025</w:t>
      </w:r>
      <w:r w:rsidRPr="004F1D15">
        <w:rPr>
          <w:rStyle w:val="FootnoteReference"/>
        </w:rPr>
        <w:footnoteReference w:id="26"/>
      </w:r>
      <w:r w:rsidRPr="00AC0974">
        <w:rPr>
          <w:lang w:val="vi-VN"/>
        </w:rPr>
        <w:t>) ghi nhận rằng việc áp dụng các tiêu chuẩn thương mại số được hài hòa có thể mang lại lợi ích cho toàn bộ nền kinh tế khu vực bằng cách loại bỏ các rào cản kỹ thuật đối với thương mại</w:t>
      </w:r>
      <w:r w:rsidRPr="004F1D15">
        <w:rPr>
          <w:rStyle w:val="FootnoteReference"/>
        </w:rPr>
        <w:footnoteReference w:id="27"/>
      </w:r>
      <w:r w:rsidRPr="00AC0974">
        <w:rPr>
          <w:lang w:val="vi-VN"/>
        </w:rPr>
        <w:t>, qua đó tạo điều kiện tiếp cận các thị trường lớn hơn (có thể ở quy mô toàn cầu) và thúc đẩy hiệu quả kinh tế theo quy mô, bao gồm nâng cao năng suất và giảm chi phí. Việc áp dụng các tiêu chuẩn được hài hòa không chỉ giúp thiết lập các thông số kỹ thuật và quy trình để đảm bảo việc triển khai nhất quán các quy trình, công nghệ và phương pháp, mà — khi được xây dựng phù hợp và triển khai hiệu quả — còn góp phần thiết lập chuẩn mực cao về chất lượng, độ tin cậy, an toàn và bảo mật của hàng hóa và dịch vụ được cung cấp ra thị trường.</w:t>
      </w:r>
    </w:p>
    <w:p w14:paraId="0FB748C2" w14:textId="660DF644" w:rsidR="002A09EA" w:rsidRPr="004F1D15" w:rsidRDefault="002A09EA" w:rsidP="007664A3">
      <w:r w:rsidRPr="002A09EA">
        <w:t>Ủy ban Tư vấn ASEAN về Tiêu chuẩn và Chất lượng (ACCSQ) đã bắt đầu thực hiện nhiệm vụ này thông qua Nhóm Công tác về Tiêu chuẩn và Đánh giá Sự phù hợp trong Thương mại Số (DTSCWG). Chương trình Công tác 2021-2025 của DTSCWG tập trung vào ba trụ cột: (1) tạo thuận lợi cho giao dịch số (ví dụ: thương mại điện tử/nền tảng số, hóa đơn điện tử và thanh toán điện tử); (2) tạo thuận lợi cho thương mại số, logistics và giao hàng (ví dụ: giao hàng chặng cuối); và (3) thúc đẩy niềm tin số (ví dụ: định danh số và an ninh mạng)</w:t>
      </w:r>
      <w:r w:rsidRPr="002A09EA">
        <w:rPr>
          <w:rStyle w:val="FooterChar"/>
          <w:rFonts w:eastAsia="Times New Roman"/>
        </w:rPr>
        <w:t xml:space="preserve"> </w:t>
      </w:r>
      <w:r w:rsidRPr="004F1D15">
        <w:rPr>
          <w:rStyle w:val="FootnoteReference"/>
          <w:rFonts w:eastAsia="Times New Roman"/>
        </w:rPr>
        <w:footnoteReference w:id="28"/>
      </w:r>
      <w:r w:rsidRPr="002A09EA">
        <w:t xml:space="preserve">. Bước tiếp theo mang tính then chốt đối với ASEAN là xây dựng một lộ trình về tiêu chuẩn thương mại số cho khu vực. Việc thông qua Lộ trình về Tiêu chuẩn Thương mại Số trong ASEAN (Lộ trình </w:t>
      </w:r>
      <w:r w:rsidR="00F873B7">
        <w:t>TCTMS</w:t>
      </w:r>
      <w:r w:rsidRPr="002A09EA">
        <w:t xml:space="preserve"> ASEAN) đã được xác định là một Kết quả Kinh tế Ưu tiên trong Năm Chủ tịch ASEAN 2024 của CHDCND Lào.</w:t>
      </w:r>
    </w:p>
    <w:p w14:paraId="7C3CFC7E" w14:textId="5842A626" w:rsidR="00000E30" w:rsidRPr="004F1D15" w:rsidRDefault="00000E30" w:rsidP="007664A3">
      <w:r w:rsidRPr="00000E30">
        <w:t xml:space="preserve">Lộ trình </w:t>
      </w:r>
      <w:r w:rsidR="00F873B7">
        <w:t>TCTMS</w:t>
      </w:r>
      <w:r w:rsidRPr="00000E30">
        <w:t xml:space="preserve"> ASEAN nhằm đóng góp vào việc hiện thực hóa chương trình chuyển đổi số của ASEAN bằng cách tạo thuận lợi và đẩy nhanh thương mại số và hội nhập số trong khu vực. Lộ trình sẽ cung cấp một góc nhìn và cách tiếp cận tổng thể đối với việc hài hòa hóa các tiêu chuẩn thương mại số trên toàn bộ các chiến lược, lộ trình và sáng kiến hiện có (và sắp được ban hành) của ASEAN, </w:t>
      </w:r>
      <w:r w:rsidRPr="00000E30">
        <w:lastRenderedPageBreak/>
        <w:t>đồng thời tính đến các diễn biến toàn cầu và khu vực gần đây. Lộ trình cũng sẽ đưa ra các khuyến nghị nhằm xác định, ưu tiên và sắp xếp trình tự việc áp dụng các tiêu chuẩn thương mại số hài hòa trong nhiều lĩnh vực trọng yếu trong ngắn hạn, trung hạn và dài hạn, giúp ASEAN tận dụng tối đa các lợi ích kinh tế tiềm năng từ tiêu chuẩn thương mại số hài hòa. Cách tiếp cận này sẽ giúp giảm thiểu rủi ro do thiếu sự phối hợp trong phương pháp xây dựng tiêu chuẩn, vốn có thể dẫn đến phân mảnh và triển khai kém hiệu quả do nguồn lực bị phân tán trên quá nhiều lĩnh vực trong cùng một giai đoạn.</w:t>
      </w:r>
    </w:p>
    <w:p w14:paraId="693E6362" w14:textId="0E494AE4" w:rsidR="00000E30" w:rsidRPr="004F1D15" w:rsidRDefault="00000E30" w:rsidP="007664A3">
      <w:r w:rsidRPr="00000E30">
        <w:t xml:space="preserve">Lộ trình </w:t>
      </w:r>
      <w:r w:rsidR="00F873B7">
        <w:t>TCTMS</w:t>
      </w:r>
      <w:r w:rsidRPr="00000E30">
        <w:t xml:space="preserve"> ASEAN sẽ bao gồm các phần sau:</w:t>
      </w:r>
    </w:p>
    <w:p w14:paraId="401FCE26" w14:textId="78EA05E2" w:rsidR="00D71024" w:rsidRPr="00D21658" w:rsidRDefault="00D21658" w:rsidP="00BB5B3F">
      <w:pPr>
        <w:pStyle w:val="ListParagraph"/>
        <w:numPr>
          <w:ilvl w:val="0"/>
          <w:numId w:val="2"/>
        </w:numPr>
        <w:rPr>
          <w:rFonts w:ascii="Arial" w:hAnsi="Arial"/>
          <w:bCs/>
          <w:lang w:val="en-GB"/>
        </w:rPr>
      </w:pPr>
      <w:r w:rsidRPr="00D21658">
        <w:rPr>
          <w:rFonts w:ascii="Arial" w:hAnsi="Arial"/>
          <w:b/>
          <w:lang w:val="en-GB"/>
        </w:rPr>
        <w:t xml:space="preserve">Các lợi ích kinh tế tiềm năng từ tiêu chuẩn </w:t>
      </w:r>
      <w:r w:rsidR="00F873B7">
        <w:rPr>
          <w:rFonts w:ascii="Arial" w:hAnsi="Arial"/>
          <w:b/>
          <w:lang w:val="en-GB"/>
        </w:rPr>
        <w:t>TCTMS</w:t>
      </w:r>
      <w:r w:rsidRPr="00D21658">
        <w:rPr>
          <w:rFonts w:ascii="Arial" w:hAnsi="Arial"/>
          <w:b/>
          <w:lang w:val="en-GB"/>
        </w:rPr>
        <w:t xml:space="preserve"> hài hòa trong ASEAN: </w:t>
      </w:r>
      <w:r w:rsidRPr="00D21658">
        <w:rPr>
          <w:rFonts w:ascii="Arial" w:hAnsi="Arial"/>
          <w:bCs/>
          <w:lang w:val="en-GB"/>
        </w:rPr>
        <w:t>Phần này sẽ đưa ra ước tính về các lợi ích kinh tế tiềm năng từ việc hài hòa hóa các tiêu chuẩn thương mại số trong ASEAN.</w:t>
      </w:r>
    </w:p>
    <w:p w14:paraId="1F345AAD" w14:textId="61B8871D" w:rsidR="00D71024" w:rsidRPr="003C6D64" w:rsidRDefault="00D21658" w:rsidP="00BB5B3F">
      <w:pPr>
        <w:pStyle w:val="ListParagraph"/>
        <w:numPr>
          <w:ilvl w:val="0"/>
          <w:numId w:val="2"/>
        </w:numPr>
        <w:rPr>
          <w:rFonts w:ascii="Arial" w:hAnsi="Arial"/>
          <w:b/>
          <w:lang w:val="en-GB"/>
        </w:rPr>
      </w:pPr>
      <w:r w:rsidRPr="00D21658">
        <w:rPr>
          <w:rFonts w:ascii="Arial" w:hAnsi="Arial"/>
          <w:b/>
          <w:lang w:val="en-GB"/>
        </w:rPr>
        <w:t xml:space="preserve">Xu hướng và tiến độ </w:t>
      </w:r>
      <w:r w:rsidR="00F873B7">
        <w:rPr>
          <w:rFonts w:ascii="Arial" w:hAnsi="Arial"/>
          <w:b/>
          <w:lang w:val="en-GB"/>
        </w:rPr>
        <w:t>TCTMS</w:t>
      </w:r>
      <w:r w:rsidRPr="00D21658">
        <w:rPr>
          <w:rFonts w:ascii="Arial" w:hAnsi="Arial"/>
          <w:b/>
          <w:lang w:val="en-GB"/>
        </w:rPr>
        <w:t xml:space="preserve"> trong ASEAN:</w:t>
      </w:r>
    </w:p>
    <w:p w14:paraId="368774A4" w14:textId="44B4789D" w:rsidR="00D71024" w:rsidRPr="00516087" w:rsidRDefault="00D21658" w:rsidP="00E24CA3">
      <w:pPr>
        <w:pStyle w:val="ListParagraph"/>
        <w:numPr>
          <w:ilvl w:val="0"/>
          <w:numId w:val="46"/>
        </w:numPr>
        <w:rPr>
          <w:rFonts w:ascii="Arial" w:hAnsi="Arial"/>
          <w:lang w:val="en-GB"/>
        </w:rPr>
      </w:pPr>
      <w:r w:rsidRPr="00D21658">
        <w:rPr>
          <w:rFonts w:ascii="Arial" w:hAnsi="Arial"/>
          <w:b/>
          <w:bCs/>
          <w:lang w:val="en-GB"/>
        </w:rPr>
        <w:t>Xác định các lĩnh vực trọng yếu của thương mại số:</w:t>
      </w:r>
      <w:r w:rsidRPr="00D21658">
        <w:rPr>
          <w:rFonts w:ascii="Arial" w:hAnsi="Arial"/>
          <w:lang w:val="en-GB"/>
        </w:rPr>
        <w:t xml:space="preserve"> Tiểu mục này sẽ xác định các lĩnh vực thương mại số trọng yếu trong ASEAN và đánh giá vai trò cũng như mức độ sẵn có của các tiêu chuẩn quốc tế trong các lĩnh vực này.</w:t>
      </w:r>
    </w:p>
    <w:p w14:paraId="05929099" w14:textId="413DF774" w:rsidR="00D71024" w:rsidRPr="00516087" w:rsidRDefault="006B515F" w:rsidP="00E24CA3">
      <w:pPr>
        <w:pStyle w:val="ListParagraph"/>
        <w:numPr>
          <w:ilvl w:val="0"/>
          <w:numId w:val="46"/>
        </w:numPr>
        <w:rPr>
          <w:rFonts w:ascii="Arial" w:hAnsi="Arial"/>
          <w:lang w:val="en-GB"/>
        </w:rPr>
      </w:pPr>
      <w:r w:rsidRPr="006B515F">
        <w:rPr>
          <w:rFonts w:ascii="Arial" w:hAnsi="Arial"/>
          <w:b/>
          <w:bCs/>
          <w:lang w:val="en-GB"/>
        </w:rPr>
        <w:t>Đánh giá khoảng cách về tiêu chuẩn:</w:t>
      </w:r>
      <w:r w:rsidRPr="006B515F">
        <w:rPr>
          <w:rFonts w:ascii="Arial" w:hAnsi="Arial"/>
          <w:lang w:val="en-GB"/>
        </w:rPr>
        <w:t xml:space="preserve"> Tiểu mục này sẽ đánh giá hiện trạng tiêu chuẩn trong từng lĩnh vực, xác định các khoảng cách và thách thức trong tiêu chuẩn giữa các quốc gia thành viên ASEAN và trong toàn khu vực.</w:t>
      </w:r>
    </w:p>
    <w:p w14:paraId="16AA7C85" w14:textId="2F97D7EA" w:rsidR="003C6D64" w:rsidRPr="00516087" w:rsidRDefault="006B515F" w:rsidP="00FF6387">
      <w:pPr>
        <w:pStyle w:val="ListParagraph"/>
        <w:numPr>
          <w:ilvl w:val="0"/>
          <w:numId w:val="39"/>
        </w:numPr>
        <w:rPr>
          <w:rFonts w:ascii="Arial" w:hAnsi="Arial"/>
          <w:lang w:val="en-GB"/>
        </w:rPr>
      </w:pPr>
      <w:r w:rsidRPr="006B515F">
        <w:rPr>
          <w:rFonts w:ascii="Arial" w:hAnsi="Arial"/>
          <w:b/>
          <w:bCs/>
          <w:lang w:val="en-GB"/>
        </w:rPr>
        <w:t xml:space="preserve">Khung chiến lược để hài hòa hóa </w:t>
      </w:r>
      <w:r w:rsidR="00F873B7">
        <w:rPr>
          <w:rFonts w:ascii="Arial" w:hAnsi="Arial"/>
          <w:b/>
          <w:bCs/>
          <w:lang w:val="en-GB"/>
        </w:rPr>
        <w:t>TCTMS</w:t>
      </w:r>
      <w:r w:rsidRPr="006B515F">
        <w:rPr>
          <w:rFonts w:ascii="Arial" w:hAnsi="Arial"/>
          <w:b/>
          <w:bCs/>
          <w:lang w:val="en-GB"/>
        </w:rPr>
        <w:t xml:space="preserve"> trong ASEAN:</w:t>
      </w:r>
      <w:r w:rsidRPr="006B515F">
        <w:rPr>
          <w:rFonts w:ascii="Arial" w:hAnsi="Arial"/>
          <w:lang w:val="en-GB"/>
        </w:rPr>
        <w:t xml:space="preserve"> Phần này sẽ trình bày khung chiến lược nhằm đạt được sự hài hòa hóa các tiêu chuẩn thương mại số trong toàn khu vực ASEAN, bao gồm các kết quả chiến lược, tầm nhìn, cùng các tiêu chí để ưu tiên và hài hòa hóa tiêu chuẩn trong Lộ trình.</w:t>
      </w:r>
    </w:p>
    <w:p w14:paraId="18F647D4" w14:textId="77B77959" w:rsidR="00D71024" w:rsidRPr="00516087" w:rsidRDefault="006B515F" w:rsidP="00FF6387">
      <w:pPr>
        <w:pStyle w:val="ListParagraph"/>
        <w:numPr>
          <w:ilvl w:val="0"/>
          <w:numId w:val="39"/>
        </w:numPr>
        <w:rPr>
          <w:rFonts w:ascii="Arial" w:hAnsi="Arial"/>
          <w:lang w:val="en-GB"/>
        </w:rPr>
      </w:pPr>
      <w:r w:rsidRPr="006B515F">
        <w:rPr>
          <w:rFonts w:ascii="Arial" w:hAnsi="Arial"/>
          <w:b/>
          <w:bCs/>
          <w:lang w:val="en-GB"/>
        </w:rPr>
        <w:t xml:space="preserve">Các sáng kiến trọng tâm để hài hòa hóa </w:t>
      </w:r>
      <w:r w:rsidR="00F873B7">
        <w:rPr>
          <w:rFonts w:ascii="Arial" w:hAnsi="Arial"/>
          <w:b/>
          <w:bCs/>
          <w:lang w:val="en-GB"/>
        </w:rPr>
        <w:t>TCTMS</w:t>
      </w:r>
      <w:r w:rsidRPr="006B515F">
        <w:rPr>
          <w:rFonts w:ascii="Arial" w:hAnsi="Arial"/>
          <w:b/>
          <w:bCs/>
          <w:lang w:val="en-GB"/>
        </w:rPr>
        <w:t xml:space="preserve"> trong ASEAN:</w:t>
      </w:r>
      <w:r w:rsidRPr="006B515F">
        <w:rPr>
          <w:rFonts w:ascii="Arial" w:hAnsi="Arial"/>
          <w:lang w:val="en-GB"/>
        </w:rPr>
        <w:t xml:space="preserve"> Phần này sẽ nêu bật các sáng kiến và hành động trọng yếu được khuyến nghị để Nhóm Công tác Tiêu chuẩn và Đánh giá sự phù hợp về Thương mại Số (DTSCWG) và Ủy ban Tư vấn về Tiêu chuẩn và Chất lượng ASEAN (ACCSQ) xem xét nhằm thúc đẩy và đạt được sự hài hòa hóa các tiêu chuẩn thương mại số trong ASEAN, bao gồm nỗ lực hợp tác, các hoạt động xây dựng năng lực và khuyến nghị về chính sách.</w:t>
      </w:r>
    </w:p>
    <w:p w14:paraId="14E6C967" w14:textId="104E0D9C" w:rsidR="00B17E54" w:rsidRPr="00A24E46" w:rsidRDefault="00120283" w:rsidP="00A24E46">
      <w:pPr>
        <w:pStyle w:val="Heading2"/>
        <w:rPr>
          <w:lang w:val="en-GB"/>
        </w:rPr>
      </w:pPr>
      <w:r>
        <w:rPr>
          <w:lang w:val="en-GB"/>
        </w:rPr>
        <w:t>Các</w:t>
      </w:r>
      <w:r>
        <w:rPr>
          <w:lang w:val="vi-VN"/>
        </w:rPr>
        <w:t xml:space="preserve"> sáng kiến số chủ chốt của ASEAN </w:t>
      </w:r>
    </w:p>
    <w:p w14:paraId="73BBE8D1" w14:textId="6C006B43" w:rsidR="00120283" w:rsidRPr="00120283" w:rsidRDefault="00120283" w:rsidP="00120283">
      <w:pPr>
        <w:rPr>
          <w:lang w:val="vi-VN"/>
        </w:rPr>
      </w:pPr>
      <w:r w:rsidRPr="00120283">
        <w:rPr>
          <w:lang w:val="vi-VN"/>
        </w:rPr>
        <w:t>ASEAN đang triển khai một loạt các sáng kiến số nhằm tăng cường kết nối khu vực, thúc đẩy đổi mới sáng tạo và thúc đẩy tăng trưởng kinh tế giữa các quốc gia thành viên. Các sáng kiến chủ chốt này tìm cách tận dụng công nghệ số để xây dựng một nền kinh tế số khu vực có tính tích hợp và cạnh tranh cao hơn.</w:t>
      </w:r>
      <w:r>
        <w:rPr>
          <w:lang w:val="vi-VN"/>
        </w:rPr>
        <w:t xml:space="preserve"> </w:t>
      </w:r>
      <w:r w:rsidRPr="00120283">
        <w:rPr>
          <w:lang w:val="vi-VN"/>
        </w:rPr>
        <w:t xml:space="preserve">Hơn nữa, những sáng kiến số này đóng vai trò quan trọng đối với tăng trưởng toàn diện, khi chúng hướng tới mục tiêu thu hẹp khoảng cách số và đảm bảo khả năng tiếp cận công bằng với các công cụ và dịch vụ số giữa các quốc gia thành viên. Thông qua những sáng kiến này, ASEAN </w:t>
      </w:r>
      <w:r w:rsidRPr="00120283">
        <w:rPr>
          <w:lang w:val="vi-VN"/>
        </w:rPr>
        <w:lastRenderedPageBreak/>
        <w:t>hướng tới thúc đẩy tăng trưởng bao trùm và bền vững, qua đó định vị mình như một cộng đồng số và một khối kinh tế hàng đầu trong kỷ nguyên số.</w:t>
      </w:r>
      <w:r w:rsidRPr="00120283">
        <w:rPr>
          <w:rStyle w:val="FooterChar"/>
        </w:rPr>
        <w:t xml:space="preserve"> </w:t>
      </w:r>
      <w:r w:rsidRPr="004F1D15">
        <w:rPr>
          <w:rStyle w:val="FootnoteReference"/>
        </w:rPr>
        <w:footnoteReference w:id="29"/>
      </w:r>
    </w:p>
    <w:p w14:paraId="62538B90" w14:textId="57A3AB45" w:rsidR="00E53C52" w:rsidRPr="004F1D15" w:rsidRDefault="0024535E" w:rsidP="00E53C52">
      <w:r>
        <w:t>Các</w:t>
      </w:r>
      <w:r>
        <w:rPr>
          <w:lang w:val="vi-VN"/>
        </w:rPr>
        <w:t xml:space="preserve"> sáng kiến số chủ chốt của ASEAN bao gồm</w:t>
      </w:r>
      <w:r w:rsidR="004A4842">
        <w:t>:</w:t>
      </w:r>
      <w:r w:rsidR="008C726D">
        <w:rPr>
          <w:rStyle w:val="FootnoteReference"/>
        </w:rPr>
        <w:footnoteReference w:id="30"/>
      </w:r>
      <w:r w:rsidR="004A4842">
        <w:t xml:space="preserve"> </w:t>
      </w:r>
    </w:p>
    <w:p w14:paraId="436A0A8A" w14:textId="13F93295" w:rsidR="00F00CA4" w:rsidRPr="00355057" w:rsidRDefault="0024535E" w:rsidP="00FF6387">
      <w:pPr>
        <w:pStyle w:val="ListParagraph"/>
        <w:numPr>
          <w:ilvl w:val="0"/>
          <w:numId w:val="34"/>
        </w:numPr>
        <w:rPr>
          <w:rFonts w:ascii="Arial" w:hAnsi="Arial"/>
          <w:b/>
          <w:lang w:val="en-GB"/>
        </w:rPr>
      </w:pPr>
      <w:r>
        <w:rPr>
          <w:rFonts w:ascii="Arial" w:hAnsi="Arial"/>
          <w:b/>
          <w:lang w:val="en-GB"/>
        </w:rPr>
        <w:t>Kế</w:t>
      </w:r>
      <w:r>
        <w:rPr>
          <w:rFonts w:ascii="Arial" w:hAnsi="Arial"/>
          <w:b/>
          <w:lang w:val="vi-VN"/>
        </w:rPr>
        <w:t xml:space="preserve"> hoạch tổng thế số ASEAN 2025 (</w:t>
      </w:r>
      <w:r w:rsidR="00F00CA4" w:rsidRPr="00355057">
        <w:rPr>
          <w:rFonts w:ascii="Arial" w:hAnsi="Arial"/>
          <w:b/>
          <w:lang w:val="en-GB"/>
        </w:rPr>
        <w:t xml:space="preserve">ASEAN Digital Masterplan </w:t>
      </w:r>
      <w:r>
        <w:rPr>
          <w:rFonts w:ascii="Arial" w:hAnsi="Arial"/>
          <w:b/>
          <w:lang w:val="en-GB"/>
        </w:rPr>
        <w:t>2025</w:t>
      </w:r>
      <w:r>
        <w:rPr>
          <w:rFonts w:ascii="Arial" w:hAnsi="Arial"/>
          <w:b/>
          <w:lang w:val="vi-VN"/>
        </w:rPr>
        <w:t>)</w:t>
      </w:r>
    </w:p>
    <w:p w14:paraId="2509E921" w14:textId="087B013C" w:rsidR="00F00CA4" w:rsidRPr="00355057" w:rsidRDefault="0024535E" w:rsidP="00FF6387">
      <w:pPr>
        <w:pStyle w:val="ListParagraph"/>
        <w:numPr>
          <w:ilvl w:val="0"/>
          <w:numId w:val="34"/>
        </w:numPr>
        <w:rPr>
          <w:rFonts w:ascii="Arial" w:hAnsi="Arial"/>
          <w:b/>
          <w:lang w:val="en-GB"/>
        </w:rPr>
      </w:pPr>
      <w:r>
        <w:rPr>
          <w:rFonts w:ascii="Arial" w:hAnsi="Arial"/>
          <w:b/>
          <w:lang w:val="en-GB"/>
        </w:rPr>
        <w:t>Kế</w:t>
      </w:r>
      <w:r>
        <w:rPr>
          <w:rFonts w:ascii="Arial" w:hAnsi="Arial"/>
          <w:b/>
          <w:lang w:val="vi-VN"/>
        </w:rPr>
        <w:t xml:space="preserve"> hoạch tổng thể ICT ASEAN 2030 (</w:t>
      </w:r>
      <w:r w:rsidR="00F00CA4" w:rsidRPr="00355057">
        <w:rPr>
          <w:rFonts w:ascii="Arial" w:hAnsi="Arial"/>
          <w:b/>
          <w:lang w:val="en-GB"/>
        </w:rPr>
        <w:t xml:space="preserve">ASEAN ICT Masterplan </w:t>
      </w:r>
      <w:r>
        <w:rPr>
          <w:rFonts w:ascii="Arial" w:hAnsi="Arial"/>
          <w:b/>
          <w:lang w:val="en-GB"/>
        </w:rPr>
        <w:t>2020</w:t>
      </w:r>
      <w:r>
        <w:rPr>
          <w:rFonts w:ascii="Arial" w:hAnsi="Arial"/>
          <w:b/>
          <w:lang w:val="vi-VN"/>
        </w:rPr>
        <w:t>)</w:t>
      </w:r>
    </w:p>
    <w:p w14:paraId="7C05AAEB" w14:textId="3A3CEA00" w:rsidR="00F00CA4" w:rsidRPr="00355057" w:rsidRDefault="00A32324" w:rsidP="00FF6387">
      <w:pPr>
        <w:pStyle w:val="ListParagraph"/>
        <w:numPr>
          <w:ilvl w:val="0"/>
          <w:numId w:val="34"/>
        </w:numPr>
        <w:rPr>
          <w:rFonts w:ascii="Arial" w:hAnsi="Arial"/>
          <w:lang w:val="en-GB"/>
        </w:rPr>
      </w:pPr>
      <w:r>
        <w:rPr>
          <w:rFonts w:ascii="Arial" w:hAnsi="Arial"/>
          <w:b/>
          <w:lang w:val="en-GB"/>
        </w:rPr>
        <w:t>Kế</w:t>
      </w:r>
      <w:r>
        <w:rPr>
          <w:rFonts w:ascii="Arial" w:hAnsi="Arial"/>
          <w:b/>
          <w:lang w:val="vi-VN"/>
        </w:rPr>
        <w:t xml:space="preserve"> hoạch tổng thể số ASEAN 2030 (</w:t>
      </w:r>
      <w:r w:rsidR="00F00CA4" w:rsidRPr="00355057">
        <w:rPr>
          <w:rFonts w:ascii="Arial" w:hAnsi="Arial"/>
          <w:b/>
          <w:lang w:val="en-GB"/>
        </w:rPr>
        <w:t>ASEAN Digital Masterplan 2030</w:t>
      </w:r>
      <w:r w:rsidR="00F00CA4" w:rsidRPr="00355057">
        <w:rPr>
          <w:rFonts w:ascii="Arial" w:hAnsi="Arial"/>
          <w:lang w:val="en-GB"/>
        </w:rPr>
        <w:t xml:space="preserve"> (Targeted to be finalised in 2025)</w:t>
      </w:r>
      <w:r>
        <w:rPr>
          <w:rFonts w:ascii="Arial" w:hAnsi="Arial"/>
          <w:lang w:val="vi-VN"/>
        </w:rPr>
        <w:t>)</w:t>
      </w:r>
    </w:p>
    <w:p w14:paraId="40C882BF" w14:textId="06A06BEE" w:rsidR="00F00CA4" w:rsidRPr="00355057" w:rsidRDefault="00A32324" w:rsidP="00FF6387">
      <w:pPr>
        <w:pStyle w:val="ListParagraph"/>
        <w:numPr>
          <w:ilvl w:val="0"/>
          <w:numId w:val="34"/>
        </w:numPr>
        <w:rPr>
          <w:rFonts w:ascii="Arial" w:hAnsi="Arial"/>
          <w:lang w:val="en-GB"/>
        </w:rPr>
      </w:pPr>
      <w:r>
        <w:rPr>
          <w:rFonts w:ascii="Arial" w:hAnsi="Arial"/>
          <w:b/>
          <w:lang w:val="en-GB"/>
        </w:rPr>
        <w:t>Theo</w:t>
      </w:r>
      <w:r>
        <w:rPr>
          <w:rFonts w:ascii="Arial" w:hAnsi="Arial"/>
          <w:b/>
          <w:lang w:val="vi-VN"/>
        </w:rPr>
        <w:t xml:space="preserve"> dõi Chỉ số Đổi mới Toàn cầu GII của Tổ chức Sở </w:t>
      </w:r>
      <w:r w:rsidR="002D09DB">
        <w:rPr>
          <w:rFonts w:ascii="Arial" w:hAnsi="Arial"/>
          <w:b/>
          <w:lang w:val="vi-VN"/>
        </w:rPr>
        <w:t>hữu Trí tuệ Thế giới (WIPO) trong khuôn khổ chỉ số hội nhập số ASEAN (ADII)</w:t>
      </w:r>
      <w:r>
        <w:rPr>
          <w:rFonts w:ascii="Arial" w:hAnsi="Arial"/>
          <w:b/>
          <w:lang w:val="vi-VN"/>
        </w:rPr>
        <w:t xml:space="preserve"> </w:t>
      </w:r>
      <w:r w:rsidR="002D09DB">
        <w:rPr>
          <w:rFonts w:ascii="Arial" w:hAnsi="Arial"/>
          <w:b/>
          <w:lang w:val="vi-VN"/>
        </w:rPr>
        <w:t>(</w:t>
      </w:r>
      <w:r w:rsidR="00F00CA4" w:rsidRPr="00355057">
        <w:rPr>
          <w:rFonts w:ascii="Arial" w:hAnsi="Arial"/>
          <w:b/>
          <w:lang w:val="en-GB"/>
        </w:rPr>
        <w:t>Tracking of World IP Organization</w:t>
      </w:r>
      <w:r w:rsidR="00F00CA4" w:rsidRPr="00355057">
        <w:rPr>
          <w:rFonts w:ascii="Arial" w:hAnsi="Arial"/>
          <w:lang w:val="en-GB"/>
        </w:rPr>
        <w:t xml:space="preserve"> (WIPO) </w:t>
      </w:r>
      <w:r w:rsidR="00F00CA4" w:rsidRPr="00355057">
        <w:rPr>
          <w:rFonts w:ascii="Arial" w:hAnsi="Arial"/>
          <w:b/>
          <w:lang w:val="en-GB"/>
        </w:rPr>
        <w:t>Global Innovation Index</w:t>
      </w:r>
      <w:r w:rsidR="00F00CA4" w:rsidRPr="00355057">
        <w:rPr>
          <w:rFonts w:ascii="Arial" w:hAnsi="Arial"/>
          <w:lang w:val="en-GB"/>
        </w:rPr>
        <w:t xml:space="preserve"> (GII), under </w:t>
      </w:r>
      <w:r w:rsidR="00F00CA4" w:rsidRPr="00355057">
        <w:rPr>
          <w:rFonts w:ascii="Arial" w:hAnsi="Arial"/>
          <w:b/>
          <w:lang w:val="en-GB"/>
        </w:rPr>
        <w:t xml:space="preserve">ASEAN Digital Integration Index </w:t>
      </w:r>
      <w:r w:rsidR="00F00CA4" w:rsidRPr="00355057">
        <w:rPr>
          <w:rFonts w:ascii="Arial" w:hAnsi="Arial"/>
          <w:lang w:val="en-GB"/>
        </w:rPr>
        <w:t>(ADII)</w:t>
      </w:r>
      <w:r w:rsidR="002D09DB">
        <w:rPr>
          <w:rFonts w:ascii="Arial" w:hAnsi="Arial"/>
          <w:lang w:val="vi-VN"/>
        </w:rPr>
        <w:t>)</w:t>
      </w:r>
    </w:p>
    <w:p w14:paraId="679CF4DA" w14:textId="67F0C9FC" w:rsidR="00F00CA4" w:rsidRPr="00355057" w:rsidRDefault="002D09DB" w:rsidP="00FF6387">
      <w:pPr>
        <w:pStyle w:val="ListParagraph"/>
        <w:numPr>
          <w:ilvl w:val="0"/>
          <w:numId w:val="34"/>
        </w:numPr>
        <w:rPr>
          <w:rFonts w:ascii="Arial" w:hAnsi="Arial"/>
          <w:b/>
          <w:lang w:val="en-GB"/>
        </w:rPr>
      </w:pPr>
      <w:r>
        <w:rPr>
          <w:rFonts w:ascii="Arial" w:hAnsi="Arial"/>
          <w:b/>
          <w:lang w:val="en-GB"/>
        </w:rPr>
        <w:t>Cơ</w:t>
      </w:r>
      <w:r>
        <w:rPr>
          <w:rFonts w:ascii="Arial" w:hAnsi="Arial"/>
          <w:b/>
          <w:lang w:val="vi-VN"/>
        </w:rPr>
        <w:t xml:space="preserve"> chế một cửa ASEAN (</w:t>
      </w:r>
      <w:r w:rsidR="00F00CA4" w:rsidRPr="00355057">
        <w:rPr>
          <w:rFonts w:ascii="Arial" w:hAnsi="Arial"/>
          <w:b/>
          <w:lang w:val="en-GB"/>
        </w:rPr>
        <w:t xml:space="preserve">ASEAN Single Window </w:t>
      </w:r>
      <w:r w:rsidR="00606FF5" w:rsidRPr="00606FF5">
        <w:rPr>
          <w:rFonts w:ascii="Arial" w:hAnsi="Arial"/>
          <w:bCs/>
          <w:lang w:val="en-GB"/>
        </w:rPr>
        <w:t>(ASW)</w:t>
      </w:r>
      <w:r>
        <w:rPr>
          <w:rFonts w:ascii="Arial" w:hAnsi="Arial"/>
          <w:bCs/>
          <w:lang w:val="vi-VN"/>
        </w:rPr>
        <w:t>)</w:t>
      </w:r>
    </w:p>
    <w:p w14:paraId="20842E1C" w14:textId="3F2CCC7F" w:rsidR="00F00CA4" w:rsidRPr="00DC4BA1" w:rsidRDefault="002D09DB" w:rsidP="00FF6387">
      <w:pPr>
        <w:pStyle w:val="ListParagraph"/>
        <w:numPr>
          <w:ilvl w:val="0"/>
          <w:numId w:val="34"/>
        </w:numPr>
        <w:rPr>
          <w:rFonts w:ascii="Arial" w:hAnsi="Arial"/>
          <w:lang w:val="en-GB"/>
        </w:rPr>
      </w:pPr>
      <w:r>
        <w:rPr>
          <w:rFonts w:ascii="Arial" w:hAnsi="Arial"/>
          <w:b/>
          <w:lang w:val="en-GB"/>
        </w:rPr>
        <w:t>Hệ</w:t>
      </w:r>
      <w:r>
        <w:rPr>
          <w:rFonts w:ascii="Arial" w:hAnsi="Arial"/>
          <w:b/>
          <w:lang w:val="vi-VN"/>
        </w:rPr>
        <w:t xml:space="preserve"> thống quá cảnh hải quan ASEAN (</w:t>
      </w:r>
      <w:r w:rsidR="00F00CA4" w:rsidRPr="00355057">
        <w:rPr>
          <w:rFonts w:ascii="Arial" w:hAnsi="Arial"/>
          <w:b/>
          <w:lang w:val="en-GB"/>
        </w:rPr>
        <w:t>ASEAN Customs Transit System (</w:t>
      </w:r>
      <w:r w:rsidR="00F00CA4" w:rsidRPr="00DC4BA1">
        <w:rPr>
          <w:rFonts w:ascii="Arial" w:hAnsi="Arial"/>
          <w:lang w:val="en-GB"/>
        </w:rPr>
        <w:t>ACTS)</w:t>
      </w:r>
      <w:r>
        <w:rPr>
          <w:rFonts w:ascii="Arial" w:hAnsi="Arial"/>
          <w:lang w:val="vi-VN"/>
        </w:rPr>
        <w:t>)</w:t>
      </w:r>
    </w:p>
    <w:p w14:paraId="7C64082C" w14:textId="7371F9D8" w:rsidR="00F00CA4" w:rsidRPr="00355057" w:rsidRDefault="002D09DB" w:rsidP="00FF6387">
      <w:pPr>
        <w:pStyle w:val="ListParagraph"/>
        <w:numPr>
          <w:ilvl w:val="0"/>
          <w:numId w:val="34"/>
        </w:numPr>
        <w:rPr>
          <w:rFonts w:ascii="Arial" w:hAnsi="Arial"/>
          <w:lang w:val="en-GB"/>
        </w:rPr>
      </w:pPr>
      <w:r>
        <w:rPr>
          <w:rFonts w:ascii="Arial" w:hAnsi="Arial"/>
          <w:b/>
          <w:lang w:val="en-GB"/>
        </w:rPr>
        <w:t>Hướng</w:t>
      </w:r>
      <w:r>
        <w:rPr>
          <w:rFonts w:ascii="Arial" w:hAnsi="Arial"/>
          <w:b/>
          <w:lang w:val="vi-VN"/>
        </w:rPr>
        <w:t xml:space="preserve"> dẫn trao đổi thông tin dữ liệu thương mại điện tử giữa cơ quan hải quan và doanh nghiệp Thương mại điện tử (dự kiến hoàn thiện năm 2025) (</w:t>
      </w:r>
      <w:r w:rsidR="00F00CA4" w:rsidRPr="00355057">
        <w:rPr>
          <w:rFonts w:ascii="Arial" w:hAnsi="Arial"/>
          <w:b/>
          <w:lang w:val="en-GB"/>
        </w:rPr>
        <w:t>Guidelines of Exchange Information on E-commerce Data between Customs Administration and E-commerce Operator</w:t>
      </w:r>
      <w:r w:rsidR="00F00CA4" w:rsidRPr="00355057">
        <w:rPr>
          <w:rFonts w:ascii="Arial" w:hAnsi="Arial"/>
          <w:lang w:val="en-GB"/>
        </w:rPr>
        <w:t xml:space="preserve"> (Targeted to be finalised in 2025)</w:t>
      </w:r>
      <w:r>
        <w:rPr>
          <w:rFonts w:ascii="Arial" w:hAnsi="Arial"/>
          <w:lang w:val="vi-VN"/>
        </w:rPr>
        <w:t>)</w:t>
      </w:r>
    </w:p>
    <w:p w14:paraId="30729A58" w14:textId="6001564D" w:rsidR="00F00CA4" w:rsidRPr="00355057" w:rsidRDefault="002D09DB" w:rsidP="00FF6387">
      <w:pPr>
        <w:pStyle w:val="ListParagraph"/>
        <w:numPr>
          <w:ilvl w:val="0"/>
          <w:numId w:val="34"/>
        </w:numPr>
        <w:rPr>
          <w:rFonts w:ascii="Arial" w:hAnsi="Arial"/>
          <w:b/>
          <w:lang w:val="en-GB"/>
        </w:rPr>
      </w:pPr>
      <w:r>
        <w:rPr>
          <w:rFonts w:ascii="Arial" w:hAnsi="Arial"/>
          <w:b/>
          <w:lang w:val="en-GB"/>
        </w:rPr>
        <w:t>Hiệp</w:t>
      </w:r>
      <w:r>
        <w:rPr>
          <w:rFonts w:ascii="Arial" w:hAnsi="Arial"/>
          <w:b/>
          <w:lang w:val="vi-VN"/>
        </w:rPr>
        <w:t xml:space="preserve"> định ASEAN về Thương mại Điện tử (</w:t>
      </w:r>
      <w:r w:rsidR="00F00CA4" w:rsidRPr="00355057">
        <w:rPr>
          <w:rFonts w:ascii="Arial" w:hAnsi="Arial"/>
          <w:b/>
          <w:lang w:val="en-GB"/>
        </w:rPr>
        <w:t xml:space="preserve">ASEAN Agreement on Electronic </w:t>
      </w:r>
      <w:r>
        <w:rPr>
          <w:rFonts w:ascii="Arial" w:hAnsi="Arial"/>
          <w:b/>
          <w:lang w:val="en-GB"/>
        </w:rPr>
        <w:t>Commerce</w:t>
      </w:r>
      <w:r>
        <w:rPr>
          <w:rFonts w:ascii="Arial" w:hAnsi="Arial"/>
          <w:b/>
          <w:lang w:val="vi-VN"/>
        </w:rPr>
        <w:t>)</w:t>
      </w:r>
    </w:p>
    <w:p w14:paraId="7AE66E1D" w14:textId="2AE605A6" w:rsidR="00F00CA4" w:rsidRPr="00DC4BA1" w:rsidRDefault="00731D1D" w:rsidP="00FF6387">
      <w:pPr>
        <w:pStyle w:val="ListParagraph"/>
        <w:numPr>
          <w:ilvl w:val="0"/>
          <w:numId w:val="34"/>
        </w:numPr>
        <w:rPr>
          <w:rFonts w:ascii="Arial" w:hAnsi="Arial"/>
          <w:lang w:val="en-GB"/>
        </w:rPr>
      </w:pPr>
      <w:r>
        <w:rPr>
          <w:rFonts w:ascii="Arial" w:hAnsi="Arial"/>
          <w:b/>
          <w:lang w:val="en-GB"/>
        </w:rPr>
        <w:t>Khuôn</w:t>
      </w:r>
      <w:r>
        <w:rPr>
          <w:rFonts w:ascii="Arial" w:hAnsi="Arial"/>
          <w:b/>
          <w:lang w:val="vi-VN"/>
        </w:rPr>
        <w:t xml:space="preserve"> khổ Chính sách Thanh toán ASEAN cho hệ thống thành toán bán lẻ thời gian thực xuyên biên giới (RT-RPS) (</w:t>
      </w:r>
      <w:r w:rsidR="00F00CA4" w:rsidRPr="00355057">
        <w:rPr>
          <w:rFonts w:ascii="Arial" w:hAnsi="Arial"/>
          <w:b/>
          <w:lang w:val="en-GB"/>
        </w:rPr>
        <w:t>ASEAN Payments Policy Framework (FW) for Cross-Border Real Time Retail Payment Systems</w:t>
      </w:r>
      <w:r w:rsidR="00F00CA4" w:rsidRPr="00DC4BA1">
        <w:rPr>
          <w:rFonts w:ascii="Arial" w:hAnsi="Arial"/>
          <w:lang w:val="en-GB"/>
        </w:rPr>
        <w:t xml:space="preserve"> (RT-RPS)</w:t>
      </w:r>
      <w:r>
        <w:rPr>
          <w:rFonts w:ascii="Arial" w:hAnsi="Arial"/>
          <w:lang w:val="vi-VN"/>
        </w:rPr>
        <w:t>)</w:t>
      </w:r>
    </w:p>
    <w:p w14:paraId="1EBA3DE7" w14:textId="14CF6696" w:rsidR="00F00CA4" w:rsidRPr="00355057" w:rsidRDefault="009F5D1C" w:rsidP="00FF6387">
      <w:pPr>
        <w:pStyle w:val="ListParagraph"/>
        <w:numPr>
          <w:ilvl w:val="0"/>
          <w:numId w:val="34"/>
        </w:numPr>
        <w:rPr>
          <w:rFonts w:ascii="Arial" w:hAnsi="Arial"/>
          <w:b/>
          <w:lang w:val="en-GB"/>
        </w:rPr>
      </w:pPr>
      <w:r>
        <w:rPr>
          <w:rFonts w:ascii="Arial" w:hAnsi="Arial"/>
          <w:b/>
          <w:lang w:val="en-GB"/>
        </w:rPr>
        <w:t>Sổ</w:t>
      </w:r>
      <w:r>
        <w:rPr>
          <w:rFonts w:ascii="Arial" w:hAnsi="Arial"/>
          <w:b/>
          <w:lang w:val="vi-VN"/>
        </w:rPr>
        <w:t xml:space="preserve"> tay về Thương mại Điện tử và cạnh tranh trong ASEAN (</w:t>
      </w:r>
      <w:r w:rsidR="00F00CA4" w:rsidRPr="00355057">
        <w:rPr>
          <w:rFonts w:ascii="Arial" w:hAnsi="Arial"/>
          <w:b/>
          <w:lang w:val="en-GB"/>
        </w:rPr>
        <w:t xml:space="preserve">Handbook on E-commerce and Competition in </w:t>
      </w:r>
      <w:r>
        <w:rPr>
          <w:rFonts w:ascii="Arial" w:hAnsi="Arial"/>
          <w:b/>
          <w:lang w:val="en-GB"/>
        </w:rPr>
        <w:t>ASEAN</w:t>
      </w:r>
      <w:r>
        <w:rPr>
          <w:rFonts w:ascii="Arial" w:hAnsi="Arial"/>
          <w:b/>
          <w:lang w:val="vi-VN"/>
        </w:rPr>
        <w:t>)</w:t>
      </w:r>
    </w:p>
    <w:p w14:paraId="0029C97B" w14:textId="0C109E09" w:rsidR="00F00CA4" w:rsidRPr="00355057" w:rsidRDefault="009F5D1C" w:rsidP="00FF6387">
      <w:pPr>
        <w:pStyle w:val="ListParagraph"/>
        <w:numPr>
          <w:ilvl w:val="0"/>
          <w:numId w:val="34"/>
        </w:numPr>
        <w:rPr>
          <w:rFonts w:ascii="Arial" w:hAnsi="Arial"/>
          <w:b/>
          <w:lang w:val="en-GB"/>
        </w:rPr>
      </w:pPr>
      <w:r>
        <w:rPr>
          <w:rFonts w:ascii="Arial" w:hAnsi="Arial"/>
          <w:b/>
          <w:lang w:val="en-GB"/>
        </w:rPr>
        <w:t>Phân</w:t>
      </w:r>
      <w:r>
        <w:rPr>
          <w:rFonts w:ascii="Arial" w:hAnsi="Arial"/>
          <w:b/>
          <w:lang w:val="vi-VN"/>
        </w:rPr>
        <w:t xml:space="preserve"> tích khoảng cách về khung pháp lý sở hữu trí tuệ trong thương mại điện tử của ASEAN (</w:t>
      </w:r>
      <w:r w:rsidR="00F00CA4" w:rsidRPr="00355057">
        <w:rPr>
          <w:rFonts w:ascii="Arial" w:hAnsi="Arial"/>
          <w:b/>
          <w:lang w:val="en-GB"/>
        </w:rPr>
        <w:t xml:space="preserve">Gap analysis on ASEAN IP e-commerce regulatory </w:t>
      </w:r>
      <w:r>
        <w:rPr>
          <w:rFonts w:ascii="Arial" w:hAnsi="Arial"/>
          <w:b/>
          <w:lang w:val="en-GB"/>
        </w:rPr>
        <w:t>landscape</w:t>
      </w:r>
      <w:r>
        <w:rPr>
          <w:rFonts w:ascii="Arial" w:hAnsi="Arial"/>
          <w:b/>
          <w:lang w:val="vi-VN"/>
        </w:rPr>
        <w:t>)</w:t>
      </w:r>
    </w:p>
    <w:p w14:paraId="107BF867" w14:textId="64C6FB8A" w:rsidR="00BA1160" w:rsidRPr="00355057" w:rsidRDefault="00343383" w:rsidP="00FF6387">
      <w:pPr>
        <w:pStyle w:val="ListParagraph"/>
        <w:numPr>
          <w:ilvl w:val="0"/>
          <w:numId w:val="34"/>
        </w:numPr>
        <w:rPr>
          <w:rFonts w:ascii="Arial" w:hAnsi="Arial"/>
          <w:b/>
          <w:lang w:val="en-GB"/>
        </w:rPr>
      </w:pPr>
      <w:r>
        <w:rPr>
          <w:rFonts w:ascii="Arial" w:hAnsi="Arial"/>
          <w:b/>
          <w:lang w:val="en-GB"/>
        </w:rPr>
        <w:t>Lộ</w:t>
      </w:r>
      <w:r>
        <w:rPr>
          <w:rFonts w:ascii="Arial" w:hAnsi="Arial"/>
          <w:b/>
          <w:lang w:val="vi-VN"/>
        </w:rPr>
        <w:t xml:space="preserve"> trình Mã định danh doanh nghiệp thống nhất ASEAN (</w:t>
      </w:r>
      <w:r w:rsidR="00BA1160" w:rsidRPr="00355057">
        <w:rPr>
          <w:rFonts w:ascii="Arial" w:hAnsi="Arial"/>
          <w:b/>
          <w:lang w:val="en-GB"/>
        </w:rPr>
        <w:t xml:space="preserve">ASEAN Unique Business Identification Number (UBIN) </w:t>
      </w:r>
      <w:r>
        <w:rPr>
          <w:rFonts w:ascii="Arial" w:hAnsi="Arial"/>
          <w:b/>
          <w:lang w:val="en-GB"/>
        </w:rPr>
        <w:t>Roadmap</w:t>
      </w:r>
      <w:r>
        <w:rPr>
          <w:rFonts w:ascii="Arial" w:hAnsi="Arial"/>
          <w:b/>
          <w:lang w:val="vi-VN"/>
        </w:rPr>
        <w:t>)</w:t>
      </w:r>
    </w:p>
    <w:p w14:paraId="09F3A651" w14:textId="19A71F6E" w:rsidR="00756015" w:rsidRPr="00355057" w:rsidRDefault="00343383" w:rsidP="00FF6387">
      <w:pPr>
        <w:pStyle w:val="ListParagraph"/>
        <w:numPr>
          <w:ilvl w:val="0"/>
          <w:numId w:val="34"/>
        </w:numPr>
        <w:rPr>
          <w:rFonts w:ascii="Arial" w:hAnsi="Arial"/>
          <w:b/>
          <w:lang w:val="en-GB"/>
        </w:rPr>
      </w:pPr>
      <w:r>
        <w:rPr>
          <w:rFonts w:ascii="Arial" w:hAnsi="Arial"/>
          <w:b/>
          <w:lang w:val="en-GB"/>
        </w:rPr>
        <w:t>Nền</w:t>
      </w:r>
      <w:r>
        <w:rPr>
          <w:rFonts w:ascii="Arial" w:hAnsi="Arial"/>
          <w:b/>
          <w:lang w:val="vi-VN"/>
        </w:rPr>
        <w:t xml:space="preserve"> tảng chứng chỉ số ASEAN (</w:t>
      </w:r>
      <w:r w:rsidR="00756015" w:rsidRPr="00355057">
        <w:rPr>
          <w:rFonts w:ascii="Arial" w:hAnsi="Arial"/>
          <w:b/>
          <w:lang w:val="en-GB"/>
        </w:rPr>
        <w:t xml:space="preserve">ASEAN Digital Credentials </w:t>
      </w:r>
      <w:r>
        <w:rPr>
          <w:rFonts w:ascii="Arial" w:hAnsi="Arial"/>
          <w:b/>
          <w:lang w:val="en-GB"/>
        </w:rPr>
        <w:t>Platform</w:t>
      </w:r>
      <w:r>
        <w:rPr>
          <w:rFonts w:ascii="Arial" w:hAnsi="Arial"/>
          <w:b/>
          <w:lang w:val="vi-VN"/>
        </w:rPr>
        <w:t>)</w:t>
      </w:r>
    </w:p>
    <w:p w14:paraId="2E41EA30" w14:textId="2E4E3130" w:rsidR="00756015" w:rsidRPr="00355057" w:rsidRDefault="004A705F" w:rsidP="00FF6387">
      <w:pPr>
        <w:pStyle w:val="ListParagraph"/>
        <w:numPr>
          <w:ilvl w:val="0"/>
          <w:numId w:val="34"/>
        </w:numPr>
        <w:rPr>
          <w:rFonts w:ascii="Arial" w:hAnsi="Arial"/>
          <w:b/>
          <w:lang w:val="en-GB"/>
        </w:rPr>
      </w:pPr>
      <w:r>
        <w:rPr>
          <w:rFonts w:ascii="Arial" w:hAnsi="Arial"/>
          <w:b/>
          <w:lang w:val="en-GB"/>
        </w:rPr>
        <w:t>Chiến</w:t>
      </w:r>
      <w:r>
        <w:rPr>
          <w:rFonts w:ascii="Arial" w:hAnsi="Arial"/>
          <w:b/>
          <w:lang w:val="vi-VN"/>
        </w:rPr>
        <w:t xml:space="preserve"> lược hợp tác an ninh mạng ASEAN 2021-2025 (</w:t>
      </w:r>
      <w:r w:rsidR="00756015" w:rsidRPr="00355057">
        <w:rPr>
          <w:rFonts w:ascii="Arial" w:hAnsi="Arial"/>
          <w:b/>
          <w:lang w:val="en-GB"/>
        </w:rPr>
        <w:t>ASEAN Cybersecurity Cooperation Strategy 2021-</w:t>
      </w:r>
      <w:r>
        <w:rPr>
          <w:rFonts w:ascii="Arial" w:hAnsi="Arial"/>
          <w:b/>
          <w:lang w:val="en-GB"/>
        </w:rPr>
        <w:t>2025</w:t>
      </w:r>
      <w:r>
        <w:rPr>
          <w:rFonts w:ascii="Arial" w:hAnsi="Arial"/>
          <w:b/>
          <w:lang w:val="vi-VN"/>
        </w:rPr>
        <w:t>)</w:t>
      </w:r>
    </w:p>
    <w:p w14:paraId="5CE07878" w14:textId="08AE4B94" w:rsidR="00756015" w:rsidRPr="00355057" w:rsidRDefault="004A705F" w:rsidP="00FF6387">
      <w:pPr>
        <w:pStyle w:val="ListParagraph"/>
        <w:numPr>
          <w:ilvl w:val="0"/>
          <w:numId w:val="34"/>
        </w:numPr>
        <w:rPr>
          <w:rFonts w:ascii="Arial" w:hAnsi="Arial"/>
          <w:b/>
          <w:lang w:val="en-GB"/>
        </w:rPr>
      </w:pPr>
      <w:r>
        <w:rPr>
          <w:rFonts w:ascii="Arial" w:hAnsi="Arial"/>
          <w:b/>
          <w:lang w:val="en-GB"/>
        </w:rPr>
        <w:t>Hướng</w:t>
      </w:r>
      <w:r>
        <w:rPr>
          <w:rFonts w:ascii="Arial" w:hAnsi="Arial"/>
          <w:b/>
          <w:lang w:val="vi-VN"/>
        </w:rPr>
        <w:t xml:space="preserve"> dẫn ASEAN về </w:t>
      </w:r>
      <w:r w:rsidR="00AF2DE0">
        <w:rPr>
          <w:rFonts w:ascii="Arial" w:hAnsi="Arial"/>
          <w:b/>
          <w:lang w:val="vi-VN"/>
        </w:rPr>
        <w:t xml:space="preserve">Bảo vệ người tiêu dùng trong Thương mại Điện tử </w:t>
      </w:r>
      <w:r>
        <w:rPr>
          <w:rFonts w:ascii="Arial" w:hAnsi="Arial"/>
          <w:b/>
          <w:lang w:val="vi-VN"/>
        </w:rPr>
        <w:t>(</w:t>
      </w:r>
      <w:r w:rsidR="00756015" w:rsidRPr="00355057">
        <w:rPr>
          <w:rFonts w:ascii="Arial" w:hAnsi="Arial"/>
          <w:b/>
          <w:lang w:val="en-GB"/>
        </w:rPr>
        <w:t>ASEAN Guidelines on Consumer Protection in E-</w:t>
      </w:r>
      <w:r>
        <w:rPr>
          <w:rFonts w:ascii="Arial" w:hAnsi="Arial"/>
          <w:b/>
          <w:lang w:val="en-GB"/>
        </w:rPr>
        <w:t>commerce</w:t>
      </w:r>
      <w:r>
        <w:rPr>
          <w:rFonts w:ascii="Arial" w:hAnsi="Arial"/>
          <w:b/>
          <w:lang w:val="vi-VN"/>
        </w:rPr>
        <w:t>)</w:t>
      </w:r>
    </w:p>
    <w:p w14:paraId="2A7A6EA2" w14:textId="3AB052F5" w:rsidR="00756015" w:rsidRDefault="004A705F" w:rsidP="00FF6387">
      <w:pPr>
        <w:pStyle w:val="ListParagraph"/>
        <w:numPr>
          <w:ilvl w:val="0"/>
          <w:numId w:val="34"/>
        </w:numPr>
        <w:rPr>
          <w:rFonts w:ascii="Arial" w:hAnsi="Arial"/>
          <w:lang w:val="en-GB"/>
        </w:rPr>
      </w:pPr>
      <w:r>
        <w:rPr>
          <w:rFonts w:ascii="Arial" w:hAnsi="Arial"/>
          <w:b/>
          <w:lang w:val="en-GB"/>
        </w:rPr>
        <w:lastRenderedPageBreak/>
        <w:t>Bộ</w:t>
      </w:r>
      <w:r>
        <w:rPr>
          <w:rFonts w:ascii="Arial" w:hAnsi="Arial"/>
          <w:b/>
          <w:lang w:val="vi-VN"/>
        </w:rPr>
        <w:t xml:space="preserve"> Quy tắc Ứng xử Kinh doanh Trực tuyến ASEAN (ASEAN COC) (</w:t>
      </w:r>
      <w:r w:rsidR="00756015" w:rsidRPr="00355057">
        <w:rPr>
          <w:rFonts w:ascii="Arial" w:hAnsi="Arial"/>
          <w:b/>
          <w:lang w:val="en-GB"/>
        </w:rPr>
        <w:t>ASEAN Online Business Code of Conduct</w:t>
      </w:r>
      <w:r w:rsidR="00756015" w:rsidRPr="00DC4BA1">
        <w:rPr>
          <w:rFonts w:ascii="Arial" w:hAnsi="Arial"/>
          <w:lang w:val="en-GB"/>
        </w:rPr>
        <w:t xml:space="preserve"> (ASEAN COC)</w:t>
      </w:r>
      <w:r>
        <w:rPr>
          <w:rFonts w:ascii="Arial" w:hAnsi="Arial"/>
          <w:lang w:val="vi-VN"/>
        </w:rPr>
        <w:t>)</w:t>
      </w:r>
    </w:p>
    <w:p w14:paraId="1EF13866" w14:textId="2CE7EFDC" w:rsidR="000B48F5" w:rsidRPr="00355057" w:rsidRDefault="004A705F" w:rsidP="00FF6387">
      <w:pPr>
        <w:pStyle w:val="ListParagraph"/>
        <w:numPr>
          <w:ilvl w:val="0"/>
          <w:numId w:val="34"/>
        </w:numPr>
        <w:rPr>
          <w:rFonts w:ascii="Arial" w:hAnsi="Arial"/>
          <w:b/>
          <w:lang w:val="en-GB"/>
        </w:rPr>
      </w:pPr>
      <w:r>
        <w:rPr>
          <w:rFonts w:ascii="Arial" w:hAnsi="Arial"/>
          <w:b/>
          <w:lang w:val="en-GB"/>
        </w:rPr>
        <w:t>Hướng</w:t>
      </w:r>
      <w:r>
        <w:rPr>
          <w:rFonts w:ascii="Arial" w:hAnsi="Arial"/>
          <w:b/>
          <w:lang w:val="vi-VN"/>
        </w:rPr>
        <w:t xml:space="preserve"> dẫn ASEAN về Giải quyết Tranh </w:t>
      </w:r>
      <w:r w:rsidR="001B1E81">
        <w:rPr>
          <w:rFonts w:ascii="Arial" w:hAnsi="Arial"/>
          <w:b/>
          <w:lang w:val="vi-VN"/>
        </w:rPr>
        <w:t>chấp</w:t>
      </w:r>
      <w:r>
        <w:rPr>
          <w:rFonts w:ascii="Arial" w:hAnsi="Arial"/>
          <w:b/>
          <w:lang w:val="vi-VN"/>
        </w:rPr>
        <w:t xml:space="preserve"> trực tuyến </w:t>
      </w:r>
      <w:r w:rsidR="001B1E81">
        <w:rPr>
          <w:rFonts w:ascii="Arial" w:hAnsi="Arial"/>
          <w:b/>
          <w:lang w:val="vi-VN"/>
        </w:rPr>
        <w:t>(ODR Guidelines) (</w:t>
      </w:r>
      <w:r w:rsidR="000B48F5" w:rsidRPr="00355057">
        <w:rPr>
          <w:rFonts w:ascii="Arial" w:hAnsi="Arial"/>
          <w:b/>
          <w:lang w:val="en-GB"/>
        </w:rPr>
        <w:t xml:space="preserve">Online Dispute Resolution </w:t>
      </w:r>
      <w:r w:rsidR="001B1E81">
        <w:rPr>
          <w:rFonts w:ascii="Arial" w:hAnsi="Arial"/>
          <w:b/>
          <w:lang w:val="en-GB"/>
        </w:rPr>
        <w:t>Guidelines</w:t>
      </w:r>
      <w:r w:rsidR="001B1E81">
        <w:rPr>
          <w:rFonts w:ascii="Arial" w:hAnsi="Arial"/>
          <w:b/>
          <w:lang w:val="vi-VN"/>
        </w:rPr>
        <w:t>)</w:t>
      </w:r>
    </w:p>
    <w:p w14:paraId="35F30AEE" w14:textId="779E3620" w:rsidR="00756015" w:rsidRPr="00DC4BA1" w:rsidRDefault="001B1E81" w:rsidP="00FF6387">
      <w:pPr>
        <w:pStyle w:val="ListParagraph"/>
        <w:numPr>
          <w:ilvl w:val="0"/>
          <w:numId w:val="34"/>
        </w:numPr>
        <w:rPr>
          <w:rFonts w:ascii="Arial" w:hAnsi="Arial"/>
          <w:lang w:val="en-GB"/>
        </w:rPr>
      </w:pPr>
      <w:r>
        <w:rPr>
          <w:rFonts w:ascii="Arial" w:hAnsi="Arial"/>
          <w:b/>
          <w:lang w:val="en-GB"/>
        </w:rPr>
        <w:t>Khung</w:t>
      </w:r>
      <w:r>
        <w:rPr>
          <w:rFonts w:ascii="Arial" w:hAnsi="Arial"/>
          <w:b/>
          <w:lang w:val="vi-VN"/>
        </w:rPr>
        <w:t xml:space="preserve"> ASEAN </w:t>
      </w:r>
      <w:r w:rsidR="00D149C4">
        <w:rPr>
          <w:rFonts w:ascii="Arial" w:hAnsi="Arial"/>
          <w:b/>
          <w:lang w:val="vi-VN"/>
        </w:rPr>
        <w:t>về Bảo vệ Dữ liệu Cá nhân (PDP Framework) (</w:t>
      </w:r>
      <w:r w:rsidR="00756015" w:rsidRPr="00355057">
        <w:rPr>
          <w:rFonts w:ascii="Arial" w:hAnsi="Arial"/>
          <w:b/>
          <w:lang w:val="en-GB"/>
        </w:rPr>
        <w:t>ASEAN Framework on Personal Data Protection</w:t>
      </w:r>
      <w:r w:rsidR="00756015" w:rsidRPr="00DC4BA1">
        <w:rPr>
          <w:rFonts w:ascii="Arial" w:hAnsi="Arial"/>
          <w:lang w:val="en-GB"/>
        </w:rPr>
        <w:t xml:space="preserve"> (PDP)</w:t>
      </w:r>
      <w:r w:rsidR="00D149C4">
        <w:rPr>
          <w:rFonts w:ascii="Arial" w:hAnsi="Arial"/>
          <w:lang w:val="vi-VN"/>
        </w:rPr>
        <w:t>)</w:t>
      </w:r>
    </w:p>
    <w:p w14:paraId="47F70A47" w14:textId="1EA25194" w:rsidR="00756015" w:rsidRPr="00DC4BA1" w:rsidRDefault="001E7ED7" w:rsidP="00FF6387">
      <w:pPr>
        <w:pStyle w:val="ListParagraph"/>
        <w:numPr>
          <w:ilvl w:val="0"/>
          <w:numId w:val="34"/>
        </w:numPr>
        <w:rPr>
          <w:rFonts w:ascii="Arial" w:hAnsi="Arial"/>
          <w:lang w:val="en-GB"/>
        </w:rPr>
      </w:pPr>
      <w:r>
        <w:rPr>
          <w:rFonts w:ascii="Arial" w:hAnsi="Arial"/>
          <w:b/>
          <w:lang w:val="en-GB"/>
        </w:rPr>
        <w:t>Khung</w:t>
      </w:r>
      <w:r>
        <w:rPr>
          <w:rFonts w:ascii="Arial" w:hAnsi="Arial"/>
          <w:b/>
          <w:lang w:val="vi-VN"/>
        </w:rPr>
        <w:t xml:space="preserve"> Quản lý Dữ liêu ASEAN (</w:t>
      </w:r>
      <w:r w:rsidR="00756015" w:rsidRPr="00355057">
        <w:rPr>
          <w:rFonts w:ascii="Arial" w:hAnsi="Arial"/>
          <w:b/>
          <w:lang w:val="en-GB"/>
        </w:rPr>
        <w:t>ASEAN Data Management Framework</w:t>
      </w:r>
      <w:r w:rsidR="00756015" w:rsidRPr="00DC4BA1">
        <w:rPr>
          <w:rFonts w:ascii="Arial" w:hAnsi="Arial"/>
          <w:lang w:val="en-GB"/>
        </w:rPr>
        <w:t xml:space="preserve"> (DMF)</w:t>
      </w:r>
      <w:r>
        <w:rPr>
          <w:rFonts w:ascii="Arial" w:hAnsi="Arial"/>
          <w:lang w:val="vi-VN"/>
        </w:rPr>
        <w:t>)</w:t>
      </w:r>
    </w:p>
    <w:p w14:paraId="6B521A03" w14:textId="29F36C96" w:rsidR="00756015" w:rsidRPr="00355057" w:rsidRDefault="001E7ED7" w:rsidP="00FF6387">
      <w:pPr>
        <w:pStyle w:val="ListParagraph"/>
        <w:numPr>
          <w:ilvl w:val="0"/>
          <w:numId w:val="34"/>
        </w:numPr>
        <w:rPr>
          <w:rFonts w:ascii="Arial" w:hAnsi="Arial"/>
          <w:b/>
          <w:lang w:val="en-GB"/>
        </w:rPr>
      </w:pPr>
      <w:r>
        <w:rPr>
          <w:rFonts w:ascii="Arial" w:hAnsi="Arial"/>
          <w:b/>
          <w:lang w:val="en-GB"/>
        </w:rPr>
        <w:t>Các</w:t>
      </w:r>
      <w:r>
        <w:rPr>
          <w:rFonts w:ascii="Arial" w:hAnsi="Arial"/>
          <w:b/>
          <w:lang w:val="vi-VN"/>
        </w:rPr>
        <w:t xml:space="preserve"> Điều khoản Hợp đồng Mẫu ASEAN về Dòng chảy dữ liệu xuyên biên giới (</w:t>
      </w:r>
      <w:r w:rsidR="00756015" w:rsidRPr="00355057">
        <w:rPr>
          <w:rFonts w:ascii="Arial" w:hAnsi="Arial"/>
          <w:b/>
          <w:lang w:val="en-GB"/>
        </w:rPr>
        <w:t xml:space="preserve">ASEAN Model Contractual Clauses on Cross Border Data </w:t>
      </w:r>
      <w:r>
        <w:rPr>
          <w:rFonts w:ascii="Arial" w:hAnsi="Arial"/>
          <w:b/>
          <w:lang w:val="en-GB"/>
        </w:rPr>
        <w:t>Flow</w:t>
      </w:r>
      <w:r>
        <w:rPr>
          <w:rFonts w:ascii="Arial" w:hAnsi="Arial"/>
          <w:b/>
          <w:lang w:val="vi-VN"/>
        </w:rPr>
        <w:t>)</w:t>
      </w:r>
    </w:p>
    <w:p w14:paraId="4B4613D4" w14:textId="1538BA8F" w:rsidR="009F1C83" w:rsidRPr="00355057" w:rsidRDefault="001E7ED7" w:rsidP="00FF6387">
      <w:pPr>
        <w:pStyle w:val="ListParagraph"/>
        <w:numPr>
          <w:ilvl w:val="0"/>
          <w:numId w:val="34"/>
        </w:numPr>
        <w:rPr>
          <w:rFonts w:ascii="Arial" w:hAnsi="Arial"/>
          <w:lang w:val="en-GB"/>
        </w:rPr>
      </w:pPr>
      <w:r>
        <w:rPr>
          <w:rFonts w:ascii="Arial" w:hAnsi="Arial"/>
          <w:b/>
          <w:lang w:val="en-GB"/>
        </w:rPr>
        <w:t>C</w:t>
      </w:r>
      <w:r w:rsidR="00FB6362">
        <w:rPr>
          <w:rFonts w:ascii="Arial" w:hAnsi="Arial"/>
          <w:b/>
          <w:lang w:val="en-GB"/>
        </w:rPr>
        <w:t>ơ</w:t>
      </w:r>
      <w:r>
        <w:rPr>
          <w:rFonts w:ascii="Arial" w:hAnsi="Arial"/>
          <w:b/>
          <w:lang w:val="vi-VN"/>
        </w:rPr>
        <w:t xml:space="preserve"> chế Chứng nhận ASEAN ch Dòng chảy Dữ liệu Xuyên biên giới (dự kiến hoàn thiện năm 2025) (</w:t>
      </w:r>
      <w:r w:rsidR="009F1C83" w:rsidRPr="00355057">
        <w:rPr>
          <w:rFonts w:ascii="Arial" w:hAnsi="Arial"/>
          <w:b/>
          <w:lang w:val="en-GB"/>
        </w:rPr>
        <w:t>ASEAN Certification Mechanism for Cross-Border Data Flow</w:t>
      </w:r>
      <w:r w:rsidR="009F1C83" w:rsidRPr="00355057">
        <w:rPr>
          <w:rFonts w:ascii="Arial" w:hAnsi="Arial"/>
          <w:lang w:val="en-GB"/>
        </w:rPr>
        <w:t xml:space="preserve"> (Targeted to be finalised in 2025)</w:t>
      </w:r>
      <w:r>
        <w:rPr>
          <w:rFonts w:ascii="Arial" w:hAnsi="Arial"/>
          <w:lang w:val="vi-VN"/>
        </w:rPr>
        <w:t>)</w:t>
      </w:r>
    </w:p>
    <w:p w14:paraId="1316950B" w14:textId="7B5091DF" w:rsidR="004D3FB6" w:rsidRPr="00DC4BA1" w:rsidRDefault="00767784" w:rsidP="00FF6387">
      <w:pPr>
        <w:pStyle w:val="ListParagraph"/>
        <w:numPr>
          <w:ilvl w:val="0"/>
          <w:numId w:val="34"/>
        </w:numPr>
        <w:rPr>
          <w:rFonts w:ascii="Arial" w:hAnsi="Arial"/>
          <w:lang w:val="en-GB"/>
        </w:rPr>
      </w:pPr>
      <w:r>
        <w:rPr>
          <w:rFonts w:ascii="Arial" w:hAnsi="Arial"/>
          <w:b/>
          <w:lang w:val="en-GB"/>
        </w:rPr>
        <w:t>Chiến</w:t>
      </w:r>
      <w:r>
        <w:rPr>
          <w:rFonts w:ascii="Arial" w:hAnsi="Arial"/>
          <w:b/>
          <w:lang w:val="vi-VN"/>
        </w:rPr>
        <w:t xml:space="preserve"> lược hợp tác An nin mạng ASEAN 2026-2030 (Dự kiện hoàn thành năm 2025) (</w:t>
      </w:r>
      <w:r w:rsidR="009F1C83" w:rsidRPr="00355057">
        <w:rPr>
          <w:rFonts w:ascii="Arial" w:hAnsi="Arial"/>
          <w:b/>
          <w:lang w:val="en-GB"/>
        </w:rPr>
        <w:t>ASEAN Cybersecurity Cooperation Strategy 2026-2030</w:t>
      </w:r>
      <w:r w:rsidR="009F1C83" w:rsidRPr="00355057">
        <w:rPr>
          <w:rFonts w:ascii="Arial" w:hAnsi="Arial"/>
          <w:lang w:val="en-GB"/>
        </w:rPr>
        <w:t xml:space="preserve"> (Targeted to be finalised in 2025</w:t>
      </w:r>
      <w:r w:rsidR="008A1A3E" w:rsidRPr="00355057">
        <w:rPr>
          <w:rFonts w:ascii="Arial" w:hAnsi="Arial"/>
          <w:lang w:val="en-GB"/>
        </w:rPr>
        <w:t>)</w:t>
      </w:r>
      <w:r>
        <w:rPr>
          <w:rFonts w:ascii="Arial" w:hAnsi="Arial"/>
          <w:lang w:val="vi-VN"/>
        </w:rPr>
        <w:t>)</w:t>
      </w:r>
    </w:p>
    <w:p w14:paraId="42878E2F" w14:textId="18B7175E" w:rsidR="000B48F5" w:rsidRPr="00355057" w:rsidRDefault="00767784" w:rsidP="00FF6387">
      <w:pPr>
        <w:pStyle w:val="ListParagraph"/>
        <w:numPr>
          <w:ilvl w:val="0"/>
          <w:numId w:val="34"/>
        </w:numPr>
        <w:rPr>
          <w:rFonts w:ascii="Arial" w:hAnsi="Arial"/>
          <w:b/>
          <w:lang w:val="en-GB"/>
        </w:rPr>
      </w:pPr>
      <w:r>
        <w:rPr>
          <w:rFonts w:ascii="Arial" w:hAnsi="Arial"/>
          <w:b/>
          <w:lang w:val="en-GB"/>
        </w:rPr>
        <w:t>Hướng</w:t>
      </w:r>
      <w:r>
        <w:rPr>
          <w:rFonts w:ascii="Arial" w:hAnsi="Arial"/>
          <w:b/>
          <w:lang w:val="vi-VN"/>
        </w:rPr>
        <w:t xml:space="preserve"> dẫn ASEAN về Quản trị và Đạo đức Trí tuệ nhân tạo (</w:t>
      </w:r>
      <w:r w:rsidR="00756015" w:rsidRPr="00355057">
        <w:rPr>
          <w:rFonts w:ascii="Arial" w:hAnsi="Arial"/>
          <w:b/>
          <w:lang w:val="en-GB"/>
        </w:rPr>
        <w:t xml:space="preserve">ASEAN Guide on AI Governance and </w:t>
      </w:r>
      <w:r>
        <w:rPr>
          <w:rFonts w:ascii="Arial" w:hAnsi="Arial"/>
          <w:b/>
          <w:lang w:val="en-GB"/>
        </w:rPr>
        <w:t>Ethics</w:t>
      </w:r>
      <w:r>
        <w:rPr>
          <w:rFonts w:ascii="Arial" w:hAnsi="Arial"/>
          <w:b/>
          <w:lang w:val="vi-VN"/>
        </w:rPr>
        <w:t>)</w:t>
      </w:r>
    </w:p>
    <w:p w14:paraId="5F424AD9" w14:textId="57F12753" w:rsidR="00756015" w:rsidRPr="000B48F5" w:rsidRDefault="00767784" w:rsidP="00FF6387">
      <w:pPr>
        <w:pStyle w:val="ListParagraph"/>
        <w:numPr>
          <w:ilvl w:val="0"/>
          <w:numId w:val="34"/>
        </w:numPr>
        <w:rPr>
          <w:rFonts w:ascii="Arial" w:hAnsi="Arial"/>
          <w:lang w:val="en-GB"/>
        </w:rPr>
      </w:pPr>
      <w:r>
        <w:rPr>
          <w:rFonts w:ascii="Arial" w:hAnsi="Arial"/>
          <w:b/>
          <w:lang w:val="en-GB"/>
        </w:rPr>
        <w:t>Lộ</w:t>
      </w:r>
      <w:r>
        <w:rPr>
          <w:rFonts w:ascii="Arial" w:hAnsi="Arial"/>
          <w:b/>
          <w:lang w:val="vi-VN"/>
        </w:rPr>
        <w:t xml:space="preserve"> trình ASEAN về Trí tuệ nhân tạo có trách nhiệm </w:t>
      </w:r>
      <w:r w:rsidR="00B83181">
        <w:rPr>
          <w:rFonts w:ascii="Arial" w:hAnsi="Arial"/>
          <w:b/>
          <w:lang w:val="vi-VN"/>
        </w:rPr>
        <w:t>(dự kiến hoàn thiện vào giữa năm 2024) (</w:t>
      </w:r>
      <w:r w:rsidR="00756015" w:rsidRPr="00355057">
        <w:rPr>
          <w:rFonts w:ascii="Arial" w:hAnsi="Arial"/>
          <w:b/>
          <w:lang w:val="en-GB"/>
        </w:rPr>
        <w:t>ASEAN Responsible AI Roadmap</w:t>
      </w:r>
      <w:r w:rsidR="00756015" w:rsidRPr="00355057">
        <w:rPr>
          <w:rFonts w:ascii="Arial" w:hAnsi="Arial"/>
          <w:lang w:val="en-GB"/>
        </w:rPr>
        <w:t xml:space="preserve"> (Targeted to be finalised in Mid-2024</w:t>
      </w:r>
      <w:r w:rsidR="00756015" w:rsidRPr="00516087">
        <w:rPr>
          <w:rFonts w:ascii="Arial" w:hAnsi="Arial"/>
          <w:i/>
          <w:lang w:val="en-GB"/>
        </w:rPr>
        <w:t>)</w:t>
      </w:r>
      <w:r w:rsidR="00B83181">
        <w:rPr>
          <w:rFonts w:ascii="Arial" w:hAnsi="Arial"/>
          <w:i/>
          <w:lang w:val="vi-VN"/>
        </w:rPr>
        <w:t>)</w:t>
      </w:r>
    </w:p>
    <w:p w14:paraId="4775D2FF" w14:textId="5F0C9387" w:rsidR="00D71024" w:rsidRPr="004F1D15" w:rsidRDefault="00B83181" w:rsidP="007664A3">
      <w:pPr>
        <w:pStyle w:val="Heading2"/>
        <w:rPr>
          <w:lang w:val="en-GB"/>
        </w:rPr>
      </w:pPr>
      <w:bookmarkStart w:id="42" w:name="_Toc174033125"/>
      <w:bookmarkEnd w:id="42"/>
      <w:r>
        <w:rPr>
          <w:lang w:val="en-GB"/>
        </w:rPr>
        <w:t>Vai</w:t>
      </w:r>
      <w:r>
        <w:rPr>
          <w:lang w:val="vi-VN"/>
        </w:rPr>
        <w:t xml:space="preserve"> trò của Tiêu chuẩn trong Thương mại số của ASEAN </w:t>
      </w:r>
    </w:p>
    <w:p w14:paraId="77CA852A" w14:textId="50CFD12D" w:rsidR="00B83181" w:rsidRDefault="00B83181" w:rsidP="007664A3">
      <w:pPr>
        <w:rPr>
          <w:lang w:val="vi-VN"/>
        </w:rPr>
      </w:pPr>
      <w:r w:rsidRPr="00B83181">
        <w:rPr>
          <w:lang w:val="vi-VN"/>
        </w:rPr>
        <w:t>Trong bối cảnh này, tiêu chuẩn thương mại số đóng vai trò quan trọng trong bức tranh thương mại số của ASEAN. Việc hài hòa hóa các tiêu chuẩn sẽ tạo thuận lợi và thúc đẩy thương mại số cũng như hội nhập số trong ASEAN. Khi các phương thức điện tử ngày càng phổ biến để đặt hàng và cung ứng hàng hóa, dịch vụ, nhu cầu nâng cao nhận thức và hài hòa hóa các tiêu chuẩn kỹ thuật và pháp lý trong thương mại số ngày càng trở nên cấp thiết. Thông qua việc thiết lập các thông số kỹ thuật và quy trình nhất quán, các tiêu chuẩn thương mại số hài hòa giúp bảo đảm các hệ thống số có thể tương tác với nhau, và hàng hóa, dịch vụ có thể tương thích lẫn nhau về chất lượng, độ tin cậy, an toàn và bảo mật. Các quy trình thương mại số được tinh giản và chi phí thương mại số được giảm thiểu trong khu vực sẽ, đến lượt mình, hỗ trợ tiếp cận các thị trường lớn hơn, qua đó gia tăng các lợi ích tiềm năng từ hiệu quả theo quy mô.</w:t>
      </w:r>
    </w:p>
    <w:p w14:paraId="276B88EF" w14:textId="7B68F2DD" w:rsidR="00B83181" w:rsidRPr="00B83181" w:rsidRDefault="00B83181" w:rsidP="007664A3">
      <w:pPr>
        <w:rPr>
          <w:lang w:val="vi-VN"/>
        </w:rPr>
      </w:pPr>
      <w:r w:rsidRPr="00B83181">
        <w:rPr>
          <w:lang w:val="vi-VN"/>
        </w:rPr>
        <w:t>Đáng chú ý, Kế hoạch tổng thể số ASEAN 2025 (ASEAN Digital Masterplan 2025) nhấn mạnh tầm quan trọng của việc hài hòa hóa tiêu chuẩn trong toàn ASEAN để bảo đảm khả năng tương tác với các khuôn khổ khu vực như Khuôn khổ Quy tắc bảo mật xuyên biên giới APEC (APEC Cross-border Privacy Rules – CBPR) và Quy định Bảo vệ Dữ liệu chung của Liên minh Châu Âu (EU GDPR)</w:t>
      </w:r>
      <w:r w:rsidRPr="00B83181">
        <w:rPr>
          <w:rStyle w:val="FooterChar"/>
        </w:rPr>
        <w:t xml:space="preserve"> </w:t>
      </w:r>
      <w:r w:rsidRPr="004F1D15">
        <w:rPr>
          <w:rStyle w:val="FootnoteReference"/>
        </w:rPr>
        <w:footnoteReference w:id="31"/>
      </w:r>
      <w:r w:rsidRPr="00B83181">
        <w:rPr>
          <w:lang w:val="vi-VN"/>
        </w:rPr>
        <w:t xml:space="preserve">. Kế hoạch này đặc biệt nêu rõ rằng ASEAN đã triển khai những nỗ lực đáng kể trong việc đối chiếu các </w:t>
      </w:r>
      <w:r w:rsidRPr="00B83181">
        <w:rPr>
          <w:lang w:val="vi-VN"/>
        </w:rPr>
        <w:lastRenderedPageBreak/>
        <w:t>tiêu chuẩn và quy định trên toàn khu vực nhằm xác định cơ hội hài hòa hóa, chẳng hạn như việc rà soát pháp luật về thương mại điện tử.</w:t>
      </w:r>
    </w:p>
    <w:p w14:paraId="056E14B2" w14:textId="4C8EEAB0" w:rsidR="00D71024" w:rsidRPr="004F1D15" w:rsidRDefault="00B83181" w:rsidP="007664A3">
      <w:pPr>
        <w:pStyle w:val="Heading2"/>
        <w:rPr>
          <w:lang w:val="en-GB"/>
        </w:rPr>
      </w:pPr>
      <w:r>
        <w:rPr>
          <w:lang w:val="en-GB"/>
        </w:rPr>
        <w:t>Phân</w:t>
      </w:r>
      <w:r>
        <w:rPr>
          <w:lang w:val="vi-VN"/>
        </w:rPr>
        <w:t xml:space="preserve"> loại Tiêu chuẩn </w:t>
      </w:r>
    </w:p>
    <w:p w14:paraId="735CC72C" w14:textId="21EF9B7F" w:rsidR="00A50F82" w:rsidRDefault="00A50F82" w:rsidP="00D8318F">
      <w:pPr>
        <w:rPr>
          <w:lang w:val="vi-VN"/>
        </w:rPr>
      </w:pPr>
      <w:r w:rsidRPr="00A50F82">
        <w:rPr>
          <w:lang w:val="vi-VN"/>
        </w:rPr>
        <w:t>Tiêu chuẩn là các tài liệu đưa ra các quy tắc, hướng dẫn và đặc tính cho sản phẩm, dịch vụ và quy trình</w:t>
      </w:r>
      <w:r>
        <w:rPr>
          <w:rStyle w:val="FootnoteReference"/>
        </w:rPr>
        <w:footnoteReference w:id="32"/>
      </w:r>
      <w:r w:rsidRPr="00A50F82">
        <w:rPr>
          <w:lang w:val="vi-VN"/>
        </w:rPr>
        <w:t>. Chúng thường được xây dựng dựa trên đồng thuận và được phê duyệt bởi các cơ quan tiêu chuẩn được công nhận.</w:t>
      </w:r>
      <w:r>
        <w:rPr>
          <w:rStyle w:val="FootnoteReference"/>
        </w:rPr>
        <w:footnoteReference w:id="33"/>
      </w:r>
    </w:p>
    <w:p w14:paraId="7C68E530" w14:textId="097E99F0" w:rsidR="00447018" w:rsidRDefault="00A50F82" w:rsidP="00DC3CFD">
      <w:pPr>
        <w:rPr>
          <w:lang w:val="vi-VN"/>
        </w:rPr>
      </w:pPr>
      <w:r w:rsidRPr="00A50F82">
        <w:rPr>
          <w:lang w:val="vi-VN"/>
        </w:rPr>
        <w:t>Tương tự, các tiêu chuẩn quốc tế được xây dựng thông qua đồng thuận của các chuyên gia từ nhiều quốc gia và được phê duyệt bởi các tổ chức được công nhận trên toàn cầu, chẳng hạn như Ủy ban Kỹ thuật Điện Quốc tế (IEC) và Liên minh Viễn thông Quốc tế (ITU)</w:t>
      </w:r>
      <w:r w:rsidRPr="00A50F82">
        <w:rPr>
          <w:rStyle w:val="FooterChar"/>
        </w:rPr>
        <w:t xml:space="preserve"> </w:t>
      </w:r>
      <w:r>
        <w:rPr>
          <w:rStyle w:val="FootnoteReference"/>
        </w:rPr>
        <w:footnoteReference w:id="34"/>
      </w:r>
      <w:r w:rsidRPr="00A50F82">
        <w:rPr>
          <w:lang w:val="vi-VN"/>
        </w:rPr>
        <w:t>. Các tiêu chuẩn quốc tế này tuân theo các nguyên tắc do Ủy ban Hàng rào Kỹ thuật đối với Thương mại (TBT) của WTO thiết lập, bảo đảm rằng các tiêu chuẩn, hướng dẫn và khuyến nghị phù hợp với Điều 2, Điều 5 và Phụ lục 3 của Hiệp định TBT của WTO</w:t>
      </w:r>
      <w:r w:rsidRPr="00E07230">
        <w:rPr>
          <w:vertAlign w:val="superscript"/>
        </w:rPr>
        <w:footnoteReference w:id="35"/>
      </w:r>
      <w:r w:rsidRPr="00A50F82">
        <w:rPr>
          <w:lang w:val="vi-VN"/>
        </w:rPr>
        <w:t>.</w:t>
      </w:r>
    </w:p>
    <w:p w14:paraId="4A36BD57" w14:textId="47C186A1" w:rsidR="00A50F82" w:rsidRDefault="00A50F82" w:rsidP="00DC3CFD">
      <w:pPr>
        <w:rPr>
          <w:lang w:val="vi-VN"/>
        </w:rPr>
      </w:pPr>
      <w:r w:rsidRPr="00A50F82">
        <w:rPr>
          <w:lang w:val="vi-VN"/>
        </w:rPr>
        <w:t>Ngoài các tiêu chuẩn quốc tế, những tiêu chuẩn được ban hành bởi chính phủ quốc gia/khu vực, các tổ chức đa phương và các hiệp hội ngành cũng thường được sử dụng. Ví dụ, các tiêu chuẩn do Ủy ban Kinh tế Liên Hợp Quốc về châu Âu (UNECE), Trung tâm Liên Hợp Quốc về Tạo thuận lợi Thương mại và Kinh doanh Điện tử (UN/CEFACT) và Viện Tiêu chuẩn và Công nghệ Quốc gia Hoa Kỳ (NIST) ban hành thường được tham chiếu trong nhiều lĩnh vực thương mại số.</w:t>
      </w:r>
    </w:p>
    <w:p w14:paraId="729D6BB3" w14:textId="3264CF98" w:rsidR="00A50F82" w:rsidRDefault="00A50F82" w:rsidP="00DC3CFD">
      <w:pPr>
        <w:rPr>
          <w:lang w:val="vi-VN"/>
        </w:rPr>
      </w:pPr>
      <w:r w:rsidRPr="00A50F82">
        <w:rPr>
          <w:lang w:val="vi-VN"/>
        </w:rPr>
        <w:t>Tính chất của các tiêu chuẩn có thể khác biệt đáng kể, và số lượng các bên tham gia vào quá trình xây dựng và đạt đồng thuận (cá nhân, tổ chức, ngành hoặc quốc gia) cũng có thể thay đổi.</w:t>
      </w:r>
    </w:p>
    <w:p w14:paraId="2CF4B6BF" w14:textId="74DC1FDC" w:rsidR="00A50F82" w:rsidRDefault="00A50F82" w:rsidP="00DC3CFD">
      <w:pPr>
        <w:rPr>
          <w:lang w:val="vi-VN"/>
        </w:rPr>
      </w:pPr>
      <w:r w:rsidRPr="00A50F82">
        <w:rPr>
          <w:lang w:val="vi-VN"/>
        </w:rPr>
        <w:t>Trong khi một số tiêu chuẩn chủ yếu đóng vai trò là hướng dẫn tư vấn và dựa trên việc tuân thủ tự nguyện, các tiêu chuẩn khác lại được quy định trong các văn bản pháp luật, luật và các bộ quy tắc ngành do chính phủ phê duyệt, khiến chúng trở nên ràng buộc pháp lý. Các tiêu chuẩn mang tính ràng buộc pháp lý thường được thiết lập bởi các cơ quan tiêu chuẩn quốc gia hoặc các cơ quan quản lý, và thường dựa trên các tiêu chuẩn quốc tế đang được áp dụng rộng rãi để điều chỉnh thị trường trong nước. Ngược lại, các tiêu chuẩn không ràng buộc pháp lý có thể do ngành dẫn dắt và nhằm định hướng các thông lệ tốt nhất.</w:t>
      </w:r>
    </w:p>
    <w:p w14:paraId="7A8FD5A2" w14:textId="577F4A24" w:rsidR="00774710" w:rsidRDefault="00774710" w:rsidP="00DC3CFD">
      <w:pPr>
        <w:rPr>
          <w:rStyle w:val="FooterChar"/>
          <w:lang w:val="vi-VN"/>
        </w:rPr>
      </w:pPr>
      <w:r w:rsidRPr="00774710">
        <w:rPr>
          <w:lang w:val="vi-VN"/>
        </w:rPr>
        <w:t xml:space="preserve">Ở cấp độ khu vực ASEAN, tiêu chuẩn và đánh giá sự phù hợp do Ủy ban Tư vấn về Tiêu chuẩn và Chất lượng ASEAN (ACCSQ) giám sát. ACCSQ, thông qua các nhóm công tác và nhóm sản phẩm khác nhau, bao gồm Nhóm Công tác về Tiêu chuẩn và Nhóm Công tác về Tiêu chuẩn và Đánh giá sự phù hợp trong Thương mại số (DTSCWG), đã tích cực thúc đẩy hài hòa hóa tiêu chuẩn quốc gia với </w:t>
      </w:r>
      <w:r w:rsidRPr="00774710">
        <w:rPr>
          <w:lang w:val="vi-VN"/>
        </w:rPr>
        <w:lastRenderedPageBreak/>
        <w:t>tiêu chuẩn quốc tế trong thương mại số. ACCSQ cũng giám sát việc xây dựng và triển khai các thỏa thuận công nhận lẫn nhau (MRAs) về kết quả đánh giá sự phù hợp trong các lĩnh vực thuộc phạm vi quản lý.</w:t>
      </w:r>
      <w:r w:rsidRPr="00995647">
        <w:rPr>
          <w:rStyle w:val="FootnoteReference"/>
        </w:rPr>
        <w:footnoteReference w:id="36"/>
      </w:r>
    </w:p>
    <w:p w14:paraId="42169636" w14:textId="78B2C643" w:rsidR="00774710" w:rsidRPr="00774710" w:rsidRDefault="00774710" w:rsidP="00DC3CFD">
      <w:pPr>
        <w:rPr>
          <w:lang w:val="vi-VN"/>
        </w:rPr>
      </w:pPr>
      <w:r w:rsidRPr="00774710">
        <w:rPr>
          <w:lang w:val="vi-VN"/>
        </w:rPr>
        <w:t>Dựa trên những nỗ lực của ACCSQ trong ba thập kỷ qua, việc đánh giá và ưu tiên các trọng tâm hiện tại và mới nổi trong các lĩnh vực thương mại số là hết sức cần thiết nhằm thúc đẩy chương trình nghị sự Kinh tế số ASEAN. Trước sự phát triển nhanh chóng của công nghệ số, cần xem xét cả tiêu chuẩn ràng buộc pháp lý và tiêu chuẩn không ràng buộc pháp lý để cân bằng giữa nhu cầu hướng dẫn kịp thời và yêu cầu tuân thủ có thể thực thi. Báo cáo này sẽ tập trung chủ yếu vào các tiêu chuẩn quốc tế mang tính ràng buộc pháp lý và được áp dụng rộng rãi (ví dụ: ISO/IEC, NIST, UNCITRAL). Trong các lĩnh vực mới và đang nổi lên, một số thực tiễn của ngành cũng có thể được xem xét nhằm thúc đẩy hài hòa hóa rộng rãi và củng cố khả năng thích ứng trong tương lai.</w:t>
      </w:r>
    </w:p>
    <w:p w14:paraId="6F5C717F" w14:textId="79ED16A7" w:rsidR="00235128" w:rsidRPr="00516087" w:rsidRDefault="001C2B6C" w:rsidP="003A2E55">
      <w:pPr>
        <w:pStyle w:val="Heading2"/>
        <w:rPr>
          <w:lang w:val="en-GB"/>
        </w:rPr>
      </w:pPr>
      <w:r>
        <w:rPr>
          <w:lang w:val="en-GB"/>
        </w:rPr>
        <w:t xml:space="preserve">Định nghĩa về việc chấp nhận, hài hòa hóa và thừa nhận lẫn nhau </w:t>
      </w:r>
    </w:p>
    <w:p w14:paraId="289B618F" w14:textId="755185A9" w:rsidR="003355EC" w:rsidRDefault="001A0BD1" w:rsidP="00A76D24">
      <w:pPr>
        <w:rPr>
          <w:lang w:val="vi-VN"/>
        </w:rPr>
      </w:pPr>
      <w:r>
        <w:t>Trong</w:t>
      </w:r>
      <w:r>
        <w:rPr>
          <w:lang w:val="vi-VN"/>
        </w:rPr>
        <w:t xml:space="preserve"> hơn một thập kỷ, ASEAN đã thúc đẩy việc tăng cường hài hòa hóa tiêu chuẩn để tạo thuận lợi cho thương mại trong khu vực.</w:t>
      </w:r>
    </w:p>
    <w:p w14:paraId="2C1EFB2A" w14:textId="140F08B8" w:rsidR="001A0BD1" w:rsidRDefault="001A0BD1" w:rsidP="00477849">
      <w:pPr>
        <w:rPr>
          <w:lang w:val="vi-VN"/>
        </w:rPr>
      </w:pPr>
      <w:r w:rsidRPr="001A0BD1">
        <w:rPr>
          <w:lang w:val="vi-VN"/>
        </w:rPr>
        <w:t>Nỗ lực này bắt đầu nhằm hỗ trợ Khu vực Mậu dịch Tự do ASEAN (AFTA) và được củng cố thêm với Hiệp định Thương mại Hàng hóa ASEAN (ATIGA), hướng tới xây dựng một thị trường và cơ sở sản xuất thống nhất để tạo thuận lợi cho dòng chảy hàng hóa tự do và tăng cường hội nhập kinh tế trong ASEAN.</w:t>
      </w:r>
      <w:r w:rsidRPr="00516087">
        <w:rPr>
          <w:rStyle w:val="FootnoteReference"/>
        </w:rPr>
        <w:footnoteReference w:id="37"/>
      </w:r>
      <w:r w:rsidRPr="001A0BD1">
        <w:rPr>
          <w:lang w:val="vi-VN"/>
        </w:rPr>
        <w:t xml:space="preserve"> Mục tiêu này được mở rộng trong Kế hoạch Tổng thể Cộng đồng Kinh tế ASEAN 2025 (AEC 2025), trong đó nhấn mạnh tầm quan trọng của việc giảm bảo hộ thương mại và chi phí tuân thủ khi xử lý các Biện pháp Phi thuế quan (NTM).</w:t>
      </w:r>
      <w:r w:rsidR="00477849" w:rsidRPr="00516087">
        <w:rPr>
          <w:rStyle w:val="FootnoteReference"/>
        </w:rPr>
        <w:footnoteReference w:id="38"/>
      </w:r>
      <w:r w:rsidR="00477849">
        <w:rPr>
          <w:lang w:val="vi-VN"/>
        </w:rPr>
        <w:t xml:space="preserve"> </w:t>
      </w:r>
      <w:r w:rsidR="00477849" w:rsidRPr="00477849">
        <w:rPr>
          <w:lang w:val="vi-VN"/>
        </w:rPr>
        <w:t xml:space="preserve">Đặc biệt, AEC 2025 đề xuất một số biện pháp chiến lược để đạt được mục tiêu trên, bao </w:t>
      </w:r>
      <w:r w:rsidR="00477849">
        <w:rPr>
          <w:lang w:val="vi-VN"/>
        </w:rPr>
        <w:t xml:space="preserve">gồm: </w:t>
      </w:r>
      <w:r w:rsidR="00477849" w:rsidRPr="00477849">
        <w:rPr>
          <w:lang w:val="vi-VN"/>
        </w:rPr>
        <w:t>(1) đẩy nhanh việc triển khai và hài hòa hóa tiêu chuẩn và quy chuẩn kỹ thuật,</w:t>
      </w:r>
      <w:r w:rsidR="00477849">
        <w:rPr>
          <w:lang w:val="vi-VN"/>
        </w:rPr>
        <w:t xml:space="preserve"> </w:t>
      </w:r>
      <w:r w:rsidR="00477849" w:rsidRPr="00477849">
        <w:rPr>
          <w:lang w:val="vi-VN"/>
        </w:rPr>
        <w:t>(2) nâng cao chất lượng và năng lực đánh giá sự phù hợp,</w:t>
      </w:r>
      <w:r w:rsidR="00477849">
        <w:rPr>
          <w:lang w:val="vi-VN"/>
        </w:rPr>
        <w:t xml:space="preserve"> </w:t>
      </w:r>
      <w:r w:rsidR="00477849" w:rsidRPr="00477849">
        <w:rPr>
          <w:lang w:val="vi-VN"/>
        </w:rPr>
        <w:t xml:space="preserve">(3) tăng cường trao đổi thông tin về tiêu chuẩn và quy trình đánh giá sự phù </w:t>
      </w:r>
      <w:r w:rsidR="00477849">
        <w:rPr>
          <w:lang w:val="vi-VN"/>
        </w:rPr>
        <w:t>hợp.</w:t>
      </w:r>
      <w:r w:rsidR="00477849" w:rsidRPr="00516087">
        <w:rPr>
          <w:rStyle w:val="FootnoteReference"/>
        </w:rPr>
        <w:footnoteReference w:id="39"/>
      </w:r>
    </w:p>
    <w:p w14:paraId="61E2F7EA" w14:textId="043061AE" w:rsidR="00477849" w:rsidRPr="001A0BD1" w:rsidRDefault="00477849" w:rsidP="00321816">
      <w:pPr>
        <w:rPr>
          <w:lang w:val="vi-VN"/>
        </w:rPr>
      </w:pPr>
      <w:r w:rsidRPr="00477849">
        <w:rPr>
          <w:lang w:val="vi-VN"/>
        </w:rPr>
        <w:t>Dựa trên mục tiêu bao trùm này, Hướng dẫn ASEAN về Tiêu chuẩn, Quy chuẩn kỹ thuật và Thủ tục Đánh giá sự phù hợp (AG-STRACAP) đã được xây dựng. Là một tài liệu có tính nền tảng, AG-STRACAP cung cấp hướng dẫn về “các chính sách của ASEAN liên quan đến hài hòa hóa tiêu chuẩn, đo lường, đánh giá sự phù hợp, cũng như việc triển khai quy chuẩn kỹ thuật, giám sát sau lưu thông, thỏa thuận công nhận lẫn nhau và các chế độ quản lý hài hòa của ASEAN”.</w:t>
      </w:r>
      <w:r w:rsidR="00321816">
        <w:rPr>
          <w:rStyle w:val="FootnoteReference"/>
        </w:rPr>
        <w:footnoteReference w:id="40"/>
      </w:r>
      <w:r w:rsidR="00321816">
        <w:rPr>
          <w:lang w:val="vi-VN"/>
        </w:rPr>
        <w:t xml:space="preserve"> </w:t>
      </w:r>
      <w:r w:rsidR="00321816" w:rsidRPr="00321816">
        <w:rPr>
          <w:lang w:val="vi-VN"/>
        </w:rPr>
        <w:t xml:space="preserve">Theo sau AG-STRACAP, </w:t>
      </w:r>
      <w:r w:rsidR="00321816" w:rsidRPr="00321816">
        <w:rPr>
          <w:lang w:val="vi-VN"/>
        </w:rPr>
        <w:lastRenderedPageBreak/>
        <w:t>Hướng dẫn ASEAN về Công nhận và Đánh giá sự phù hợp</w:t>
      </w:r>
      <w:r w:rsidR="002543D1">
        <w:rPr>
          <w:rStyle w:val="FootnoteReference"/>
        </w:rPr>
        <w:footnoteReference w:id="41"/>
      </w:r>
      <w:r w:rsidR="00321816" w:rsidRPr="00321816">
        <w:rPr>
          <w:lang w:val="vi-VN"/>
        </w:rPr>
        <w:t>, Hướng dẫn ASEAN về Hài hòa hóa Tiêu chuẩn, và Hướng dẫn xây dựng Thỏa thuận Công nhận Lẫn nhau (MRA)</w:t>
      </w:r>
      <w:r w:rsidR="002543D1">
        <w:rPr>
          <w:rStyle w:val="FootnoteReference"/>
        </w:rPr>
        <w:footnoteReference w:id="42"/>
      </w:r>
      <w:r w:rsidR="002543D1">
        <w:t xml:space="preserve"> </w:t>
      </w:r>
      <w:r w:rsidR="00321816" w:rsidRPr="00321816">
        <w:rPr>
          <w:lang w:val="vi-VN"/>
        </w:rPr>
        <w:t>đã được phát triển nhằm hỗ trợ các AMS trong triển khai các quy định của AG-STRACAP.</w:t>
      </w:r>
      <w:r w:rsidR="00321816">
        <w:rPr>
          <w:lang w:val="vi-VN"/>
        </w:rPr>
        <w:t xml:space="preserve"> </w:t>
      </w:r>
      <w:r w:rsidR="00321816" w:rsidRPr="00321816">
        <w:rPr>
          <w:lang w:val="vi-VN"/>
        </w:rPr>
        <w:t xml:space="preserve">Trong phần mở đầu này, báo cáo sẽ sử dụng các định nghĩa sau được tóm lược từ các hướng dẫn nêu </w:t>
      </w:r>
      <w:r w:rsidR="00321816">
        <w:rPr>
          <w:lang w:val="vi-VN"/>
        </w:rPr>
        <w:t>trên.</w:t>
      </w:r>
    </w:p>
    <w:p w14:paraId="242C6BFD" w14:textId="0BB0143B" w:rsidR="002543D1" w:rsidRPr="002543D1" w:rsidRDefault="00EE1B55" w:rsidP="002543D1">
      <w:pPr>
        <w:pStyle w:val="ListParagraph"/>
        <w:numPr>
          <w:ilvl w:val="0"/>
          <w:numId w:val="42"/>
        </w:numPr>
        <w:rPr>
          <w:rFonts w:ascii="Arial" w:hAnsi="Arial"/>
          <w:lang w:val="en-GB"/>
        </w:rPr>
      </w:pPr>
      <w:r>
        <w:rPr>
          <w:rFonts w:ascii="Arial" w:hAnsi="Arial"/>
          <w:b/>
          <w:lang w:val="en-GB"/>
        </w:rPr>
        <w:t>Th</w:t>
      </w:r>
      <w:r>
        <w:rPr>
          <w:rFonts w:ascii="Arial" w:hAnsi="Arial"/>
          <w:b/>
          <w:lang w:val="vi-VN"/>
        </w:rPr>
        <w:t>ừa nhận các</w:t>
      </w:r>
      <w:r w:rsidR="00FF7240">
        <w:rPr>
          <w:rFonts w:ascii="Arial" w:hAnsi="Arial"/>
          <w:b/>
          <w:lang w:val="vi-VN"/>
        </w:rPr>
        <w:t xml:space="preserve"> tiêu chuẩn khu vực/quốc tế</w:t>
      </w:r>
      <w:r w:rsidR="009A647E" w:rsidRPr="00516087">
        <w:rPr>
          <w:rFonts w:ascii="Arial" w:hAnsi="Arial"/>
          <w:lang w:val="en-GB"/>
        </w:rPr>
        <w:t>:</w:t>
      </w:r>
      <w:r w:rsidR="00B74EDB" w:rsidRPr="00516087">
        <w:rPr>
          <w:rFonts w:ascii="Arial" w:hAnsi="Arial"/>
          <w:lang w:val="en-GB"/>
        </w:rPr>
        <w:t xml:space="preserve"> </w:t>
      </w:r>
      <w:r w:rsidR="002543D1" w:rsidRPr="002543D1">
        <w:rPr>
          <w:rFonts w:ascii="Arial" w:hAnsi="Arial"/>
          <w:lang w:val="en-GB"/>
        </w:rPr>
        <w:t>Việc chấp nhận (adoption) một tiêu chuẩn khu vực hoặc quốc tế đề cập đến việc ban hành một văn bản chuẩn tắc ở cấp khu vực hoặc quốc gia dựa trên một tiêu chuẩn tương ứng của khu vực/quốc tế, hoặc việc công nhận tiêu chuẩn khu vực/quốc tế đó có giá trị tương đương với văn bản chuẩn tắc quốc gia, với mọi điểm sai khác được xác định rõ.</w:t>
      </w:r>
      <w:r>
        <w:rPr>
          <w:rFonts w:ascii="Arial" w:hAnsi="Arial"/>
          <w:lang w:val="vi-VN"/>
        </w:rPr>
        <w:t xml:space="preserve"> </w:t>
      </w:r>
      <w:r w:rsidRPr="00EE1B55">
        <w:rPr>
          <w:rFonts w:ascii="Arial" w:hAnsi="Arial"/>
          <w:lang w:val="vi-VN"/>
        </w:rPr>
        <w:t>Việc chấp nhận tiêu chuẩn thường được thực hiện bởi Các Cơ quan Tiêu chuẩn Quốc gia (NSB).</w:t>
      </w:r>
      <w:r w:rsidRPr="00516087">
        <w:rPr>
          <w:rStyle w:val="FootnoteReference"/>
          <w:rFonts w:ascii="Arial" w:hAnsi="Arial"/>
          <w:lang w:val="en-GB"/>
        </w:rPr>
        <w:footnoteReference w:id="43"/>
      </w:r>
    </w:p>
    <w:p w14:paraId="64C8B6DD" w14:textId="29C14B25" w:rsidR="00FC1E4B" w:rsidRPr="00516087" w:rsidRDefault="00FF7240" w:rsidP="00FF6387">
      <w:pPr>
        <w:pStyle w:val="ListParagraph"/>
        <w:numPr>
          <w:ilvl w:val="0"/>
          <w:numId w:val="42"/>
        </w:numPr>
        <w:rPr>
          <w:rFonts w:ascii="Arial" w:hAnsi="Arial"/>
          <w:lang w:val="en-GB"/>
        </w:rPr>
      </w:pPr>
      <w:r>
        <w:rPr>
          <w:rFonts w:ascii="Arial" w:hAnsi="Arial"/>
          <w:b/>
          <w:lang w:val="en-GB"/>
        </w:rPr>
        <w:t>Các</w:t>
      </w:r>
      <w:r>
        <w:rPr>
          <w:rFonts w:ascii="Arial" w:hAnsi="Arial"/>
          <w:b/>
          <w:lang w:val="vi-VN"/>
        </w:rPr>
        <w:t xml:space="preserve"> tiêu chuẩn hài hòa</w:t>
      </w:r>
      <w:r w:rsidR="00966CA1" w:rsidRPr="00516087">
        <w:rPr>
          <w:rFonts w:ascii="Arial" w:hAnsi="Arial"/>
          <w:lang w:val="en-GB"/>
        </w:rPr>
        <w:t>:</w:t>
      </w:r>
      <w:r w:rsidR="00A3497B" w:rsidRPr="00516087">
        <w:rPr>
          <w:rFonts w:ascii="Arial" w:hAnsi="Arial"/>
          <w:lang w:val="en-GB"/>
        </w:rPr>
        <w:t xml:space="preserve"> </w:t>
      </w:r>
      <w:r w:rsidR="005042DF" w:rsidRPr="005042DF">
        <w:rPr>
          <w:rFonts w:ascii="Arial" w:hAnsi="Arial"/>
          <w:lang w:val="en-GB"/>
        </w:rPr>
        <w:t>Tiêu chuẩn hài hòa là các tiêu chuẩn về cùng một chủ đề được phê duyệt bởi các NSB của các AMS, và thiết lập khả năng thay thế cho nhau của sản phẩm, quy trình và dịch vụ; hoặc thiết lập sự hiểu biết chung về kết quả thử nghiệm hoặc thông tin được cung cấp dựa trên Tiêu chuẩn Tham chiếu (Reference Standards) đã được công nhận. Ngoài ra, tiêu chuẩn hài hòa cũng có thể là tiêu chuẩn tham chiếu được các AMS sử dụng nhưng chưa được chấp nhận thành tiêu chuẩn quốc gia. Trong ngữ cảnh này, Tiêu chuẩn tham chiếu được định nghĩa là các tiêu chuẩn quốc tế hoặc các tiêu chuẩn khác đã được công bố và được công nhận là cơ sở để hài hòa hóa trong ASEAN.</w:t>
      </w:r>
      <w:r w:rsidR="005042DF" w:rsidRPr="00516087">
        <w:rPr>
          <w:rStyle w:val="FootnoteReference"/>
          <w:rFonts w:ascii="Arial" w:hAnsi="Arial"/>
          <w:lang w:val="en-GB"/>
        </w:rPr>
        <w:footnoteReference w:id="44"/>
      </w:r>
    </w:p>
    <w:p w14:paraId="466D350E" w14:textId="27EF3651" w:rsidR="003A2E55" w:rsidRPr="00516087" w:rsidRDefault="000202CC" w:rsidP="00FF6387">
      <w:pPr>
        <w:pStyle w:val="ListParagraph"/>
        <w:numPr>
          <w:ilvl w:val="0"/>
          <w:numId w:val="42"/>
        </w:numPr>
        <w:rPr>
          <w:rFonts w:ascii="Arial" w:hAnsi="Arial"/>
          <w:lang w:val="en-GB"/>
        </w:rPr>
      </w:pPr>
      <w:r>
        <w:rPr>
          <w:rFonts w:ascii="Arial" w:hAnsi="Arial"/>
          <w:b/>
          <w:lang w:val="en-GB"/>
        </w:rPr>
        <w:t>Công</w:t>
      </w:r>
      <w:r>
        <w:rPr>
          <w:rFonts w:ascii="Arial" w:hAnsi="Arial"/>
          <w:b/>
          <w:lang w:val="vi-VN"/>
        </w:rPr>
        <w:t xml:space="preserve"> nhận lãn nhau kết quả đánh giá sự phù hợp</w:t>
      </w:r>
      <w:r w:rsidR="00B0523E" w:rsidRPr="00516087">
        <w:rPr>
          <w:rFonts w:ascii="Arial" w:hAnsi="Arial"/>
          <w:lang w:val="en-GB"/>
        </w:rPr>
        <w:t xml:space="preserve">: </w:t>
      </w:r>
      <w:r w:rsidR="0086304A" w:rsidRPr="0086304A">
        <w:rPr>
          <w:rFonts w:ascii="Arial" w:hAnsi="Arial"/>
          <w:lang w:val="en-GB"/>
        </w:rPr>
        <w:t>Công nhận lẫn nhau kết quả đánh giá sự phù hợp đề cập đến việc chấp nhận các quy trình (ví dụ: báo cáo thử nghiệm, chứng nhận hợp chuẩn)</w:t>
      </w:r>
      <w:r w:rsidR="0086304A" w:rsidRPr="00516087">
        <w:rPr>
          <w:rStyle w:val="FootnoteReference"/>
          <w:rFonts w:ascii="Arial" w:hAnsi="Arial"/>
          <w:lang w:val="en-GB"/>
        </w:rPr>
        <w:footnoteReference w:id="45"/>
      </w:r>
      <w:r w:rsidR="0086304A" w:rsidRPr="0086304A">
        <w:rPr>
          <w:rFonts w:ascii="Arial" w:hAnsi="Arial"/>
          <w:lang w:val="en-GB"/>
        </w:rPr>
        <w:t xml:space="preserve"> được sử dụng để xác minh sự tuân thủ đối với tiêu chuẩn của nước nhập khẩu. Điều này không hàm ý rằng bản thân các tiêu chuẩn được công nhận lẫn nhau; thay vào đó, nước nhập khẩu công nhận năng lực của các cơ quan đánh giá sự phù hợp của nước xuất khẩu trong việc thực hiện thử nghiệm hoặc chứng nhận theo tiêu chuẩn của nước nhập khẩu.</w:t>
      </w:r>
    </w:p>
    <w:p w14:paraId="421B7607" w14:textId="15C5A4EF" w:rsidR="007D0E7E" w:rsidRPr="00516087" w:rsidRDefault="00A25524" w:rsidP="007664A3">
      <w:pPr>
        <w:pStyle w:val="Heading1"/>
        <w:rPr>
          <w:lang w:val="en-GB"/>
        </w:rPr>
      </w:pPr>
      <w:bookmarkStart w:id="43" w:name="_Toc177671532"/>
      <w:bookmarkStart w:id="44" w:name="_Toc177672228"/>
      <w:bookmarkStart w:id="45" w:name="_Toc177677806"/>
      <w:bookmarkEnd w:id="43"/>
      <w:bookmarkEnd w:id="44"/>
      <w:bookmarkEnd w:id="45"/>
      <w:r>
        <w:rPr>
          <w:lang w:val="en-GB"/>
        </w:rPr>
        <w:lastRenderedPageBreak/>
        <w:t>Các lợi ích kinh tế tiềm năng từ việc hài hòa hóa các Tiêu chuẩn Thương mại Số (</w:t>
      </w:r>
      <w:r w:rsidR="00F873B7">
        <w:rPr>
          <w:lang w:val="en-GB"/>
        </w:rPr>
        <w:t>TCTMS</w:t>
      </w:r>
      <w:r>
        <w:rPr>
          <w:lang w:val="en-GB"/>
        </w:rPr>
        <w:t xml:space="preserve">) trong ASEAN </w:t>
      </w:r>
    </w:p>
    <w:p w14:paraId="0ADA0C08" w14:textId="6D0AC6BA" w:rsidR="00EF5C46" w:rsidRPr="00516087" w:rsidRDefault="00EF5C46" w:rsidP="00A624F8">
      <w:r w:rsidRPr="00EF5C46">
        <w:t xml:space="preserve">Phần này trình bày phân tích về các lợi ích kinh tế tiềm năng có được thông qua việc hài hòa hóa </w:t>
      </w:r>
      <w:r w:rsidR="00F873B7">
        <w:t>TCTMS</w:t>
      </w:r>
      <w:r w:rsidRPr="00EF5C46">
        <w:t xml:space="preserve"> trong ASEAN. Thông qua việc giảm chi phí thương mại bằng cách tạo thuận lợi cho các giao dịch xuyên biên giới, </w:t>
      </w:r>
      <w:r w:rsidR="00F873B7">
        <w:t>TCTMS</w:t>
      </w:r>
      <w:r w:rsidRPr="00EF5C46">
        <w:t xml:space="preserve"> được hài hòa hóa có thể thúc đẩy những lợi ích kinh tế đáng kể. Trong bối cảnh ASEAN, nơi thương mại nội khối chiếm tới 21% GDP,</w:t>
      </w:r>
      <w:r w:rsidRPr="00516087">
        <w:rPr>
          <w:rStyle w:val="FootnoteReference"/>
        </w:rPr>
        <w:footnoteReference w:id="46"/>
      </w:r>
      <w:r w:rsidRPr="00EF5C46">
        <w:t xml:space="preserve"> việc hài hòa hóa </w:t>
      </w:r>
      <w:r w:rsidR="00F873B7">
        <w:t>TCTMS</w:t>
      </w:r>
      <w:r w:rsidRPr="00EF5C46">
        <w:t xml:space="preserve"> đặc biệt quan trọng nhằm khai thác trọn vẹn tiềm năng của thương mại đối với tăng trưởng kinh tế thông qua hội nhập số. Các nỗ lực hài hòa hóa trước đây, như cơ chế Cửa sổ Hải quan Một điểm ASEAN (ASW), đã chứng minh hiệu quả trong việc đơn giản hóa giao dịch thương mại, tạo ra khoản tiết kiệm chi phí ước tính khoảng 150 triệu USD vào năm 2022.</w:t>
      </w:r>
      <w:r w:rsidRPr="00516087">
        <w:rPr>
          <w:rStyle w:val="FootnoteReference"/>
        </w:rPr>
        <w:footnoteReference w:id="47"/>
      </w:r>
      <w:r w:rsidRPr="00EF5C46">
        <w:t xml:space="preserve"> Chương 3 sẽ trình bày chi tiết hơn các nỗ lực của các quốc gia thành viên ASEAN (AMS) trong hài hòa hóa </w:t>
      </w:r>
      <w:r w:rsidR="00F873B7">
        <w:t>TCTMS</w:t>
      </w:r>
      <w:r w:rsidRPr="00EF5C46">
        <w:t xml:space="preserve"> và tác động của chúng đối với thương mại số.</w:t>
      </w:r>
    </w:p>
    <w:p w14:paraId="48777737" w14:textId="4BDDFD76" w:rsidR="00EF5C46" w:rsidRDefault="00EF5C46" w:rsidP="00A624F8">
      <w:r w:rsidRPr="00EF5C46">
        <w:t>Nghiên cứu cho thấy việc hài hòa hóa tiêu chuẩn nói chung có thể thúc đẩy tăng trưởng kinh tế và năng suất.</w:t>
      </w:r>
      <w:r w:rsidRPr="002425DE">
        <w:rPr>
          <w:vertAlign w:val="superscript"/>
        </w:rPr>
        <w:footnoteReference w:id="48"/>
      </w:r>
      <w:r w:rsidRPr="00EF5C46">
        <w:t xml:space="preserve"> Tuy nhiên, vẫn còn hạn chế các nghiên cứu thực nghiệm về tác động của việc hài hòa hóa </w:t>
      </w:r>
      <w:r w:rsidR="00F873B7">
        <w:t>TCTMS</w:t>
      </w:r>
      <w:r w:rsidRPr="00EF5C46">
        <w:t xml:space="preserve">, do một số lý do. Thứ nhất, các nghiên cứu thường tập trung vào tiêu chuẩn sản phẩm, trong khi </w:t>
      </w:r>
      <w:r w:rsidR="00F873B7">
        <w:t>TCTMS</w:t>
      </w:r>
      <w:r w:rsidRPr="00EF5C46">
        <w:t xml:space="preserve"> liên quan đến các khía cạnh mang tính xuyên suốt như xác thực điện tử, thanh toán điện tử và danh tính số</w:t>
      </w:r>
      <w:r w:rsidR="00907671" w:rsidRPr="002425DE">
        <w:rPr>
          <w:vertAlign w:val="superscript"/>
        </w:rPr>
        <w:footnoteReference w:id="49"/>
      </w:r>
      <w:r w:rsidRPr="00EF5C46">
        <w:t xml:space="preserve"> </w:t>
      </w:r>
      <w:r w:rsidR="00907671">
        <w:t>-</w:t>
      </w:r>
      <w:r w:rsidRPr="00EF5C46">
        <w:t xml:space="preserve"> vốn khó tách biệt tác động cụ thể. Thứ hai, tác động của việc hài hòa hóa </w:t>
      </w:r>
      <w:r w:rsidR="00F873B7">
        <w:t>TCTMS</w:t>
      </w:r>
      <w:r w:rsidRPr="00EF5C46">
        <w:t xml:space="preserve"> mang tính gián tiếp và phức tạp hơn về mặt hành vi của các bên liên quan so với các biện pháp chính sách trực tiếp như thuế quan. Thứ ba, việc thiếu dữ liệu nhất quán về mức độ triển khai </w:t>
      </w:r>
      <w:r w:rsidR="00F873B7">
        <w:t>TCTMS</w:t>
      </w:r>
      <w:r w:rsidRPr="00EF5C46">
        <w:t xml:space="preserve"> hài hòa hóa ở cấp độ doanh nghiệp trong từng nền kinh tế khiến phân tích thực nghiệm toàn diện gặp nhiều khó khăn.</w:t>
      </w:r>
    </w:p>
    <w:p w14:paraId="6475F0DA" w14:textId="2A3FF12E" w:rsidR="00F72080" w:rsidRDefault="00F72080" w:rsidP="00A624F8">
      <w:r w:rsidRPr="00F72080">
        <w:t xml:space="preserve">Trên cơ sở đó, phân tích này hướng tới cung cấp thêm bằng chứng thực nghiệm nhằm củng cố cơ sở cho việc các AMS đẩy nhanh nỗ lực hài hòa hóa </w:t>
      </w:r>
      <w:r w:rsidR="00F873B7">
        <w:t>TCTMS</w:t>
      </w:r>
      <w:r w:rsidRPr="00F72080">
        <w:t xml:space="preserve">. Kết quả cho thấy việc triển khai thành công </w:t>
      </w:r>
      <w:r w:rsidR="00F873B7">
        <w:t>TCTMS</w:t>
      </w:r>
      <w:r w:rsidRPr="00F72080">
        <w:t xml:space="preserve"> hài hòa hóa trong các lĩnh vực hóa đơn điện tử (e-invoicing) và thanh toán số có thể đóng góp vào mức tăng xuất khẩu lên đến 9,9%. Sự gia tăng khối lượng thương mại ở mức này trong ASEAN có thể chuyển hóa thành mức tăng GDP khoảng 158 tỷ USD (tương đương 4,5% GDP khu vực năm 2022), và tiềm năng hỗ trợ khoảng 10 triệu việc làm trong toàn khối AMS.</w:t>
      </w:r>
      <w:r>
        <w:t xml:space="preserve"> </w:t>
      </w:r>
      <w:r w:rsidRPr="00F72080">
        <w:t xml:space="preserve">Trong khi tác động của </w:t>
      </w:r>
      <w:r w:rsidR="00F873B7">
        <w:t>TCTMS</w:t>
      </w:r>
      <w:r w:rsidRPr="00F72080">
        <w:t xml:space="preserve"> hài hòa hóa đối với các lĩnh vực thương mại số khác (ví dụ: xác thực điện tử, thương mại phi giấy tờ) chưa được quan sát đầy đủ, các nghiên cứu khác đã cung cấp bằng chứng về tác động tích cực của các biện pháp tạo thuận lợi thương mại trong những lĩnh vực này đối với dòng chảy thương </w:t>
      </w:r>
      <w:r w:rsidRPr="00F72080">
        <w:lastRenderedPageBreak/>
        <w:t xml:space="preserve">mại và nền kinh tế rộng hơn — từ đó củng cố tính hợp lý của lợi ích kinh tế mà </w:t>
      </w:r>
      <w:r w:rsidR="00F873B7">
        <w:t>TCTMS</w:t>
      </w:r>
      <w:r w:rsidRPr="00F72080">
        <w:t xml:space="preserve"> hài hòa hóa mang lại. APEC ước tính rằng các quy định tạo thuận lợi thương mại về xác thực điện tử có thể đóng góp mức tăng tới 45,8% đối với thương mại được đặt hàng bằng phương thức số</w:t>
      </w:r>
      <w:r>
        <w:rPr>
          <w:rStyle w:val="FootnoteReference"/>
        </w:rPr>
        <w:footnoteReference w:id="50"/>
      </w:r>
      <w:r w:rsidRPr="00F72080">
        <w:t>; trong khi Ủy ban Kinh tế – Xã hội của Liên Hợp Quốc khu vực Châu Á – Thái Bình Dương (UNESCAP) ước tính rằng việc triển khai đầy đủ thương mại phi giấy tờ trên toàn khu vực có thể giúp gia tăng xuất khẩu thêm 257 tỷ USD mỗi năm.</w:t>
      </w:r>
      <w:r>
        <w:rPr>
          <w:rStyle w:val="FootnoteReference"/>
        </w:rPr>
        <w:footnoteReference w:id="51"/>
      </w:r>
    </w:p>
    <w:p w14:paraId="4B08C15B" w14:textId="748ED873" w:rsidR="00F72080" w:rsidRDefault="00F72080" w:rsidP="00A624F8">
      <w:r w:rsidRPr="00F72080">
        <w:t xml:space="preserve">Những bằng chứng này cho thấy </w:t>
      </w:r>
      <w:r w:rsidR="00F873B7">
        <w:t>TCTMS</w:t>
      </w:r>
      <w:r w:rsidRPr="00F72080">
        <w:t xml:space="preserve"> hài hòa hóa có thể tạo chuyển biến đáng kể cho thương mại, song đây chỉ là một phần trong hành trình thúc đẩy thương mại và tăng trưởng kinh tế. Để tối đa hóa lợi ích từ </w:t>
      </w:r>
      <w:r w:rsidR="00F873B7">
        <w:t>TCTMS</w:t>
      </w:r>
      <w:r w:rsidRPr="00F72080">
        <w:t xml:space="preserve"> hài hòa hóa, AMS cần có các hành động chủ động liên quan đến tiêu chuẩn hóa, đồng thời thúc đẩy tiến độ về các biện pháp tạo thuận lợi thương mại một cách toàn diện hơn.</w:t>
      </w:r>
    </w:p>
    <w:p w14:paraId="388B0E36" w14:textId="311332F8" w:rsidR="00A624F8" w:rsidRPr="00516087" w:rsidRDefault="00A179C9" w:rsidP="00A624F8">
      <w:pPr>
        <w:pStyle w:val="Heading2"/>
        <w:rPr>
          <w:lang w:val="en-GB"/>
        </w:rPr>
      </w:pPr>
      <w:r>
        <w:rPr>
          <w:lang w:val="vi-VN"/>
        </w:rPr>
        <w:t xml:space="preserve">Ước tính các lợi ích kinh tế </w:t>
      </w:r>
    </w:p>
    <w:p w14:paraId="49ACF0E7" w14:textId="450F695E" w:rsidR="00A624F8" w:rsidRPr="00A179C9" w:rsidRDefault="00A179C9" w:rsidP="00A624F8">
      <w:pPr>
        <w:rPr>
          <w:color w:val="595959" w:themeColor="text1" w:themeTint="A6"/>
          <w:spacing w:val="15"/>
          <w:sz w:val="22"/>
          <w:szCs w:val="22"/>
          <w:lang w:val="vi-VN"/>
        </w:rPr>
      </w:pPr>
      <w:r w:rsidRPr="00A179C9">
        <w:rPr>
          <w:lang w:val="vi-VN"/>
        </w:rPr>
        <w:t xml:space="preserve">Để ước tính các lợi ích kinh tế tiềm năng từ việc hài hòa hóa </w:t>
      </w:r>
      <w:r w:rsidR="00F873B7">
        <w:rPr>
          <w:lang w:val="vi-VN"/>
        </w:rPr>
        <w:t>TCTMS</w:t>
      </w:r>
      <w:r w:rsidRPr="00A179C9">
        <w:rPr>
          <w:lang w:val="vi-VN"/>
        </w:rPr>
        <w:t xml:space="preserve"> trong ASEAN, nghiên cứu này áp dụng một phương pháp mới nhằm mã hoá mức độ hài hòa hóa </w:t>
      </w:r>
      <w:r w:rsidR="00F873B7">
        <w:rPr>
          <w:lang w:val="vi-VN"/>
        </w:rPr>
        <w:t>TCTMS</w:t>
      </w:r>
      <w:r w:rsidRPr="00A179C9">
        <w:rPr>
          <w:lang w:val="vi-VN"/>
        </w:rPr>
        <w:t xml:space="preserve"> và ước lượng tác động tiềm năng của nó đối với dòng chảy thương mại, cũng như đóng góp của </w:t>
      </w:r>
      <w:r w:rsidR="00F873B7">
        <w:rPr>
          <w:lang w:val="vi-VN"/>
        </w:rPr>
        <w:t>TCTMS</w:t>
      </w:r>
      <w:r w:rsidRPr="00A179C9">
        <w:rPr>
          <w:lang w:val="vi-VN"/>
        </w:rPr>
        <w:t xml:space="preserve"> đối với các nền kinh tế của các quốc gia thành viên ASEAN (AMS). Nghiên cứu sử dụng phương pháp luận gồm ba giai đoạn riêng biệt (trình bày chi tiết trong Hình 2).</w:t>
      </w:r>
    </w:p>
    <w:p w14:paraId="0AA2AC1B" w14:textId="64E5D624" w:rsidR="00A624F8" w:rsidRPr="00516087" w:rsidRDefault="00A179C9" w:rsidP="00541897">
      <w:pPr>
        <w:pStyle w:val="Subtitle"/>
        <w:jc w:val="left"/>
        <w:rPr>
          <w:rFonts w:ascii="Arial" w:hAnsi="Arial" w:cs="Arial"/>
          <w:b/>
          <w:color w:val="auto"/>
          <w:sz w:val="24"/>
          <w:szCs w:val="24"/>
        </w:rPr>
      </w:pPr>
      <w:r>
        <w:rPr>
          <w:rFonts w:ascii="Arial" w:hAnsi="Arial" w:cs="Arial"/>
          <w:b/>
          <w:color w:val="auto"/>
          <w:sz w:val="24"/>
          <w:szCs w:val="24"/>
        </w:rPr>
        <w:t>Hình</w:t>
      </w:r>
      <w:r w:rsidR="74D78A97" w:rsidRPr="00516087">
        <w:rPr>
          <w:rFonts w:ascii="Arial" w:hAnsi="Arial" w:cs="Arial"/>
          <w:b/>
          <w:color w:val="auto"/>
          <w:sz w:val="24"/>
          <w:szCs w:val="24"/>
        </w:rPr>
        <w:t xml:space="preserve"> </w:t>
      </w:r>
      <w:r w:rsidR="00541897" w:rsidRPr="00516087">
        <w:rPr>
          <w:rFonts w:ascii="Arial" w:hAnsi="Arial" w:cs="Arial"/>
          <w:b/>
          <w:color w:val="auto"/>
          <w:sz w:val="24"/>
          <w:szCs w:val="24"/>
        </w:rPr>
        <w:t>2</w:t>
      </w:r>
      <w:r w:rsidR="74D78A97" w:rsidRPr="00516087">
        <w:rPr>
          <w:rFonts w:ascii="Arial" w:hAnsi="Arial" w:cs="Arial"/>
          <w:b/>
          <w:color w:val="auto"/>
          <w:sz w:val="24"/>
          <w:szCs w:val="24"/>
        </w:rPr>
        <w:t xml:space="preserve">. </w:t>
      </w:r>
      <w:r>
        <w:rPr>
          <w:rFonts w:ascii="Arial" w:hAnsi="Arial" w:cs="Arial"/>
          <w:b/>
          <w:color w:val="auto"/>
          <w:sz w:val="24"/>
          <w:szCs w:val="24"/>
        </w:rPr>
        <w:t>Phương</w:t>
      </w:r>
      <w:r>
        <w:rPr>
          <w:rFonts w:ascii="Arial" w:hAnsi="Arial" w:cs="Arial"/>
          <w:b/>
          <w:color w:val="auto"/>
          <w:sz w:val="24"/>
          <w:szCs w:val="24"/>
          <w:lang w:val="vi-VN"/>
        </w:rPr>
        <w:t xml:space="preserve"> pháp luận được sử dụng để ước tính tác động kinh tế tiềm năng của </w:t>
      </w:r>
      <w:r w:rsidR="00F873B7">
        <w:rPr>
          <w:rFonts w:ascii="Arial" w:hAnsi="Arial" w:cs="Arial"/>
          <w:b/>
          <w:color w:val="auto"/>
          <w:sz w:val="24"/>
          <w:szCs w:val="24"/>
        </w:rPr>
        <w:t>TCTMS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0790"/>
      </w:tblGrid>
      <w:tr w:rsidR="00A624F8" w14:paraId="35167BDB" w14:textId="77777777">
        <w:tc>
          <w:tcPr>
            <w:tcW w:w="10790" w:type="dxa"/>
          </w:tcPr>
          <w:p w14:paraId="1DB147A6" w14:textId="4713AB7A" w:rsidR="00A624F8" w:rsidRPr="00516087" w:rsidRDefault="00A624F8"/>
        </w:tc>
      </w:tr>
    </w:tbl>
    <w:p w14:paraId="27A98246" w14:textId="1ADD265C" w:rsidR="003929B6" w:rsidRDefault="007677A4" w:rsidP="003929B6">
      <w:pPr>
        <w:spacing w:after="0"/>
        <w:rPr>
          <w:i/>
          <w:sz w:val="20"/>
          <w:szCs w:val="20"/>
          <w:lang w:val="vi-VN"/>
        </w:rPr>
      </w:pPr>
      <w:r>
        <w:rPr>
          <w:i/>
          <w:sz w:val="20"/>
          <w:szCs w:val="20"/>
        </w:rPr>
        <w:t>Nguồn</w:t>
      </w:r>
      <w:r w:rsidR="003929B6" w:rsidRPr="00516087">
        <w:rPr>
          <w:i/>
          <w:sz w:val="20"/>
          <w:szCs w:val="20"/>
        </w:rPr>
        <w:t xml:space="preserve">: </w:t>
      </w:r>
      <w:r>
        <w:rPr>
          <w:i/>
          <w:sz w:val="20"/>
          <w:szCs w:val="20"/>
        </w:rPr>
        <w:t xml:space="preserve">Phân tích của </w:t>
      </w:r>
      <w:r w:rsidR="003929B6" w:rsidRPr="00516087">
        <w:rPr>
          <w:i/>
          <w:sz w:val="20"/>
          <w:szCs w:val="20"/>
        </w:rPr>
        <w:t>Access Partnershi</w:t>
      </w:r>
      <w:r>
        <w:rPr>
          <w:i/>
          <w:sz w:val="20"/>
          <w:szCs w:val="20"/>
        </w:rPr>
        <w:t>p</w:t>
      </w:r>
    </w:p>
    <w:tbl>
      <w:tblPr>
        <w:tblStyle w:val="TableGrid"/>
        <w:tblW w:w="0" w:type="auto"/>
        <w:tblLook w:val="04A0" w:firstRow="1" w:lastRow="0" w:firstColumn="1" w:lastColumn="0" w:noHBand="0" w:noVBand="1"/>
      </w:tblPr>
      <w:tblGrid>
        <w:gridCol w:w="2697"/>
        <w:gridCol w:w="2697"/>
        <w:gridCol w:w="2698"/>
        <w:gridCol w:w="2698"/>
      </w:tblGrid>
      <w:tr w:rsidR="003373BE" w14:paraId="5527C375" w14:textId="77777777" w:rsidTr="001767CE">
        <w:tc>
          <w:tcPr>
            <w:tcW w:w="10790" w:type="dxa"/>
            <w:gridSpan w:val="4"/>
          </w:tcPr>
          <w:p w14:paraId="5B2C7F98" w14:textId="32C9FBD7" w:rsidR="003373BE" w:rsidRPr="00BE1428" w:rsidRDefault="003373BE" w:rsidP="003929B6">
            <w:pPr>
              <w:rPr>
                <w:b/>
                <w:bCs/>
                <w:iCs/>
                <w:sz w:val="20"/>
                <w:szCs w:val="20"/>
                <w:lang w:val="vi-VN"/>
              </w:rPr>
            </w:pPr>
            <w:r w:rsidRPr="00BE1428">
              <w:rPr>
                <w:b/>
                <w:bCs/>
                <w:iCs/>
                <w:sz w:val="20"/>
                <w:szCs w:val="20"/>
                <w:lang w:val="vi-VN"/>
              </w:rPr>
              <w:t>Nghiên cứu này sử dụng một phương pháp luận mới gồm ba giai đoạn</w:t>
            </w:r>
          </w:p>
        </w:tc>
      </w:tr>
      <w:tr w:rsidR="00E83916" w14:paraId="236DCD88" w14:textId="77777777" w:rsidTr="003373BE">
        <w:tc>
          <w:tcPr>
            <w:tcW w:w="2697" w:type="dxa"/>
            <w:vMerge w:val="restart"/>
          </w:tcPr>
          <w:p w14:paraId="71824627" w14:textId="38520B37" w:rsidR="00E83916" w:rsidRDefault="00E83916" w:rsidP="003929B6">
            <w:pPr>
              <w:rPr>
                <w:iCs/>
                <w:sz w:val="20"/>
                <w:szCs w:val="20"/>
                <w:lang w:val="vi-VN"/>
              </w:rPr>
            </w:pPr>
            <w:r w:rsidRPr="003373BE">
              <w:rPr>
                <w:iCs/>
                <w:sz w:val="20"/>
                <w:szCs w:val="20"/>
                <w:lang w:val="vi-VN"/>
              </w:rPr>
              <w:t>Nghiên cứu này áp dụng một cách tiếp cận mới nhằm hệ thống hóa việc hài hòa hóa Tiêu chuẩn Thương mại Số (</w:t>
            </w:r>
            <w:r w:rsidR="00F873B7">
              <w:rPr>
                <w:iCs/>
                <w:sz w:val="20"/>
                <w:szCs w:val="20"/>
                <w:lang w:val="vi-VN"/>
              </w:rPr>
              <w:t>TCTMS</w:t>
            </w:r>
            <w:r w:rsidRPr="003373BE">
              <w:rPr>
                <w:iCs/>
                <w:sz w:val="20"/>
                <w:szCs w:val="20"/>
                <w:lang w:val="vi-VN"/>
              </w:rPr>
              <w:t>) và ước lượng tác động tiềm năng của quá trình này đối với các luồng thương mại và đóng góp kinh tế, thông qua ba giai đoạn riêng biệt.</w:t>
            </w:r>
          </w:p>
        </w:tc>
        <w:tc>
          <w:tcPr>
            <w:tcW w:w="2697" w:type="dxa"/>
          </w:tcPr>
          <w:p w14:paraId="2DCA4087" w14:textId="11C6939A" w:rsidR="00E83916" w:rsidRPr="00BE1428" w:rsidRDefault="00E83916" w:rsidP="00BE1428">
            <w:pPr>
              <w:pStyle w:val="ListParagraph"/>
              <w:numPr>
                <w:ilvl w:val="0"/>
                <w:numId w:val="62"/>
              </w:numPr>
              <w:spacing w:after="0"/>
              <w:rPr>
                <w:rFonts w:ascii="Arial" w:hAnsi="Arial"/>
                <w:iCs/>
                <w:sz w:val="20"/>
                <w:szCs w:val="20"/>
                <w:lang w:val="vi-VN"/>
              </w:rPr>
            </w:pPr>
            <w:r w:rsidRPr="00BE1428">
              <w:rPr>
                <w:rFonts w:ascii="Arial" w:hAnsi="Arial"/>
                <w:iCs/>
                <w:sz w:val="20"/>
                <w:szCs w:val="20"/>
                <w:lang w:val="vi-VN"/>
              </w:rPr>
              <w:t xml:space="preserve">Đo lường mức độ hài hòa hóa </w:t>
            </w:r>
            <w:r w:rsidR="00F873B7">
              <w:rPr>
                <w:rFonts w:ascii="Arial" w:hAnsi="Arial"/>
                <w:iCs/>
                <w:sz w:val="20"/>
                <w:szCs w:val="20"/>
                <w:lang w:val="vi-VN"/>
              </w:rPr>
              <w:t>TCTMS</w:t>
            </w:r>
          </w:p>
        </w:tc>
        <w:tc>
          <w:tcPr>
            <w:tcW w:w="2698" w:type="dxa"/>
          </w:tcPr>
          <w:p w14:paraId="431A4659" w14:textId="06DC8B75" w:rsidR="00E83916" w:rsidRPr="00BE1428" w:rsidRDefault="00E83916" w:rsidP="00BE1428">
            <w:pPr>
              <w:pStyle w:val="ListParagraph"/>
              <w:numPr>
                <w:ilvl w:val="0"/>
                <w:numId w:val="62"/>
              </w:numPr>
              <w:spacing w:after="0"/>
              <w:rPr>
                <w:rFonts w:ascii="Arial" w:hAnsi="Arial"/>
                <w:iCs/>
                <w:sz w:val="20"/>
                <w:szCs w:val="20"/>
                <w:lang w:val="vi-VN"/>
              </w:rPr>
            </w:pPr>
            <w:r w:rsidRPr="00BE1428">
              <w:rPr>
                <w:rFonts w:ascii="Arial" w:hAnsi="Arial"/>
                <w:iCs/>
                <w:sz w:val="20"/>
                <w:szCs w:val="20"/>
                <w:lang w:val="vi-VN"/>
              </w:rPr>
              <w:t xml:space="preserve">Phân tích tác động của hài hòa hóa </w:t>
            </w:r>
            <w:r w:rsidR="00F873B7">
              <w:rPr>
                <w:rFonts w:ascii="Arial" w:hAnsi="Arial"/>
                <w:iCs/>
                <w:sz w:val="20"/>
                <w:szCs w:val="20"/>
                <w:lang w:val="vi-VN"/>
              </w:rPr>
              <w:t>TCTMS</w:t>
            </w:r>
            <w:r w:rsidRPr="00BE1428">
              <w:rPr>
                <w:rFonts w:ascii="Arial" w:hAnsi="Arial"/>
                <w:iCs/>
                <w:sz w:val="20"/>
                <w:szCs w:val="20"/>
                <w:lang w:val="vi-VN"/>
              </w:rPr>
              <w:t xml:space="preserve"> đối với các luồng thương mại</w:t>
            </w:r>
          </w:p>
        </w:tc>
        <w:tc>
          <w:tcPr>
            <w:tcW w:w="2698" w:type="dxa"/>
          </w:tcPr>
          <w:p w14:paraId="62098CDC" w14:textId="43E669B4" w:rsidR="00E83916" w:rsidRPr="00BE1428" w:rsidRDefault="00E83916" w:rsidP="00BE1428">
            <w:pPr>
              <w:pStyle w:val="ListParagraph"/>
              <w:numPr>
                <w:ilvl w:val="0"/>
                <w:numId w:val="62"/>
              </w:numPr>
              <w:spacing w:after="0"/>
              <w:rPr>
                <w:rFonts w:ascii="Arial" w:hAnsi="Arial"/>
                <w:iCs/>
                <w:sz w:val="20"/>
                <w:szCs w:val="20"/>
                <w:lang w:val="vi-VN"/>
              </w:rPr>
            </w:pPr>
            <w:r w:rsidRPr="00BE1428">
              <w:rPr>
                <w:rFonts w:ascii="Arial" w:hAnsi="Arial"/>
                <w:iCs/>
                <w:sz w:val="20"/>
                <w:szCs w:val="20"/>
                <w:lang w:val="vi-VN"/>
              </w:rPr>
              <w:t>Ước lượng lợi ích kinh tế tiềm năng đối với ASEAN</w:t>
            </w:r>
          </w:p>
        </w:tc>
      </w:tr>
      <w:tr w:rsidR="00E83916" w14:paraId="3C69D6DD" w14:textId="77777777" w:rsidTr="003373BE">
        <w:tc>
          <w:tcPr>
            <w:tcW w:w="2697" w:type="dxa"/>
            <w:vMerge/>
          </w:tcPr>
          <w:p w14:paraId="4672ACAD" w14:textId="77777777" w:rsidR="00E83916" w:rsidRDefault="00E83916" w:rsidP="003929B6">
            <w:pPr>
              <w:rPr>
                <w:iCs/>
                <w:sz w:val="20"/>
                <w:szCs w:val="20"/>
                <w:lang w:val="vi-VN"/>
              </w:rPr>
            </w:pPr>
          </w:p>
        </w:tc>
        <w:tc>
          <w:tcPr>
            <w:tcW w:w="2697" w:type="dxa"/>
          </w:tcPr>
          <w:p w14:paraId="55CD2BE8" w14:textId="5C1CC7D6" w:rsidR="00E83916" w:rsidRPr="00BE1428" w:rsidRDefault="00E83916" w:rsidP="00BE1428">
            <w:pPr>
              <w:rPr>
                <w:iCs/>
                <w:sz w:val="20"/>
                <w:szCs w:val="20"/>
                <w:lang w:val="vi-VN"/>
              </w:rPr>
            </w:pPr>
            <w:r w:rsidRPr="00BE1428">
              <w:rPr>
                <w:iCs/>
                <w:sz w:val="20"/>
                <w:szCs w:val="20"/>
                <w:lang w:val="vi-VN"/>
              </w:rPr>
              <w:t xml:space="preserve">Nghiên cứu sử dụng các quy định thương mại số đang có hiệu lực, được phân loại theo mức độ cam kết mạnh nhất, làm chỉ báo cho mức độ hài hòa hóa </w:t>
            </w:r>
            <w:r w:rsidR="00F873B7">
              <w:rPr>
                <w:iCs/>
                <w:sz w:val="20"/>
                <w:szCs w:val="20"/>
                <w:lang w:val="vi-VN"/>
              </w:rPr>
              <w:t>TCTMS</w:t>
            </w:r>
            <w:r w:rsidRPr="00BE1428">
              <w:rPr>
                <w:iCs/>
                <w:sz w:val="20"/>
                <w:szCs w:val="20"/>
                <w:lang w:val="vi-VN"/>
              </w:rPr>
              <w:t>.</w:t>
            </w:r>
          </w:p>
          <w:p w14:paraId="3B1A5A0B" w14:textId="77777777" w:rsidR="00E83916" w:rsidRPr="00BE1428" w:rsidRDefault="00E83916" w:rsidP="00BE1428">
            <w:pPr>
              <w:rPr>
                <w:iCs/>
                <w:sz w:val="20"/>
                <w:szCs w:val="20"/>
                <w:lang w:val="vi-VN"/>
              </w:rPr>
            </w:pPr>
          </w:p>
          <w:p w14:paraId="3857539F" w14:textId="6BFB417E" w:rsidR="00E83916" w:rsidRDefault="00E83916" w:rsidP="00BE1428">
            <w:pPr>
              <w:rPr>
                <w:iCs/>
                <w:sz w:val="20"/>
                <w:szCs w:val="20"/>
                <w:lang w:val="vi-VN"/>
              </w:rPr>
            </w:pPr>
            <w:r w:rsidRPr="00BE1428">
              <w:rPr>
                <w:iCs/>
                <w:sz w:val="20"/>
                <w:szCs w:val="20"/>
                <w:lang w:val="vi-VN"/>
              </w:rPr>
              <w:lastRenderedPageBreak/>
              <w:t>Trọng tâm phân tích bao gồm các lĩnh vực thương mại số sau:</w:t>
            </w:r>
            <w:r>
              <w:rPr>
                <w:iCs/>
                <w:sz w:val="20"/>
                <w:szCs w:val="20"/>
                <w:lang w:val="vi-VN"/>
              </w:rPr>
              <w:t xml:space="preserve"> </w:t>
            </w:r>
            <w:r w:rsidRPr="00BE1428">
              <w:rPr>
                <w:iCs/>
                <w:sz w:val="20"/>
                <w:szCs w:val="20"/>
                <w:lang w:val="vi-VN"/>
              </w:rPr>
              <w:t xml:space="preserve">Thương mại không giấy </w:t>
            </w:r>
            <w:r>
              <w:rPr>
                <w:iCs/>
                <w:sz w:val="20"/>
                <w:szCs w:val="20"/>
                <w:lang w:val="vi-VN"/>
              </w:rPr>
              <w:t xml:space="preserve">tờ, </w:t>
            </w:r>
            <w:r w:rsidRPr="00BE1428">
              <w:rPr>
                <w:iCs/>
                <w:sz w:val="20"/>
                <w:szCs w:val="20"/>
                <w:lang w:val="vi-VN"/>
              </w:rPr>
              <w:t xml:space="preserve">Xác thực điện </w:t>
            </w:r>
            <w:r>
              <w:rPr>
                <w:iCs/>
                <w:sz w:val="20"/>
                <w:szCs w:val="20"/>
                <w:lang w:val="vi-VN"/>
              </w:rPr>
              <w:t xml:space="preserve">tử, </w:t>
            </w:r>
            <w:r w:rsidRPr="00BE1428">
              <w:rPr>
                <w:iCs/>
                <w:sz w:val="20"/>
                <w:szCs w:val="20"/>
                <w:lang w:val="vi-VN"/>
              </w:rPr>
              <w:t xml:space="preserve">Hóa đơn điện </w:t>
            </w:r>
            <w:r>
              <w:rPr>
                <w:iCs/>
                <w:sz w:val="20"/>
                <w:szCs w:val="20"/>
                <w:lang w:val="vi-VN"/>
              </w:rPr>
              <w:t xml:space="preserve">tử, </w:t>
            </w:r>
            <w:r w:rsidRPr="00BE1428">
              <w:rPr>
                <w:iCs/>
                <w:sz w:val="20"/>
                <w:szCs w:val="20"/>
                <w:lang w:val="vi-VN"/>
              </w:rPr>
              <w:t xml:space="preserve">Thanh toán </w:t>
            </w:r>
            <w:r>
              <w:rPr>
                <w:iCs/>
                <w:sz w:val="20"/>
                <w:szCs w:val="20"/>
                <w:lang w:val="vi-VN"/>
              </w:rPr>
              <w:t xml:space="preserve">số, </w:t>
            </w:r>
            <w:r w:rsidRPr="00BE1428">
              <w:rPr>
                <w:iCs/>
                <w:sz w:val="20"/>
                <w:szCs w:val="20"/>
                <w:lang w:val="vi-VN"/>
              </w:rPr>
              <w:t xml:space="preserve">Thương mại điện </w:t>
            </w:r>
            <w:r>
              <w:rPr>
                <w:iCs/>
                <w:sz w:val="20"/>
                <w:szCs w:val="20"/>
                <w:lang w:val="vi-VN"/>
              </w:rPr>
              <w:t xml:space="preserve">tử, </w:t>
            </w:r>
            <w:r w:rsidRPr="00BE1428">
              <w:rPr>
                <w:iCs/>
                <w:sz w:val="20"/>
                <w:szCs w:val="20"/>
                <w:lang w:val="vi-VN"/>
              </w:rPr>
              <w:t>Chứng từ điện tử có thể chuyển nhượng</w:t>
            </w:r>
          </w:p>
        </w:tc>
        <w:tc>
          <w:tcPr>
            <w:tcW w:w="2698" w:type="dxa"/>
          </w:tcPr>
          <w:p w14:paraId="6D3F66B7" w14:textId="77777777" w:rsidR="00E83916" w:rsidRPr="00B726D9" w:rsidRDefault="00E83916" w:rsidP="00B726D9">
            <w:pPr>
              <w:rPr>
                <w:iCs/>
                <w:sz w:val="20"/>
                <w:szCs w:val="20"/>
                <w:lang w:val="vi-VN"/>
              </w:rPr>
            </w:pPr>
            <w:r w:rsidRPr="00B726D9">
              <w:rPr>
                <w:iCs/>
                <w:sz w:val="20"/>
                <w:szCs w:val="20"/>
                <w:lang w:val="vi-VN"/>
              </w:rPr>
              <w:lastRenderedPageBreak/>
              <w:t>Phân tích kinh tế lượng được thực hiện bằng mô hình lực hấp dẫn trong thương mại.</w:t>
            </w:r>
          </w:p>
          <w:p w14:paraId="34545EF6" w14:textId="77777777" w:rsidR="00E83916" w:rsidRPr="00B726D9" w:rsidRDefault="00E83916" w:rsidP="00B726D9">
            <w:pPr>
              <w:rPr>
                <w:iCs/>
                <w:sz w:val="20"/>
                <w:szCs w:val="20"/>
                <w:lang w:val="vi-VN"/>
              </w:rPr>
            </w:pPr>
          </w:p>
          <w:p w14:paraId="092FCE63" w14:textId="34630F8E" w:rsidR="00E83916" w:rsidRDefault="00E83916" w:rsidP="00B726D9">
            <w:pPr>
              <w:rPr>
                <w:iCs/>
                <w:sz w:val="20"/>
                <w:szCs w:val="20"/>
                <w:lang w:val="vi-VN"/>
              </w:rPr>
            </w:pPr>
            <w:r w:rsidRPr="00B726D9">
              <w:rPr>
                <w:iCs/>
                <w:sz w:val="20"/>
                <w:szCs w:val="20"/>
                <w:lang w:val="vi-VN"/>
              </w:rPr>
              <w:t>Mô hình sử dụng bộ ước lượng Poisson Pseudo-Maximum Likelihood (PPML), với:</w:t>
            </w:r>
            <w:r>
              <w:rPr>
                <w:iCs/>
                <w:sz w:val="20"/>
                <w:szCs w:val="20"/>
                <w:lang w:val="vi-VN"/>
              </w:rPr>
              <w:t xml:space="preserve"> </w:t>
            </w:r>
            <w:r w:rsidRPr="00B726D9">
              <w:rPr>
                <w:iCs/>
                <w:sz w:val="20"/>
                <w:szCs w:val="20"/>
                <w:lang w:val="vi-VN"/>
              </w:rPr>
              <w:t xml:space="preserve">Hiệu cố định </w:t>
            </w:r>
            <w:r w:rsidRPr="00B726D9">
              <w:rPr>
                <w:iCs/>
                <w:sz w:val="20"/>
                <w:szCs w:val="20"/>
                <w:lang w:val="vi-VN"/>
              </w:rPr>
              <w:lastRenderedPageBreak/>
              <w:t xml:space="preserve">theo nước xuất khẩu–thời </w:t>
            </w:r>
            <w:r>
              <w:rPr>
                <w:iCs/>
                <w:sz w:val="20"/>
                <w:szCs w:val="20"/>
                <w:lang w:val="vi-VN"/>
              </w:rPr>
              <w:t xml:space="preserve">gian, </w:t>
            </w:r>
            <w:r w:rsidRPr="00B726D9">
              <w:rPr>
                <w:iCs/>
                <w:sz w:val="20"/>
                <w:szCs w:val="20"/>
                <w:lang w:val="vi-VN"/>
              </w:rPr>
              <w:t xml:space="preserve">Hiệu cố định theo nước nhập khẩu–thời </w:t>
            </w:r>
            <w:r>
              <w:rPr>
                <w:iCs/>
                <w:sz w:val="20"/>
                <w:szCs w:val="20"/>
                <w:lang w:val="vi-VN"/>
              </w:rPr>
              <w:t xml:space="preserve">gian, </w:t>
            </w:r>
            <w:r w:rsidRPr="00B726D9">
              <w:rPr>
                <w:iCs/>
                <w:sz w:val="20"/>
                <w:szCs w:val="20"/>
                <w:lang w:val="vi-VN"/>
              </w:rPr>
              <w:t xml:space="preserve">Hiệu cố định theo cặp nước xuất–nhập </w:t>
            </w:r>
            <w:r>
              <w:rPr>
                <w:iCs/>
                <w:sz w:val="20"/>
                <w:szCs w:val="20"/>
                <w:lang w:val="vi-VN"/>
              </w:rPr>
              <w:t xml:space="preserve">khẩu, </w:t>
            </w:r>
            <w:r w:rsidRPr="00B726D9">
              <w:rPr>
                <w:iCs/>
                <w:sz w:val="20"/>
                <w:szCs w:val="20"/>
                <w:lang w:val="vi-VN"/>
              </w:rPr>
              <w:t xml:space="preserve">Một biến giả về Hiệp định Thương mại Khu vực (RTA) nhằm tách biệt tác động của hài hòa hóa </w:t>
            </w:r>
            <w:r w:rsidR="00F873B7">
              <w:rPr>
                <w:iCs/>
                <w:sz w:val="20"/>
                <w:szCs w:val="20"/>
                <w:lang w:val="vi-VN"/>
              </w:rPr>
              <w:t>TCTMS</w:t>
            </w:r>
          </w:p>
        </w:tc>
        <w:tc>
          <w:tcPr>
            <w:tcW w:w="2698" w:type="dxa"/>
          </w:tcPr>
          <w:p w14:paraId="39CED430" w14:textId="15E9F410" w:rsidR="00E83916" w:rsidRPr="00B726D9" w:rsidRDefault="00E83916" w:rsidP="00B726D9">
            <w:pPr>
              <w:rPr>
                <w:iCs/>
                <w:sz w:val="20"/>
                <w:szCs w:val="20"/>
                <w:lang w:val="vi-VN"/>
              </w:rPr>
            </w:pPr>
            <w:r w:rsidRPr="00B726D9">
              <w:rPr>
                <w:iCs/>
                <w:sz w:val="20"/>
                <w:szCs w:val="20"/>
                <w:lang w:val="vi-VN"/>
              </w:rPr>
              <w:lastRenderedPageBreak/>
              <w:t>Thương mại gia tăng nhờ việc giảm các rào cản thương mại phát sinh từ quá trình hài hòa hóa tiêu chuẩn, từ đó thúc đẩy sản xuất trong nước, dẫn tới:</w:t>
            </w:r>
            <w:r>
              <w:rPr>
                <w:iCs/>
                <w:sz w:val="20"/>
                <w:szCs w:val="20"/>
                <w:lang w:val="vi-VN"/>
              </w:rPr>
              <w:t xml:space="preserve"> </w:t>
            </w:r>
            <w:r w:rsidRPr="00B726D9">
              <w:rPr>
                <w:iCs/>
                <w:sz w:val="20"/>
                <w:szCs w:val="20"/>
                <w:lang w:val="vi-VN"/>
              </w:rPr>
              <w:t xml:space="preserve">Tăng việc </w:t>
            </w:r>
            <w:r>
              <w:rPr>
                <w:iCs/>
                <w:sz w:val="20"/>
                <w:szCs w:val="20"/>
                <w:lang w:val="vi-VN"/>
              </w:rPr>
              <w:t xml:space="preserve">làm, </w:t>
            </w:r>
            <w:r w:rsidRPr="00B726D9">
              <w:rPr>
                <w:iCs/>
                <w:sz w:val="20"/>
                <w:szCs w:val="20"/>
                <w:lang w:val="vi-VN"/>
              </w:rPr>
              <w:t xml:space="preserve">Tăng thu </w:t>
            </w:r>
            <w:r>
              <w:rPr>
                <w:iCs/>
                <w:sz w:val="20"/>
                <w:szCs w:val="20"/>
                <w:lang w:val="vi-VN"/>
              </w:rPr>
              <w:t xml:space="preserve">nhập, </w:t>
            </w:r>
            <w:r w:rsidRPr="00B726D9">
              <w:rPr>
                <w:iCs/>
                <w:sz w:val="20"/>
                <w:szCs w:val="20"/>
                <w:lang w:val="vi-VN"/>
              </w:rPr>
              <w:t>Gia tăng hoạt động kinh tế tổng thể</w:t>
            </w:r>
          </w:p>
          <w:p w14:paraId="4EAF00E4" w14:textId="77777777" w:rsidR="00E83916" w:rsidRPr="00B726D9" w:rsidRDefault="00E83916" w:rsidP="00B726D9">
            <w:pPr>
              <w:rPr>
                <w:iCs/>
                <w:sz w:val="20"/>
                <w:szCs w:val="20"/>
                <w:lang w:val="vi-VN"/>
              </w:rPr>
            </w:pPr>
          </w:p>
          <w:p w14:paraId="0A0D545B" w14:textId="2AC2014C" w:rsidR="00E83916" w:rsidRDefault="00E83916" w:rsidP="00B726D9">
            <w:pPr>
              <w:rPr>
                <w:iCs/>
                <w:sz w:val="20"/>
                <w:szCs w:val="20"/>
                <w:lang w:val="vi-VN"/>
              </w:rPr>
            </w:pPr>
            <w:r w:rsidRPr="00B726D9">
              <w:rPr>
                <w:iCs/>
                <w:sz w:val="20"/>
                <w:szCs w:val="20"/>
                <w:lang w:val="vi-VN"/>
              </w:rPr>
              <w:t>Thông qua việc phân tích sự thay đổi trong cầu cuối cùng do xuất khẩu tăng, nghiên cứu tiến hành ước lượng mức gia tăng tương ứng về giá trị gia tăng và việc làm.</w:t>
            </w:r>
          </w:p>
        </w:tc>
      </w:tr>
    </w:tbl>
    <w:p w14:paraId="3C9FE3DF" w14:textId="77777777" w:rsidR="003373BE" w:rsidRPr="003373BE" w:rsidRDefault="003373BE" w:rsidP="003929B6">
      <w:pPr>
        <w:spacing w:after="0"/>
        <w:rPr>
          <w:iCs/>
          <w:sz w:val="20"/>
          <w:szCs w:val="20"/>
          <w:lang w:val="vi-VN"/>
        </w:rPr>
      </w:pPr>
    </w:p>
    <w:p w14:paraId="3A9A3E26" w14:textId="79E7466D" w:rsidR="00A624F8" w:rsidRPr="00516087" w:rsidRDefault="00BF73D9" w:rsidP="00A624F8">
      <w:pPr>
        <w:pStyle w:val="Heading3"/>
        <w:rPr>
          <w:lang w:val="en-GB"/>
        </w:rPr>
      </w:pPr>
      <w:r>
        <w:rPr>
          <w:lang w:val="en-GB"/>
        </w:rPr>
        <w:t>Giai</w:t>
      </w:r>
      <w:r>
        <w:rPr>
          <w:lang w:val="vi-VN"/>
        </w:rPr>
        <w:t xml:space="preserve"> đoạn</w:t>
      </w:r>
      <w:r w:rsidR="00A624F8" w:rsidRPr="00516087">
        <w:rPr>
          <w:lang w:val="en-GB"/>
        </w:rPr>
        <w:t xml:space="preserve"> 1: </w:t>
      </w:r>
      <w:r>
        <w:rPr>
          <w:lang w:val="en-GB"/>
        </w:rPr>
        <w:t>Đo</w:t>
      </w:r>
      <w:r>
        <w:rPr>
          <w:lang w:val="vi-VN"/>
        </w:rPr>
        <w:t xml:space="preserve"> lường mức độ hài hòa hóa </w:t>
      </w:r>
      <w:r w:rsidR="00F873B7">
        <w:rPr>
          <w:lang w:val="vi-VN"/>
        </w:rPr>
        <w:t>TCTMS</w:t>
      </w:r>
    </w:p>
    <w:p w14:paraId="4A4F1D7B" w14:textId="60D6F19A" w:rsidR="00A624F8" w:rsidRPr="00BF73D9" w:rsidRDefault="00BF73D9" w:rsidP="00A624F8">
      <w:pPr>
        <w:rPr>
          <w:lang w:val="vi-VN"/>
        </w:rPr>
      </w:pPr>
      <w:r w:rsidRPr="00BF73D9">
        <w:rPr>
          <w:lang w:val="vi-VN"/>
        </w:rPr>
        <w:t xml:space="preserve">Hài hòa hóa </w:t>
      </w:r>
      <w:r w:rsidR="00F873B7">
        <w:rPr>
          <w:lang w:val="vi-VN"/>
        </w:rPr>
        <w:t>TCTMS</w:t>
      </w:r>
      <w:r w:rsidRPr="00BF73D9">
        <w:rPr>
          <w:lang w:val="vi-VN"/>
        </w:rPr>
        <w:t xml:space="preserve"> liên quan đến việc cùng áp dụng các tiêu chuẩn quốc tế cho quy trình, công nghệ và hệ thống.</w:t>
      </w:r>
      <w:r w:rsidRPr="006E7482">
        <w:rPr>
          <w:vertAlign w:val="superscript"/>
        </w:rPr>
        <w:footnoteReference w:id="52"/>
      </w:r>
      <w:r w:rsidRPr="00BF73D9">
        <w:rPr>
          <w:lang w:val="vi-VN"/>
        </w:rPr>
        <w:t xml:space="preserve"> Tuy nhiên, việc theo dõi khả năng tương tác song phương và mức độ áp dụng </w:t>
      </w:r>
      <w:r w:rsidR="00F873B7">
        <w:rPr>
          <w:lang w:val="vi-VN"/>
        </w:rPr>
        <w:t>TCTMS</w:t>
      </w:r>
      <w:r w:rsidRPr="00BF73D9">
        <w:rPr>
          <w:lang w:val="vi-VN"/>
        </w:rPr>
        <w:t xml:space="preserve"> ở cấp độ các bên liên quan vẫn hết sức khó khăn.</w:t>
      </w:r>
    </w:p>
    <w:p w14:paraId="3ED1655C" w14:textId="2C2D4727" w:rsidR="00300C65" w:rsidRPr="00300C65" w:rsidRDefault="00300C65" w:rsidP="00A624F8">
      <w:pPr>
        <w:rPr>
          <w:lang w:val="vi-VN"/>
        </w:rPr>
      </w:pPr>
      <w:r w:rsidRPr="00300C65">
        <w:rPr>
          <w:lang w:val="vi-VN"/>
        </w:rPr>
        <w:t xml:space="preserve">Nghiên cứu này thay vào đó sử dụng các điều khoản thương mại số đã được phê chuẩn và đang có hiệu lực như một chỉ báo cho </w:t>
      </w:r>
      <w:r w:rsidR="00F873B7">
        <w:rPr>
          <w:lang w:val="vi-VN"/>
        </w:rPr>
        <w:t>TCTMS</w:t>
      </w:r>
      <w:r w:rsidRPr="00300C65">
        <w:rPr>
          <w:lang w:val="vi-VN"/>
        </w:rPr>
        <w:t xml:space="preserve"> được hài hòa hóa. Dựa trên bộ dữ liệu </w:t>
      </w:r>
      <w:r w:rsidR="007677A4">
        <w:rPr>
          <w:lang w:val="en-AU"/>
        </w:rPr>
        <w:t>Các điều khoản về Dữ liệu và Thương mại điện tử trong các Hiệp định thương mại (</w:t>
      </w:r>
      <w:r w:rsidRPr="00300C65">
        <w:rPr>
          <w:lang w:val="vi-VN"/>
        </w:rPr>
        <w:t xml:space="preserve">Trade Agreement Provisions on E-Commerce and Data </w:t>
      </w:r>
      <w:r w:rsidR="007677A4">
        <w:rPr>
          <w:lang w:val="en-AU"/>
        </w:rPr>
        <w:t xml:space="preserve">- </w:t>
      </w:r>
      <w:r w:rsidRPr="00300C65">
        <w:rPr>
          <w:lang w:val="vi-VN"/>
        </w:rPr>
        <w:t>TAPED)</w:t>
      </w:r>
      <w:r w:rsidR="00AD1C14" w:rsidRPr="00C639B6">
        <w:rPr>
          <w:rStyle w:val="FootnoteReference"/>
        </w:rPr>
        <w:footnoteReference w:id="53"/>
      </w:r>
      <w:r w:rsidRPr="00300C65">
        <w:rPr>
          <w:lang w:val="vi-VN"/>
        </w:rPr>
        <w:t>, các hiệp định thương mại ưu đãi có chương thương mại điện tử và/hoặc thương mại số trong giai đoạn 2018–2021 được lựa chọn. Mặc dù các hiệp định thương mại ưu đãi có điều khoản thương mại số đã tồn tại trước 2018, nhưng phần lớn chỉ xoay quanh thương mại điện tử không giấy tờ (paperless trading)</w:t>
      </w:r>
      <w:r w:rsidR="00AD1C14">
        <w:rPr>
          <w:rStyle w:val="FootnoteReference"/>
        </w:rPr>
        <w:footnoteReference w:id="54"/>
      </w:r>
      <w:r w:rsidRPr="00300C65">
        <w:rPr>
          <w:lang w:val="vi-VN"/>
        </w:rPr>
        <w:t>. Những hình thức tạo thuận lợi thương mại rộng hơn, bao phủ các lĩnh vực thương mại số khác (ví dụ: xác thực điện tử, chữ ký điện tử, thanh toán điện tử), chỉ thực sự phát triển mạnh vào giai đoạn gần 2018, khi các hiệp định quan trọng như Hiệp định Thương mại Điện tử ASEAN mở rộng cam kết thương mại số sang các nghĩa vụ số rộng hơn. Đặc biệt, các hiệp định thương mại số (DTAs) và hiệp định kinh tế số (DEAs) độc lập đã gia tăng nhanh vào năm 2020, sau khi Hiệp định Thương mại Số Nhật Bản – Hoa Kỳ có hiệu lực vào năm 2020.</w:t>
      </w:r>
      <w:r>
        <w:rPr>
          <w:rStyle w:val="FootnoteReference"/>
        </w:rPr>
        <w:footnoteReference w:id="55"/>
      </w:r>
    </w:p>
    <w:p w14:paraId="00809327" w14:textId="01F738F5" w:rsidR="00A624F8" w:rsidRPr="00225862" w:rsidRDefault="00721ABC" w:rsidP="00A624F8">
      <w:r w:rsidRPr="00721ABC">
        <w:t xml:space="preserve">Bằng cách trích xuất các điều khoản được lựa chọn trong những DEAs và các điều khoản thương mại số được cập nhật trong các hiệp định thương mại tự do (FTAs) có trích dẫn rõ ràng các tiêu chuẩn quốc tế cụ thể (tức ISO, IEC, Luật Mẫu UNCITRAL), nghiên cứu này xác định các </w:t>
      </w:r>
      <w:r w:rsidR="00F873B7">
        <w:t>TCTMS</w:t>
      </w:r>
      <w:r w:rsidRPr="00721ABC">
        <w:t xml:space="preserve"> quốc tế liên quan được các bên ký kết DTA/FTA thống nhất triển khai, tuân thủ và/hoặc chấp nhận lẫn nhau. Các </w:t>
      </w:r>
      <w:r w:rsidRPr="00721ABC">
        <w:lastRenderedPageBreak/>
        <w:t>hiệp định này bao gồm các điều khoản về thúc đẩy, bảo đảm và áp dụng khả năng tương tác giữa các hệ thống và quy trình, cũng như tuân thủ Luật UNCITRAL và các tiêu chuẩn kinh tế số.</w:t>
      </w:r>
    </w:p>
    <w:p w14:paraId="1532AF6A" w14:textId="521FDFEE" w:rsidR="00721ABC" w:rsidRPr="00721ABC" w:rsidRDefault="00721ABC" w:rsidP="00A624F8">
      <w:pPr>
        <w:rPr>
          <w:lang w:val="vi-VN"/>
        </w:rPr>
      </w:pPr>
      <w:r w:rsidRPr="00721ABC">
        <w:rPr>
          <w:lang w:val="vi-VN"/>
        </w:rPr>
        <w:t xml:space="preserve">Ưu điểm của việc sử dụng các điều khoản thương mại số như một đại diện cho </w:t>
      </w:r>
      <w:r w:rsidR="00F873B7">
        <w:rPr>
          <w:lang w:val="vi-VN"/>
        </w:rPr>
        <w:t>TCTMS</w:t>
      </w:r>
      <w:r w:rsidRPr="00721ABC">
        <w:rPr>
          <w:lang w:val="vi-VN"/>
        </w:rPr>
        <w:t xml:space="preserve"> được hài hòa hóa là khả năng cung cấp thước đo nhất quán về tiêu chuẩn và khả năng tương tác hài hòa — một lợi thế đặc biệt quan trọng trong bối cảnh tồn tại nhiều tiêu chuẩn khác nhau trong từng lĩnh vực thương mại số. Ví dụ, thanh toán xuyên biên giới hiện sử dụng cả ISO 20022 và hệ thống chuẩn cũ SWIFT Messaging Types (MT).</w:t>
      </w:r>
      <w:r w:rsidR="00787BB3" w:rsidRPr="006E7482">
        <w:rPr>
          <w:rStyle w:val="FootnoteReference"/>
        </w:rPr>
        <w:footnoteReference w:id="56"/>
      </w:r>
      <w:r w:rsidRPr="00721ABC">
        <w:rPr>
          <w:lang w:val="vi-VN"/>
        </w:rPr>
        <w:t xml:space="preserve"> Việc chọn một trong hai tiêu chuẩn này làm đại diện cho </w:t>
      </w:r>
      <w:r w:rsidR="00F873B7">
        <w:rPr>
          <w:lang w:val="vi-VN"/>
        </w:rPr>
        <w:t>TCTMS</w:t>
      </w:r>
      <w:r w:rsidRPr="00721ABC">
        <w:rPr>
          <w:lang w:val="vi-VN"/>
        </w:rPr>
        <w:t xml:space="preserve"> được hài hòa hóa sẽ đặt ra vấn đề tự lựa chọn (self-selection), trong đó các ngân hàng có hệ thống thanh toán hiện đại hơn sẽ dễ dàng chuyển đổi sang ISO 20022 hơn. Thay vào đó, việc sử dụng các điều khoản thương mại số giúp tránh vấn đề này bằng cách căn chỉnh </w:t>
      </w:r>
      <w:r w:rsidR="00F873B7">
        <w:rPr>
          <w:lang w:val="vi-VN"/>
        </w:rPr>
        <w:t>TCTMS</w:t>
      </w:r>
      <w:r w:rsidRPr="00721ABC">
        <w:rPr>
          <w:lang w:val="vi-VN"/>
        </w:rPr>
        <w:t xml:space="preserve"> mà không phụ thuộc vào một tiêu chuẩn duy nhất. Một phương án thay thế là đo lường mức độ áp dụng ở cấp độ các bên liên quan, nhưng cách này thường thiếu hoàn chỉnh và không đáng tin do thiếu dữ liệu nhất quán. Vì vậy, sử dụng các điều khoản thương mại số là phương pháp thực tiễn hơn.</w:t>
      </w:r>
    </w:p>
    <w:p w14:paraId="316005B5" w14:textId="7DD94308" w:rsidR="00A624F8" w:rsidRDefault="00787BB3" w:rsidP="00A624F8">
      <w:r w:rsidRPr="00787BB3">
        <w:t>Cách tiếp cận này dựa trên giả định rằng việc đưa các điều khoản thương mại số vào DEAs và FTAs là một chỉ báo đáng tin cậy về việc áp dụng các tiêu chuẩn quốc tế được hài hòa hóa, đặc biệt trong việc tạo thuận lợi cho khả năng tương tác giữa các cặp thương mại song phương. Sự hiện diện của các điều khoản này cho thấy các quốc gia có khả năng cao đã thực hiện hoặc có xu hướng thực hiện các nỗ lực triển khai thực chất, và đạt mức độ áp dụng tiêu chuẩn đáng kể trong các lĩnh vực thương mại số tương ứng, dù bản thân các điều khoản này có thể không cung cấp thông tin chi tiết về mức độ áp dụng theo thời gian thực của từng hệ thống hoặc từng chủ thể.</w:t>
      </w:r>
    </w:p>
    <w:p w14:paraId="7ED2E7DB" w14:textId="16074379" w:rsidR="00787BB3" w:rsidRPr="00787BB3" w:rsidRDefault="00787BB3" w:rsidP="00787BB3">
      <w:pPr>
        <w:rPr>
          <w:lang w:val="vi-VN"/>
        </w:rPr>
      </w:pPr>
      <w:r w:rsidRPr="00787BB3">
        <w:rPr>
          <w:lang w:val="vi-VN"/>
        </w:rPr>
        <w:t xml:space="preserve">Mức độ hài hòa hóa </w:t>
      </w:r>
      <w:r w:rsidR="00F873B7">
        <w:rPr>
          <w:lang w:val="vi-VN"/>
        </w:rPr>
        <w:t>TCTMS</w:t>
      </w:r>
      <w:r w:rsidRPr="00787BB3">
        <w:rPr>
          <w:lang w:val="vi-VN"/>
        </w:rPr>
        <w:t xml:space="preserve"> được xây dựng và thực thi trong DEAs và FTAs có mức độ khác nhau. Trong khi một số DEAs/FTAs chỉ ghi nhận tầm quan trọng của các hệ thống có khả năng tương tác, những hiệp định khác có điều khoản rõ ràng yêu cầu các bên ký kết phải chủ động hợp tác và bảo đảm tính tương thích, khả năng tương tác giữa hệ thống và quy trình, với tham chiếu tới các tiêu chuẩn hoặc khung tiêu chuẩn cụ thể như PEPPOL hoặc ISO 20022.</w:t>
      </w:r>
      <w:r w:rsidR="00A624F8" w:rsidRPr="006E7482">
        <w:rPr>
          <w:rStyle w:val="FootnoteReference"/>
        </w:rPr>
        <w:footnoteReference w:id="57"/>
      </w:r>
    </w:p>
    <w:p w14:paraId="54208E10" w14:textId="5F2EAEC6" w:rsidR="00787BB3" w:rsidRPr="00787BB3" w:rsidRDefault="00787BB3" w:rsidP="00787BB3">
      <w:pPr>
        <w:rPr>
          <w:lang w:val="vi-VN"/>
        </w:rPr>
        <w:sectPr w:rsidR="00787BB3" w:rsidRPr="00787BB3" w:rsidSect="00A624F8">
          <w:headerReference w:type="default" r:id="rId14"/>
          <w:footerReference w:type="default" r:id="rId15"/>
          <w:headerReference w:type="first" r:id="rId16"/>
          <w:pgSz w:w="12240" w:h="15840"/>
          <w:pgMar w:top="720" w:right="720" w:bottom="720" w:left="720" w:header="0" w:footer="720" w:gutter="0"/>
          <w:cols w:space="720"/>
          <w:titlePg/>
          <w:docGrid w:linePitch="360"/>
        </w:sectPr>
      </w:pPr>
      <w:r w:rsidRPr="00787BB3">
        <w:rPr>
          <w:lang w:val="vi-VN"/>
        </w:rPr>
        <w:t xml:space="preserve">Bảng 3 cho thấy hệ thống chấm điểm được sử dụng để đánh giá mức độ cam kết hài hòa hóa </w:t>
      </w:r>
      <w:r w:rsidR="00F873B7">
        <w:rPr>
          <w:lang w:val="vi-VN"/>
        </w:rPr>
        <w:t>TCTMS</w:t>
      </w:r>
      <w:r w:rsidRPr="00787BB3">
        <w:rPr>
          <w:lang w:val="vi-VN"/>
        </w:rPr>
        <w:t xml:space="preserve">. Thứ tự tăng dần của các nhóm thể hiện mức độ mạnh hơn của các điều khoản (ví dụ: xem xét tiêu chuẩn quốc tế, thể hiện ý định rõ ràng về hài hòa hóa và mở rộng áp dụng). Các cam kết thuộc nhóm 5 bao gồm toàn bộ cam kết từ nhóm 1 đến nhóm 4. Để đảm bảo mức độ phản ánh chính xác nhất tình hình hài hòa hóa trên thực tế, nghiên cứu này áp dụng tiêu chí nghiêm ngặt nhất đối với một điều khoản để đủ điều kiện được xem là hài hòa hóa </w:t>
      </w:r>
      <w:r w:rsidR="00F873B7">
        <w:rPr>
          <w:lang w:val="vi-VN"/>
        </w:rPr>
        <w:t>TCTMS</w:t>
      </w:r>
      <w:r w:rsidRPr="00787BB3">
        <w:rPr>
          <w:lang w:val="vi-VN"/>
        </w:rPr>
        <w:t xml:space="preserve">. Theo đó, một cam kết chỉ được tính là </w:t>
      </w:r>
      <w:r w:rsidR="00F873B7">
        <w:rPr>
          <w:lang w:val="vi-VN"/>
        </w:rPr>
        <w:t>TCTMS</w:t>
      </w:r>
      <w:r w:rsidRPr="00787BB3">
        <w:rPr>
          <w:lang w:val="vi-VN"/>
        </w:rPr>
        <w:t xml:space="preserve"> </w:t>
      </w:r>
      <w:r w:rsidRPr="00787BB3">
        <w:rPr>
          <w:lang w:val="vi-VN"/>
        </w:rPr>
        <w:lastRenderedPageBreak/>
        <w:t xml:space="preserve">được hài hòa hóa (điểm 1) nếu được phân loại ở nhóm 5, tức thể hiện rõ ý định mở rộng áp dụng </w:t>
      </w:r>
      <w:r w:rsidR="00F873B7">
        <w:rPr>
          <w:lang w:val="vi-VN"/>
        </w:rPr>
        <w:t>TCTMS</w:t>
      </w:r>
      <w:r w:rsidRPr="00787BB3">
        <w:rPr>
          <w:lang w:val="vi-VN"/>
        </w:rPr>
        <w:t xml:space="preserve"> đã được hài hòa hóa.</w:t>
      </w:r>
      <w:r>
        <w:rPr>
          <w:lang w:val="vi-VN"/>
        </w:rPr>
        <w:t xml:space="preserve"> </w:t>
      </w:r>
      <w:r w:rsidRPr="00787BB3">
        <w:rPr>
          <w:lang w:val="vi-VN"/>
        </w:rPr>
        <w:t xml:space="preserve">Về phạm vi phân tích, nghiên cứu tập trung vào các lĩnh vực thương mại số nơi nỗ lực hài hòa hóa </w:t>
      </w:r>
      <w:r w:rsidR="00F873B7">
        <w:rPr>
          <w:lang w:val="vi-VN"/>
        </w:rPr>
        <w:t>TCTMS</w:t>
      </w:r>
      <w:r w:rsidRPr="00787BB3">
        <w:rPr>
          <w:lang w:val="vi-VN"/>
        </w:rPr>
        <w:t xml:space="preserve"> diễn ra mạnh nhất; bao gồm: thương mại không giấy tờ (paperless trade), xác thực điện tử, hóa đơn điện tử, thanh toán số, thương mại điện tử và chứng từ điện tử có thể chuyển nhượng (electronic transferable records) (Bảng 3).</w:t>
      </w:r>
    </w:p>
    <w:p w14:paraId="7FF6D845" w14:textId="0CAC76EF" w:rsidR="00A624F8" w:rsidRPr="00E356BB" w:rsidRDefault="00561834" w:rsidP="00A624F8">
      <w:pPr>
        <w:rPr>
          <w:b/>
          <w:lang w:val="vi-VN"/>
        </w:rPr>
      </w:pPr>
      <w:r>
        <w:rPr>
          <w:b/>
          <w:bCs/>
        </w:rPr>
        <w:lastRenderedPageBreak/>
        <w:t>Bảng</w:t>
      </w:r>
      <w:r w:rsidR="00A624F8" w:rsidRPr="0001435B">
        <w:rPr>
          <w:b/>
          <w:bCs/>
        </w:rPr>
        <w:t xml:space="preserve"> </w:t>
      </w:r>
      <w:r w:rsidR="0038538E">
        <w:rPr>
          <w:b/>
          <w:bCs/>
        </w:rPr>
        <w:t>3</w:t>
      </w:r>
      <w:r w:rsidR="00A624F8" w:rsidRPr="00940E2B">
        <w:rPr>
          <w:b/>
        </w:rPr>
        <w:t xml:space="preserve">: </w:t>
      </w:r>
      <w:r w:rsidR="00075DF7" w:rsidRPr="00075DF7">
        <w:rPr>
          <w:b/>
          <w:lang w:val="vi-VN"/>
        </w:rPr>
        <w:t>Chấm điểm các quy định về thương mại số theo mức độ cam kết đối với khả năng tương tác và hài hòa tiêu chuẩn</w:t>
      </w:r>
    </w:p>
    <w:tbl>
      <w:tblPr>
        <w:tblStyle w:val="TableGrid"/>
        <w:tblW w:w="0" w:type="auto"/>
        <w:tblLook w:val="04A0" w:firstRow="1" w:lastRow="0" w:firstColumn="1" w:lastColumn="0" w:noHBand="0" w:noVBand="1"/>
      </w:tblPr>
      <w:tblGrid>
        <w:gridCol w:w="1321"/>
        <w:gridCol w:w="1086"/>
        <w:gridCol w:w="1454"/>
        <w:gridCol w:w="1653"/>
        <w:gridCol w:w="1730"/>
        <w:gridCol w:w="1889"/>
        <w:gridCol w:w="1950"/>
        <w:gridCol w:w="1617"/>
        <w:gridCol w:w="1690"/>
      </w:tblGrid>
      <w:tr w:rsidR="0015375D" w:rsidRPr="00C85B9C" w14:paraId="1267508B" w14:textId="77777777" w:rsidTr="008C4E60">
        <w:trPr>
          <w:cantSplit/>
          <w:trHeight w:val="395"/>
          <w:tblHeader/>
        </w:trPr>
        <w:tc>
          <w:tcPr>
            <w:tcW w:w="1386" w:type="dxa"/>
            <w:vMerge w:val="restart"/>
            <w:shd w:val="clear" w:color="auto" w:fill="002060"/>
            <w:vAlign w:val="center"/>
          </w:tcPr>
          <w:p w14:paraId="3BD3D4D0" w14:textId="521790F5" w:rsidR="00A624F8" w:rsidRPr="00C85B9C" w:rsidRDefault="00075DF7">
            <w:pPr>
              <w:spacing w:before="160" w:after="160" w:line="240" w:lineRule="auto"/>
              <w:jc w:val="left"/>
              <w:rPr>
                <w:b/>
                <w:bCs/>
                <w:color w:val="FFFFFF" w:themeColor="background1"/>
                <w:sz w:val="16"/>
                <w:szCs w:val="16"/>
              </w:rPr>
            </w:pPr>
            <w:r w:rsidRPr="00075DF7">
              <w:rPr>
                <w:b/>
                <w:bCs/>
                <w:color w:val="FFFFFF" w:themeColor="background1"/>
                <w:sz w:val="16"/>
                <w:szCs w:val="16"/>
              </w:rPr>
              <w:t>Chấm điểm các Tiêu chuẩn Thương mại Số đã được hài hòa (</w:t>
            </w:r>
            <w:r w:rsidR="00F873B7">
              <w:rPr>
                <w:b/>
                <w:bCs/>
                <w:color w:val="FFFFFF" w:themeColor="background1"/>
                <w:sz w:val="16"/>
                <w:szCs w:val="16"/>
              </w:rPr>
              <w:t>TCTMS</w:t>
            </w:r>
            <w:r w:rsidRPr="00075DF7">
              <w:rPr>
                <w:b/>
                <w:bCs/>
                <w:color w:val="FFFFFF" w:themeColor="background1"/>
                <w:sz w:val="16"/>
                <w:szCs w:val="16"/>
              </w:rPr>
              <w:t>)</w:t>
            </w:r>
          </w:p>
        </w:tc>
        <w:tc>
          <w:tcPr>
            <w:tcW w:w="1143" w:type="dxa"/>
            <w:vMerge w:val="restart"/>
            <w:shd w:val="clear" w:color="auto" w:fill="002060"/>
            <w:vAlign w:val="center"/>
          </w:tcPr>
          <w:p w14:paraId="4898123E" w14:textId="53286AC3" w:rsidR="00A624F8" w:rsidRPr="00C85B9C" w:rsidRDefault="00075DF7">
            <w:pPr>
              <w:spacing w:before="160" w:after="160" w:line="240" w:lineRule="auto"/>
              <w:jc w:val="left"/>
              <w:rPr>
                <w:b/>
                <w:bCs/>
                <w:color w:val="FFFFFF" w:themeColor="background1"/>
                <w:sz w:val="16"/>
                <w:szCs w:val="16"/>
              </w:rPr>
            </w:pPr>
            <w:r w:rsidRPr="00075DF7">
              <w:rPr>
                <w:b/>
                <w:bCs/>
                <w:color w:val="FFFFFF" w:themeColor="background1"/>
                <w:sz w:val="16"/>
                <w:szCs w:val="16"/>
              </w:rPr>
              <w:t>Mức độ tương đối của nhóm tiêu chí</w:t>
            </w:r>
          </w:p>
        </w:tc>
        <w:tc>
          <w:tcPr>
            <w:tcW w:w="1550" w:type="dxa"/>
            <w:vMerge w:val="restart"/>
            <w:shd w:val="clear" w:color="auto" w:fill="002060"/>
            <w:vAlign w:val="center"/>
          </w:tcPr>
          <w:p w14:paraId="0D00B6D5" w14:textId="184F9785" w:rsidR="00A624F8" w:rsidRPr="00C85B9C" w:rsidRDefault="00075DF7">
            <w:pPr>
              <w:spacing w:before="160" w:after="160" w:line="240" w:lineRule="auto"/>
              <w:jc w:val="left"/>
              <w:rPr>
                <w:b/>
                <w:bCs/>
                <w:color w:val="FFFFFF" w:themeColor="background1"/>
                <w:sz w:val="16"/>
                <w:szCs w:val="16"/>
              </w:rPr>
            </w:pPr>
            <w:r w:rsidRPr="00075DF7">
              <w:rPr>
                <w:b/>
                <w:bCs/>
                <w:color w:val="FFFFFF" w:themeColor="background1"/>
                <w:sz w:val="16"/>
                <w:szCs w:val="16"/>
              </w:rPr>
              <w:t>Nhóm tiêu chí</w:t>
            </w:r>
          </w:p>
        </w:tc>
        <w:tc>
          <w:tcPr>
            <w:tcW w:w="11309" w:type="dxa"/>
            <w:gridSpan w:val="6"/>
            <w:shd w:val="clear" w:color="auto" w:fill="002060"/>
            <w:vAlign w:val="center"/>
          </w:tcPr>
          <w:p w14:paraId="6F72C8D7" w14:textId="1485F53D" w:rsidR="00A624F8" w:rsidRPr="00C85B9C" w:rsidRDefault="00075DF7">
            <w:pPr>
              <w:spacing w:before="160" w:after="160" w:line="240" w:lineRule="auto"/>
              <w:jc w:val="left"/>
              <w:rPr>
                <w:b/>
                <w:bCs/>
                <w:color w:val="FFFFFF" w:themeColor="background1"/>
                <w:sz w:val="16"/>
                <w:szCs w:val="16"/>
              </w:rPr>
            </w:pPr>
            <w:r w:rsidRPr="00075DF7">
              <w:rPr>
                <w:b/>
                <w:bCs/>
                <w:color w:val="FFFFFF" w:themeColor="background1"/>
                <w:sz w:val="16"/>
                <w:szCs w:val="16"/>
              </w:rPr>
              <w:t>Các Tiêu chuẩn Thương mại Số</w:t>
            </w:r>
          </w:p>
        </w:tc>
      </w:tr>
      <w:tr w:rsidR="006D4488" w:rsidRPr="008709A6" w14:paraId="45DC6744" w14:textId="77777777" w:rsidTr="005833A0">
        <w:trPr>
          <w:cantSplit/>
          <w:trHeight w:val="69"/>
          <w:tblHeader/>
        </w:trPr>
        <w:tc>
          <w:tcPr>
            <w:tcW w:w="1386" w:type="dxa"/>
            <w:vMerge/>
            <w:shd w:val="clear" w:color="auto" w:fill="1F4E79" w:themeFill="accent5" w:themeFillShade="80"/>
            <w:vAlign w:val="center"/>
          </w:tcPr>
          <w:p w14:paraId="26BFB27B" w14:textId="77777777" w:rsidR="00A624F8" w:rsidRPr="00C85B9C" w:rsidRDefault="00A624F8">
            <w:pPr>
              <w:spacing w:before="160" w:after="160" w:line="240" w:lineRule="auto"/>
              <w:jc w:val="left"/>
              <w:rPr>
                <w:b/>
                <w:bCs/>
                <w:color w:val="FFFFFF" w:themeColor="background1"/>
                <w:sz w:val="16"/>
                <w:szCs w:val="16"/>
              </w:rPr>
            </w:pPr>
          </w:p>
        </w:tc>
        <w:tc>
          <w:tcPr>
            <w:tcW w:w="1143" w:type="dxa"/>
            <w:vMerge/>
            <w:shd w:val="clear" w:color="auto" w:fill="1F4E79" w:themeFill="accent5" w:themeFillShade="80"/>
          </w:tcPr>
          <w:p w14:paraId="232EE410" w14:textId="77777777" w:rsidR="00A624F8" w:rsidRPr="00C85B9C" w:rsidRDefault="00A624F8">
            <w:pPr>
              <w:spacing w:before="160" w:after="160" w:line="240" w:lineRule="auto"/>
              <w:jc w:val="left"/>
              <w:rPr>
                <w:b/>
                <w:bCs/>
                <w:color w:val="FFFFFF" w:themeColor="background1"/>
                <w:sz w:val="16"/>
                <w:szCs w:val="16"/>
              </w:rPr>
            </w:pPr>
          </w:p>
        </w:tc>
        <w:tc>
          <w:tcPr>
            <w:tcW w:w="1550" w:type="dxa"/>
            <w:vMerge/>
            <w:shd w:val="clear" w:color="auto" w:fill="1F4E79" w:themeFill="accent5" w:themeFillShade="80"/>
            <w:vAlign w:val="center"/>
          </w:tcPr>
          <w:p w14:paraId="58F0094F" w14:textId="77777777" w:rsidR="00A624F8" w:rsidRPr="00C85B9C" w:rsidRDefault="00A624F8">
            <w:pPr>
              <w:spacing w:before="160" w:after="160" w:line="240" w:lineRule="auto"/>
              <w:jc w:val="left"/>
              <w:rPr>
                <w:b/>
                <w:bCs/>
                <w:color w:val="FFFFFF" w:themeColor="background1"/>
                <w:sz w:val="16"/>
                <w:szCs w:val="16"/>
              </w:rPr>
            </w:pPr>
          </w:p>
        </w:tc>
        <w:tc>
          <w:tcPr>
            <w:tcW w:w="1771" w:type="dxa"/>
            <w:shd w:val="clear" w:color="auto" w:fill="0070C0"/>
            <w:vAlign w:val="center"/>
          </w:tcPr>
          <w:p w14:paraId="0BA21131" w14:textId="04388D9F" w:rsidR="00A624F8" w:rsidRPr="00C85B9C" w:rsidRDefault="00075DF7">
            <w:pPr>
              <w:spacing w:before="160" w:after="160" w:line="240" w:lineRule="auto"/>
              <w:jc w:val="left"/>
              <w:rPr>
                <w:b/>
                <w:bCs/>
                <w:color w:val="FFFFFF" w:themeColor="background1"/>
                <w:sz w:val="16"/>
                <w:szCs w:val="16"/>
              </w:rPr>
            </w:pPr>
            <w:r w:rsidRPr="00075DF7">
              <w:rPr>
                <w:b/>
                <w:bCs/>
                <w:color w:val="FFFFFF" w:themeColor="background1"/>
                <w:sz w:val="16"/>
                <w:szCs w:val="16"/>
              </w:rPr>
              <w:t>Thương mại phi giấy tờ</w:t>
            </w:r>
          </w:p>
        </w:tc>
        <w:tc>
          <w:tcPr>
            <w:tcW w:w="1871" w:type="dxa"/>
            <w:shd w:val="clear" w:color="auto" w:fill="0070C0"/>
            <w:vAlign w:val="center"/>
          </w:tcPr>
          <w:p w14:paraId="637A3115" w14:textId="6C03C8CE" w:rsidR="00A624F8" w:rsidRPr="00C85B9C" w:rsidRDefault="00075DF7">
            <w:pPr>
              <w:spacing w:before="160" w:after="160" w:line="240" w:lineRule="auto"/>
              <w:jc w:val="left"/>
              <w:rPr>
                <w:b/>
                <w:bCs/>
                <w:color w:val="FFFFFF" w:themeColor="background1"/>
                <w:sz w:val="16"/>
                <w:szCs w:val="16"/>
              </w:rPr>
            </w:pPr>
            <w:r w:rsidRPr="00075DF7">
              <w:rPr>
                <w:b/>
                <w:bCs/>
                <w:color w:val="FFFFFF" w:themeColor="background1"/>
                <w:sz w:val="16"/>
                <w:szCs w:val="16"/>
              </w:rPr>
              <w:t>Xác thực điện tử</w:t>
            </w:r>
          </w:p>
        </w:tc>
        <w:tc>
          <w:tcPr>
            <w:tcW w:w="2055" w:type="dxa"/>
            <w:shd w:val="clear" w:color="auto" w:fill="0070C0"/>
            <w:vAlign w:val="center"/>
          </w:tcPr>
          <w:p w14:paraId="61B9D9E1" w14:textId="1B96733E" w:rsidR="00A624F8" w:rsidRPr="00C85B9C" w:rsidRDefault="00075DF7">
            <w:pPr>
              <w:spacing w:before="160" w:after="160" w:line="240" w:lineRule="auto"/>
              <w:jc w:val="left"/>
              <w:rPr>
                <w:b/>
                <w:bCs/>
                <w:color w:val="FFFFFF" w:themeColor="background1"/>
                <w:sz w:val="16"/>
                <w:szCs w:val="16"/>
              </w:rPr>
            </w:pPr>
            <w:r w:rsidRPr="00075DF7">
              <w:rPr>
                <w:b/>
                <w:bCs/>
                <w:color w:val="FFFFFF" w:themeColor="background1"/>
                <w:sz w:val="16"/>
                <w:szCs w:val="16"/>
              </w:rPr>
              <w:t>Hóa đơn điện tử</w:t>
            </w:r>
          </w:p>
        </w:tc>
        <w:tc>
          <w:tcPr>
            <w:tcW w:w="2126" w:type="dxa"/>
            <w:shd w:val="clear" w:color="auto" w:fill="0070C0"/>
            <w:vAlign w:val="center"/>
          </w:tcPr>
          <w:p w14:paraId="31E8721E" w14:textId="5B4EFF46" w:rsidR="00A624F8" w:rsidRPr="00C85B9C" w:rsidRDefault="00075DF7">
            <w:pPr>
              <w:spacing w:before="160" w:after="160" w:line="240" w:lineRule="auto"/>
              <w:jc w:val="left"/>
              <w:rPr>
                <w:b/>
                <w:bCs/>
                <w:color w:val="FFFFFF" w:themeColor="background1"/>
                <w:sz w:val="16"/>
                <w:szCs w:val="16"/>
              </w:rPr>
            </w:pPr>
            <w:r w:rsidRPr="00075DF7">
              <w:rPr>
                <w:b/>
                <w:bCs/>
                <w:color w:val="FFFFFF" w:themeColor="background1"/>
                <w:sz w:val="16"/>
                <w:szCs w:val="16"/>
              </w:rPr>
              <w:t>Thanh toán số</w:t>
            </w:r>
          </w:p>
        </w:tc>
        <w:tc>
          <w:tcPr>
            <w:tcW w:w="1701" w:type="dxa"/>
            <w:shd w:val="clear" w:color="auto" w:fill="0070C0"/>
            <w:vAlign w:val="center"/>
          </w:tcPr>
          <w:p w14:paraId="3D6EB986" w14:textId="109D7C6C" w:rsidR="00A624F8" w:rsidRPr="00C85B9C" w:rsidRDefault="00116AC5">
            <w:pPr>
              <w:spacing w:before="160" w:after="160" w:line="240" w:lineRule="auto"/>
              <w:jc w:val="left"/>
              <w:rPr>
                <w:b/>
                <w:bCs/>
                <w:color w:val="FFFFFF" w:themeColor="background1"/>
                <w:sz w:val="16"/>
                <w:szCs w:val="16"/>
              </w:rPr>
            </w:pPr>
            <w:r w:rsidRPr="00116AC5">
              <w:rPr>
                <w:b/>
                <w:bCs/>
                <w:color w:val="FFFFFF" w:themeColor="background1"/>
                <w:sz w:val="16"/>
                <w:szCs w:val="16"/>
              </w:rPr>
              <w:t>Luật Mẫu của UNCITRAL về Thương mại Điện tử</w:t>
            </w:r>
          </w:p>
        </w:tc>
        <w:tc>
          <w:tcPr>
            <w:tcW w:w="1785" w:type="dxa"/>
            <w:shd w:val="clear" w:color="auto" w:fill="0070C0"/>
            <w:vAlign w:val="center"/>
          </w:tcPr>
          <w:p w14:paraId="5BD00E3D" w14:textId="02D0B779" w:rsidR="00A624F8" w:rsidRPr="00C85B9C" w:rsidRDefault="00116AC5">
            <w:pPr>
              <w:spacing w:before="160" w:after="160" w:line="240" w:lineRule="auto"/>
              <w:jc w:val="left"/>
              <w:rPr>
                <w:b/>
                <w:bCs/>
                <w:color w:val="FFFFFF" w:themeColor="background1"/>
                <w:sz w:val="16"/>
                <w:szCs w:val="16"/>
              </w:rPr>
            </w:pPr>
            <w:r w:rsidRPr="00116AC5">
              <w:rPr>
                <w:b/>
                <w:bCs/>
                <w:color w:val="FFFFFF" w:themeColor="background1"/>
                <w:sz w:val="16"/>
                <w:szCs w:val="16"/>
              </w:rPr>
              <w:t>Luật Mẫu của UNCITRAL về Chứng từ Chuyển nhượng Điện tử</w:t>
            </w:r>
          </w:p>
        </w:tc>
      </w:tr>
      <w:tr w:rsidR="006D4488" w:rsidRPr="00C85B9C" w14:paraId="02F12A5D" w14:textId="77777777">
        <w:trPr>
          <w:cantSplit/>
          <w:trHeight w:val="797"/>
        </w:trPr>
        <w:tc>
          <w:tcPr>
            <w:tcW w:w="1386" w:type="dxa"/>
            <w:vAlign w:val="center"/>
          </w:tcPr>
          <w:p w14:paraId="5997285A" w14:textId="77777777" w:rsidR="00A624F8" w:rsidRPr="00C85B9C" w:rsidRDefault="00A624F8">
            <w:pPr>
              <w:spacing w:before="160" w:after="160" w:line="240" w:lineRule="auto"/>
              <w:jc w:val="left"/>
              <w:rPr>
                <w:sz w:val="16"/>
                <w:szCs w:val="16"/>
              </w:rPr>
            </w:pPr>
            <w:r w:rsidRPr="00C85B9C">
              <w:rPr>
                <w:sz w:val="16"/>
                <w:szCs w:val="16"/>
              </w:rPr>
              <w:t>0</w:t>
            </w:r>
          </w:p>
        </w:tc>
        <w:tc>
          <w:tcPr>
            <w:tcW w:w="1143" w:type="dxa"/>
            <w:vAlign w:val="center"/>
          </w:tcPr>
          <w:p w14:paraId="16F3DB9D" w14:textId="77777777" w:rsidR="00A624F8" w:rsidRPr="00C85B9C" w:rsidRDefault="00A624F8">
            <w:pPr>
              <w:spacing w:before="160" w:after="160" w:line="240" w:lineRule="auto"/>
              <w:jc w:val="left"/>
              <w:rPr>
                <w:sz w:val="16"/>
                <w:szCs w:val="16"/>
              </w:rPr>
            </w:pPr>
            <w:r w:rsidRPr="00C85B9C">
              <w:rPr>
                <w:sz w:val="16"/>
                <w:szCs w:val="16"/>
              </w:rPr>
              <w:t>0</w:t>
            </w:r>
          </w:p>
        </w:tc>
        <w:tc>
          <w:tcPr>
            <w:tcW w:w="1550" w:type="dxa"/>
            <w:vAlign w:val="center"/>
          </w:tcPr>
          <w:p w14:paraId="243CE47D" w14:textId="250BDE4E" w:rsidR="00A624F8" w:rsidRPr="00C85B9C" w:rsidRDefault="00443401">
            <w:pPr>
              <w:spacing w:before="160" w:after="160" w:line="240" w:lineRule="auto"/>
              <w:jc w:val="left"/>
              <w:rPr>
                <w:sz w:val="16"/>
                <w:szCs w:val="16"/>
              </w:rPr>
            </w:pPr>
            <w:r w:rsidRPr="00443401">
              <w:rPr>
                <w:sz w:val="16"/>
                <w:szCs w:val="16"/>
              </w:rPr>
              <w:t>Không đề cập</w:t>
            </w:r>
          </w:p>
        </w:tc>
        <w:tc>
          <w:tcPr>
            <w:tcW w:w="1771" w:type="dxa"/>
            <w:vAlign w:val="center"/>
          </w:tcPr>
          <w:p w14:paraId="4F1649B4" w14:textId="77777777" w:rsidR="00A624F8" w:rsidRPr="00C85B9C" w:rsidRDefault="00A624F8">
            <w:pPr>
              <w:spacing w:before="160" w:after="160" w:line="240" w:lineRule="auto"/>
              <w:jc w:val="left"/>
              <w:rPr>
                <w:sz w:val="16"/>
                <w:szCs w:val="16"/>
              </w:rPr>
            </w:pPr>
            <w:r w:rsidRPr="00C85B9C">
              <w:rPr>
                <w:sz w:val="16"/>
                <w:szCs w:val="16"/>
              </w:rPr>
              <w:t>-</w:t>
            </w:r>
          </w:p>
        </w:tc>
        <w:tc>
          <w:tcPr>
            <w:tcW w:w="1871" w:type="dxa"/>
            <w:vAlign w:val="center"/>
          </w:tcPr>
          <w:p w14:paraId="2516645F" w14:textId="77777777" w:rsidR="00A624F8" w:rsidRPr="00C85B9C" w:rsidRDefault="00A624F8">
            <w:pPr>
              <w:spacing w:before="160" w:after="160" w:line="240" w:lineRule="auto"/>
              <w:jc w:val="left"/>
              <w:rPr>
                <w:sz w:val="16"/>
                <w:szCs w:val="16"/>
              </w:rPr>
            </w:pPr>
            <w:r w:rsidRPr="00C85B9C">
              <w:rPr>
                <w:sz w:val="16"/>
                <w:szCs w:val="16"/>
              </w:rPr>
              <w:t>-</w:t>
            </w:r>
          </w:p>
        </w:tc>
        <w:tc>
          <w:tcPr>
            <w:tcW w:w="2055" w:type="dxa"/>
            <w:vAlign w:val="center"/>
          </w:tcPr>
          <w:p w14:paraId="67154C27" w14:textId="77777777" w:rsidR="00A624F8" w:rsidRPr="00C85B9C" w:rsidRDefault="00A624F8">
            <w:pPr>
              <w:spacing w:before="160" w:after="160" w:line="240" w:lineRule="auto"/>
              <w:jc w:val="left"/>
              <w:rPr>
                <w:sz w:val="16"/>
                <w:szCs w:val="16"/>
              </w:rPr>
            </w:pPr>
            <w:r w:rsidRPr="00C85B9C">
              <w:rPr>
                <w:sz w:val="16"/>
                <w:szCs w:val="16"/>
              </w:rPr>
              <w:t>-</w:t>
            </w:r>
          </w:p>
        </w:tc>
        <w:tc>
          <w:tcPr>
            <w:tcW w:w="2126" w:type="dxa"/>
            <w:vAlign w:val="center"/>
          </w:tcPr>
          <w:p w14:paraId="3717647D" w14:textId="77777777" w:rsidR="00A624F8" w:rsidRPr="00C85B9C" w:rsidRDefault="00A624F8">
            <w:pPr>
              <w:spacing w:before="160" w:after="160" w:line="240" w:lineRule="auto"/>
              <w:jc w:val="left"/>
              <w:rPr>
                <w:sz w:val="16"/>
                <w:szCs w:val="16"/>
              </w:rPr>
            </w:pPr>
            <w:r w:rsidRPr="00C85B9C">
              <w:rPr>
                <w:sz w:val="16"/>
                <w:szCs w:val="16"/>
              </w:rPr>
              <w:t>-</w:t>
            </w:r>
          </w:p>
        </w:tc>
        <w:tc>
          <w:tcPr>
            <w:tcW w:w="1701" w:type="dxa"/>
            <w:vAlign w:val="center"/>
          </w:tcPr>
          <w:p w14:paraId="1776CD9A" w14:textId="77777777" w:rsidR="00A624F8" w:rsidRPr="00C85B9C" w:rsidRDefault="00A624F8">
            <w:pPr>
              <w:spacing w:before="160" w:after="160" w:line="240" w:lineRule="auto"/>
              <w:jc w:val="left"/>
              <w:rPr>
                <w:sz w:val="16"/>
                <w:szCs w:val="16"/>
              </w:rPr>
            </w:pPr>
            <w:r w:rsidRPr="00C85B9C">
              <w:rPr>
                <w:sz w:val="16"/>
                <w:szCs w:val="16"/>
              </w:rPr>
              <w:t>-</w:t>
            </w:r>
          </w:p>
        </w:tc>
        <w:tc>
          <w:tcPr>
            <w:tcW w:w="1785" w:type="dxa"/>
            <w:vAlign w:val="center"/>
          </w:tcPr>
          <w:p w14:paraId="43BA5DA5" w14:textId="77777777" w:rsidR="00A624F8" w:rsidRPr="00C85B9C" w:rsidRDefault="00A624F8">
            <w:pPr>
              <w:spacing w:before="160" w:after="160" w:line="240" w:lineRule="auto"/>
              <w:jc w:val="left"/>
              <w:rPr>
                <w:sz w:val="16"/>
                <w:szCs w:val="16"/>
              </w:rPr>
            </w:pPr>
            <w:r w:rsidRPr="00C85B9C">
              <w:rPr>
                <w:sz w:val="16"/>
                <w:szCs w:val="16"/>
              </w:rPr>
              <w:t>-</w:t>
            </w:r>
          </w:p>
        </w:tc>
      </w:tr>
      <w:tr w:rsidR="006D4488" w:rsidRPr="00C85B9C" w14:paraId="22205A67" w14:textId="77777777">
        <w:trPr>
          <w:cantSplit/>
          <w:trHeight w:val="751"/>
        </w:trPr>
        <w:tc>
          <w:tcPr>
            <w:tcW w:w="1386" w:type="dxa"/>
            <w:vAlign w:val="center"/>
          </w:tcPr>
          <w:p w14:paraId="307A2F08" w14:textId="77777777" w:rsidR="00A624F8" w:rsidRPr="00C85B9C" w:rsidRDefault="00A624F8">
            <w:pPr>
              <w:spacing w:before="160" w:after="160" w:line="240" w:lineRule="auto"/>
              <w:jc w:val="left"/>
              <w:rPr>
                <w:sz w:val="16"/>
                <w:szCs w:val="16"/>
              </w:rPr>
            </w:pPr>
            <w:r w:rsidRPr="00C85B9C">
              <w:rPr>
                <w:sz w:val="16"/>
                <w:szCs w:val="16"/>
              </w:rPr>
              <w:t>0</w:t>
            </w:r>
          </w:p>
        </w:tc>
        <w:tc>
          <w:tcPr>
            <w:tcW w:w="1143" w:type="dxa"/>
            <w:vAlign w:val="center"/>
          </w:tcPr>
          <w:p w14:paraId="5A6B0CCA" w14:textId="77777777" w:rsidR="00A624F8" w:rsidRPr="00C85B9C" w:rsidRDefault="00A624F8">
            <w:pPr>
              <w:spacing w:before="160" w:after="160" w:line="240" w:lineRule="auto"/>
              <w:jc w:val="left"/>
              <w:rPr>
                <w:sz w:val="16"/>
                <w:szCs w:val="16"/>
              </w:rPr>
            </w:pPr>
            <w:r w:rsidRPr="00C85B9C">
              <w:rPr>
                <w:sz w:val="16"/>
                <w:szCs w:val="16"/>
              </w:rPr>
              <w:t>1</w:t>
            </w:r>
          </w:p>
        </w:tc>
        <w:tc>
          <w:tcPr>
            <w:tcW w:w="1550" w:type="dxa"/>
            <w:vAlign w:val="center"/>
          </w:tcPr>
          <w:p w14:paraId="57D674C7" w14:textId="53774B10" w:rsidR="00A624F8" w:rsidRPr="00C85B9C" w:rsidRDefault="00443401">
            <w:pPr>
              <w:spacing w:before="160" w:after="160" w:line="240" w:lineRule="auto"/>
              <w:jc w:val="left"/>
              <w:rPr>
                <w:sz w:val="16"/>
                <w:szCs w:val="16"/>
              </w:rPr>
            </w:pPr>
            <w:r w:rsidRPr="00443401">
              <w:rPr>
                <w:b/>
                <w:bCs/>
                <w:sz w:val="16"/>
                <w:szCs w:val="16"/>
              </w:rPr>
              <w:t xml:space="preserve">Đề cập </w:t>
            </w:r>
            <w:r w:rsidRPr="00443401">
              <w:rPr>
                <w:sz w:val="16"/>
                <w:szCs w:val="16"/>
              </w:rPr>
              <w:t>đến lĩnh vực thương mại số</w:t>
            </w:r>
          </w:p>
        </w:tc>
        <w:tc>
          <w:tcPr>
            <w:tcW w:w="1771" w:type="dxa"/>
          </w:tcPr>
          <w:p w14:paraId="65633AE9" w14:textId="395F95C6" w:rsidR="00EF616E" w:rsidRPr="00EF616E" w:rsidRDefault="00EF616E" w:rsidP="00EF616E">
            <w:pPr>
              <w:spacing w:before="160" w:line="240" w:lineRule="auto"/>
              <w:jc w:val="left"/>
              <w:rPr>
                <w:sz w:val="16"/>
                <w:szCs w:val="16"/>
                <w:lang w:val="vi-VN"/>
              </w:rPr>
            </w:pPr>
            <w:r w:rsidRPr="00EF616E">
              <w:rPr>
                <w:sz w:val="16"/>
                <w:szCs w:val="16"/>
              </w:rPr>
              <w:t>Chấp nhận chứng từ thương mại điện tử có giá trị pháp lý tương đương với bản giấy của chứng từ đó;</w:t>
            </w:r>
          </w:p>
          <w:p w14:paraId="594AD680" w14:textId="2AD7F1AF" w:rsidR="00A624F8" w:rsidRPr="00C85B9C" w:rsidRDefault="00EF616E" w:rsidP="00EF616E">
            <w:pPr>
              <w:spacing w:before="160" w:after="160" w:line="240" w:lineRule="auto"/>
              <w:jc w:val="left"/>
              <w:rPr>
                <w:sz w:val="16"/>
                <w:szCs w:val="16"/>
              </w:rPr>
            </w:pPr>
            <w:r w:rsidRPr="00EF616E">
              <w:rPr>
                <w:sz w:val="16"/>
                <w:szCs w:val="16"/>
              </w:rPr>
              <w:t>Áp dụng nguyên tắc không phủ nhận giá trị pháp lý của chứng từ thương mại điện tử.</w:t>
            </w:r>
          </w:p>
        </w:tc>
        <w:tc>
          <w:tcPr>
            <w:tcW w:w="1871" w:type="dxa"/>
          </w:tcPr>
          <w:p w14:paraId="7A8882F9" w14:textId="6E3355A0" w:rsidR="00EF616E" w:rsidRPr="00EF616E" w:rsidRDefault="00EF616E" w:rsidP="00EF616E">
            <w:pPr>
              <w:spacing w:before="160" w:line="240" w:lineRule="auto"/>
              <w:jc w:val="left"/>
              <w:rPr>
                <w:sz w:val="16"/>
                <w:szCs w:val="16"/>
                <w:lang w:val="vi-VN"/>
              </w:rPr>
            </w:pPr>
            <w:r w:rsidRPr="00EF616E">
              <w:rPr>
                <w:sz w:val="16"/>
                <w:szCs w:val="16"/>
              </w:rPr>
              <w:t>Chấp nhận xác thực điện tử có giá trị pháp lý tương đương với hình thức giấy;</w:t>
            </w:r>
          </w:p>
          <w:p w14:paraId="2713CF08" w14:textId="62158244" w:rsidR="00A624F8" w:rsidRPr="00C85B9C" w:rsidRDefault="00EF616E" w:rsidP="00EF616E">
            <w:pPr>
              <w:spacing w:before="160" w:after="160" w:line="240" w:lineRule="auto"/>
              <w:jc w:val="left"/>
              <w:rPr>
                <w:sz w:val="16"/>
                <w:szCs w:val="16"/>
              </w:rPr>
            </w:pPr>
            <w:r w:rsidRPr="00EF616E">
              <w:rPr>
                <w:sz w:val="16"/>
                <w:szCs w:val="16"/>
              </w:rPr>
              <w:t>Áp dụng nguyên tắc không phủ nhận giá trị của chứng từ thương mại.</w:t>
            </w:r>
          </w:p>
        </w:tc>
        <w:tc>
          <w:tcPr>
            <w:tcW w:w="2055" w:type="dxa"/>
          </w:tcPr>
          <w:p w14:paraId="439A7D80" w14:textId="75EFE21B" w:rsidR="00A624F8" w:rsidRPr="00C85B9C" w:rsidRDefault="00942C1D">
            <w:pPr>
              <w:spacing w:before="160" w:after="160" w:line="240" w:lineRule="auto"/>
              <w:jc w:val="left"/>
              <w:rPr>
                <w:sz w:val="16"/>
                <w:szCs w:val="16"/>
              </w:rPr>
            </w:pPr>
            <w:r w:rsidRPr="00942C1D">
              <w:rPr>
                <w:sz w:val="16"/>
                <w:szCs w:val="16"/>
              </w:rPr>
              <w:t>Các Bên công nhận tầm quan trọng của hóa đơn điện tử trong việc nâng cao hiệu quả, độ chính xác và độ tin cậy của các giao dịch thương mại.</w:t>
            </w:r>
          </w:p>
          <w:p w14:paraId="18CD6AD3" w14:textId="77777777" w:rsidR="00A624F8" w:rsidRPr="00C85B9C" w:rsidRDefault="00A624F8">
            <w:pPr>
              <w:spacing w:before="160" w:after="160" w:line="240" w:lineRule="auto"/>
              <w:jc w:val="left"/>
              <w:rPr>
                <w:sz w:val="16"/>
                <w:szCs w:val="16"/>
              </w:rPr>
            </w:pPr>
          </w:p>
        </w:tc>
        <w:tc>
          <w:tcPr>
            <w:tcW w:w="2126" w:type="dxa"/>
          </w:tcPr>
          <w:p w14:paraId="44CAC8B2" w14:textId="7F7DA076" w:rsidR="00A624F8" w:rsidRPr="00516087" w:rsidRDefault="00942C1D">
            <w:pPr>
              <w:spacing w:before="160" w:after="160" w:line="240" w:lineRule="auto"/>
              <w:jc w:val="left"/>
              <w:rPr>
                <w:sz w:val="16"/>
                <w:szCs w:val="16"/>
              </w:rPr>
            </w:pPr>
            <w:r w:rsidRPr="00942C1D">
              <w:rPr>
                <w:sz w:val="16"/>
                <w:szCs w:val="16"/>
              </w:rPr>
              <w:t>Các Bên công nhận tầm quan trọng của các hệ thống thanh toán điện tử an toàn, bảo mật, hiệu quả và có khả năng tương tác.</w:t>
            </w:r>
          </w:p>
        </w:tc>
        <w:tc>
          <w:tcPr>
            <w:tcW w:w="1701" w:type="dxa"/>
          </w:tcPr>
          <w:p w14:paraId="328228A9" w14:textId="77777777" w:rsidR="00A624F8" w:rsidRPr="00C85B9C" w:rsidRDefault="00A624F8">
            <w:pPr>
              <w:spacing w:before="160" w:after="160" w:line="240" w:lineRule="auto"/>
              <w:jc w:val="left"/>
              <w:rPr>
                <w:sz w:val="16"/>
                <w:szCs w:val="16"/>
              </w:rPr>
            </w:pPr>
            <w:r w:rsidRPr="00C85B9C">
              <w:rPr>
                <w:sz w:val="16"/>
                <w:szCs w:val="16"/>
              </w:rPr>
              <w:t>NIL</w:t>
            </w:r>
          </w:p>
        </w:tc>
        <w:tc>
          <w:tcPr>
            <w:tcW w:w="1785" w:type="dxa"/>
          </w:tcPr>
          <w:p w14:paraId="465EA69F" w14:textId="77777777" w:rsidR="00A624F8" w:rsidRPr="00C85B9C" w:rsidRDefault="00A624F8">
            <w:pPr>
              <w:spacing w:before="160" w:after="160" w:line="240" w:lineRule="auto"/>
              <w:jc w:val="left"/>
              <w:rPr>
                <w:sz w:val="16"/>
                <w:szCs w:val="16"/>
              </w:rPr>
            </w:pPr>
            <w:r w:rsidRPr="00C85B9C">
              <w:rPr>
                <w:sz w:val="16"/>
                <w:szCs w:val="16"/>
              </w:rPr>
              <w:t>NIL</w:t>
            </w:r>
          </w:p>
        </w:tc>
      </w:tr>
      <w:tr w:rsidR="006D4488" w:rsidRPr="00C85B9C" w14:paraId="319C9504" w14:textId="77777777">
        <w:trPr>
          <w:cantSplit/>
          <w:trHeight w:val="751"/>
        </w:trPr>
        <w:tc>
          <w:tcPr>
            <w:tcW w:w="1386" w:type="dxa"/>
            <w:vAlign w:val="center"/>
          </w:tcPr>
          <w:p w14:paraId="661F7C4D" w14:textId="77777777" w:rsidR="00A624F8" w:rsidRPr="00C85B9C" w:rsidRDefault="00A624F8">
            <w:pPr>
              <w:spacing w:before="160" w:after="160" w:line="240" w:lineRule="auto"/>
              <w:jc w:val="left"/>
              <w:rPr>
                <w:sz w:val="16"/>
                <w:szCs w:val="16"/>
              </w:rPr>
            </w:pPr>
            <w:r w:rsidRPr="00C85B9C">
              <w:rPr>
                <w:sz w:val="16"/>
                <w:szCs w:val="16"/>
              </w:rPr>
              <w:t>0</w:t>
            </w:r>
          </w:p>
        </w:tc>
        <w:tc>
          <w:tcPr>
            <w:tcW w:w="1143" w:type="dxa"/>
            <w:vAlign w:val="center"/>
          </w:tcPr>
          <w:p w14:paraId="60F08E3B" w14:textId="77777777" w:rsidR="00A624F8" w:rsidRPr="00C85B9C" w:rsidRDefault="00A624F8">
            <w:pPr>
              <w:spacing w:before="160" w:after="160" w:line="240" w:lineRule="auto"/>
              <w:jc w:val="left"/>
              <w:rPr>
                <w:sz w:val="16"/>
                <w:szCs w:val="16"/>
              </w:rPr>
            </w:pPr>
            <w:r w:rsidRPr="00C85B9C">
              <w:rPr>
                <w:sz w:val="16"/>
                <w:szCs w:val="16"/>
              </w:rPr>
              <w:t>2</w:t>
            </w:r>
          </w:p>
        </w:tc>
        <w:tc>
          <w:tcPr>
            <w:tcW w:w="1550" w:type="dxa"/>
            <w:vAlign w:val="center"/>
          </w:tcPr>
          <w:p w14:paraId="078D5BBB" w14:textId="450D4923" w:rsidR="00A624F8" w:rsidRPr="00C85B9C" w:rsidRDefault="00942C1D">
            <w:pPr>
              <w:spacing w:before="160" w:after="160" w:line="240" w:lineRule="auto"/>
              <w:jc w:val="left"/>
              <w:rPr>
                <w:sz w:val="16"/>
                <w:szCs w:val="16"/>
              </w:rPr>
            </w:pPr>
            <w:r w:rsidRPr="00942C1D">
              <w:rPr>
                <w:b/>
                <w:bCs/>
                <w:sz w:val="16"/>
                <w:szCs w:val="16"/>
              </w:rPr>
              <w:t xml:space="preserve">Đề cập </w:t>
            </w:r>
            <w:r w:rsidRPr="00942C1D">
              <w:rPr>
                <w:sz w:val="16"/>
                <w:szCs w:val="16"/>
              </w:rPr>
              <w:t>đến hợp tác và/hoặc khả năng tương tác</w:t>
            </w:r>
          </w:p>
        </w:tc>
        <w:tc>
          <w:tcPr>
            <w:tcW w:w="1771" w:type="dxa"/>
          </w:tcPr>
          <w:p w14:paraId="5504D6CB" w14:textId="7774233C" w:rsidR="00A624F8" w:rsidRPr="00C85B9C" w:rsidRDefault="003B63E1">
            <w:pPr>
              <w:spacing w:before="160" w:after="160" w:line="240" w:lineRule="auto"/>
              <w:jc w:val="left"/>
              <w:rPr>
                <w:sz w:val="16"/>
                <w:szCs w:val="16"/>
              </w:rPr>
            </w:pPr>
            <w:r w:rsidRPr="003B63E1">
              <w:rPr>
                <w:sz w:val="16"/>
                <w:szCs w:val="16"/>
              </w:rPr>
              <w:t>Hợp tác song phương và tại các diễn đàn quốc tế về các vấn đề liên quan đến thương mại phi giấy tờ, bao gồm việc tăng cường tiêu chuẩn hóa và chấp nhận các chứng từ hành chính thương mại điện tử.</w:t>
            </w:r>
          </w:p>
        </w:tc>
        <w:tc>
          <w:tcPr>
            <w:tcW w:w="1871" w:type="dxa"/>
          </w:tcPr>
          <w:p w14:paraId="35B11CFD" w14:textId="5A2AC9D5" w:rsidR="00A624F8" w:rsidRPr="00C85B9C" w:rsidRDefault="003B63E1">
            <w:pPr>
              <w:spacing w:before="160" w:after="160" w:line="240" w:lineRule="auto"/>
              <w:jc w:val="left"/>
              <w:rPr>
                <w:sz w:val="16"/>
                <w:szCs w:val="16"/>
              </w:rPr>
            </w:pPr>
            <w:r w:rsidRPr="003B63E1">
              <w:rPr>
                <w:sz w:val="16"/>
                <w:szCs w:val="16"/>
              </w:rPr>
              <w:t>Khuyến khích việc sử dụng các hệ thống xác thực điện tử có khả năng tương tác.</w:t>
            </w:r>
          </w:p>
        </w:tc>
        <w:tc>
          <w:tcPr>
            <w:tcW w:w="2055" w:type="dxa"/>
          </w:tcPr>
          <w:p w14:paraId="66B1D752" w14:textId="780A262A" w:rsidR="00A624F8" w:rsidRPr="00C85B9C" w:rsidRDefault="003B63E1">
            <w:pPr>
              <w:spacing w:before="160" w:after="160" w:line="240" w:lineRule="auto"/>
              <w:jc w:val="left"/>
              <w:rPr>
                <w:sz w:val="16"/>
                <w:szCs w:val="16"/>
              </w:rPr>
            </w:pPr>
            <w:r w:rsidRPr="003B63E1">
              <w:rPr>
                <w:sz w:val="16"/>
                <w:szCs w:val="16"/>
              </w:rPr>
              <w:t>Các Bên nhất trí hợp tác và phối hợp triển khai các sáng kiến nhằm thúc đẩy, khuyến khích, hỗ trợ hoặc tạo điều kiện cho việc áp dụng hóa đơn điện tử.</w:t>
            </w:r>
          </w:p>
        </w:tc>
        <w:tc>
          <w:tcPr>
            <w:tcW w:w="2126" w:type="dxa"/>
          </w:tcPr>
          <w:p w14:paraId="081FB245" w14:textId="36716C51" w:rsidR="00A624F8" w:rsidRPr="00516087" w:rsidRDefault="003B63E1">
            <w:pPr>
              <w:spacing w:before="160" w:after="160" w:line="240" w:lineRule="auto"/>
              <w:jc w:val="left"/>
              <w:rPr>
                <w:sz w:val="16"/>
                <w:szCs w:val="16"/>
              </w:rPr>
            </w:pPr>
            <w:r w:rsidRPr="003B63E1">
              <w:rPr>
                <w:sz w:val="16"/>
                <w:szCs w:val="16"/>
              </w:rPr>
              <w:t>Mỗi Bên sẽ khuyến khích việc sử dụng các hệ thống thanh toán điện tử an toàn, bảo mật, hiệu quả và có khả năng tương tác nhằm tạo thuận lợi cho thương mại điện tử, phù hợp với pháp luật và quy định của mình.</w:t>
            </w:r>
          </w:p>
        </w:tc>
        <w:tc>
          <w:tcPr>
            <w:tcW w:w="1701" w:type="dxa"/>
          </w:tcPr>
          <w:p w14:paraId="4306C840" w14:textId="77777777" w:rsidR="00A624F8" w:rsidRPr="00C85B9C" w:rsidRDefault="00A624F8">
            <w:pPr>
              <w:spacing w:before="160" w:after="160" w:line="240" w:lineRule="auto"/>
              <w:jc w:val="left"/>
              <w:rPr>
                <w:sz w:val="16"/>
                <w:szCs w:val="16"/>
              </w:rPr>
            </w:pPr>
            <w:r w:rsidRPr="00C85B9C">
              <w:rPr>
                <w:sz w:val="16"/>
                <w:szCs w:val="16"/>
              </w:rPr>
              <w:t>NIL</w:t>
            </w:r>
          </w:p>
        </w:tc>
        <w:tc>
          <w:tcPr>
            <w:tcW w:w="1785" w:type="dxa"/>
          </w:tcPr>
          <w:p w14:paraId="763D0827" w14:textId="77777777" w:rsidR="00A624F8" w:rsidRPr="00C85B9C" w:rsidRDefault="00A624F8">
            <w:pPr>
              <w:spacing w:before="160" w:after="160" w:line="240" w:lineRule="auto"/>
              <w:jc w:val="left"/>
              <w:rPr>
                <w:sz w:val="16"/>
                <w:szCs w:val="16"/>
              </w:rPr>
            </w:pPr>
            <w:r w:rsidRPr="00C85B9C">
              <w:rPr>
                <w:sz w:val="16"/>
                <w:szCs w:val="16"/>
              </w:rPr>
              <w:t>NIL</w:t>
            </w:r>
          </w:p>
        </w:tc>
      </w:tr>
      <w:tr w:rsidR="006D4488" w:rsidRPr="00C85B9C" w14:paraId="41D8EDA8" w14:textId="77777777">
        <w:trPr>
          <w:cantSplit/>
          <w:trHeight w:val="797"/>
        </w:trPr>
        <w:tc>
          <w:tcPr>
            <w:tcW w:w="1386" w:type="dxa"/>
            <w:vAlign w:val="center"/>
          </w:tcPr>
          <w:p w14:paraId="1852BFA5" w14:textId="77777777" w:rsidR="00A624F8" w:rsidRPr="00C85B9C" w:rsidRDefault="00A624F8">
            <w:pPr>
              <w:spacing w:before="160" w:after="160" w:line="240" w:lineRule="auto"/>
              <w:jc w:val="left"/>
              <w:rPr>
                <w:sz w:val="16"/>
                <w:szCs w:val="16"/>
              </w:rPr>
            </w:pPr>
            <w:r w:rsidRPr="00C85B9C">
              <w:rPr>
                <w:sz w:val="16"/>
                <w:szCs w:val="16"/>
              </w:rPr>
              <w:t>0</w:t>
            </w:r>
          </w:p>
        </w:tc>
        <w:tc>
          <w:tcPr>
            <w:tcW w:w="1143" w:type="dxa"/>
            <w:vAlign w:val="center"/>
          </w:tcPr>
          <w:p w14:paraId="398EE33A" w14:textId="77777777" w:rsidR="00A624F8" w:rsidRPr="00C85B9C" w:rsidRDefault="00A624F8">
            <w:pPr>
              <w:spacing w:before="160" w:after="160" w:line="240" w:lineRule="auto"/>
              <w:jc w:val="left"/>
              <w:rPr>
                <w:sz w:val="16"/>
                <w:szCs w:val="16"/>
              </w:rPr>
            </w:pPr>
            <w:r w:rsidRPr="00C85B9C">
              <w:rPr>
                <w:sz w:val="16"/>
                <w:szCs w:val="16"/>
              </w:rPr>
              <w:t>3</w:t>
            </w:r>
          </w:p>
        </w:tc>
        <w:tc>
          <w:tcPr>
            <w:tcW w:w="1550" w:type="dxa"/>
            <w:vAlign w:val="center"/>
          </w:tcPr>
          <w:p w14:paraId="39AFEA15" w14:textId="68F0B576" w:rsidR="00A624F8" w:rsidRPr="00C85B9C" w:rsidRDefault="00976F2E">
            <w:pPr>
              <w:spacing w:before="160" w:after="160" w:line="240" w:lineRule="auto"/>
              <w:jc w:val="left"/>
              <w:rPr>
                <w:sz w:val="16"/>
                <w:szCs w:val="16"/>
              </w:rPr>
            </w:pPr>
            <w:r w:rsidRPr="00976F2E">
              <w:rPr>
                <w:b/>
                <w:bCs/>
                <w:sz w:val="16"/>
                <w:szCs w:val="16"/>
              </w:rPr>
              <w:t xml:space="preserve">Đề cập </w:t>
            </w:r>
            <w:r w:rsidRPr="00976F2E">
              <w:rPr>
                <w:sz w:val="16"/>
                <w:szCs w:val="16"/>
              </w:rPr>
              <w:t>đến các hướng dẫn / khuôn khổ / tiêu chuẩn quốc tế</w:t>
            </w:r>
          </w:p>
        </w:tc>
        <w:tc>
          <w:tcPr>
            <w:tcW w:w="1771" w:type="dxa"/>
          </w:tcPr>
          <w:p w14:paraId="2CB40272" w14:textId="773B3C10" w:rsidR="00A624F8" w:rsidRPr="00425913" w:rsidRDefault="00425913">
            <w:pPr>
              <w:spacing w:before="160" w:after="160" w:line="240" w:lineRule="auto"/>
              <w:jc w:val="left"/>
              <w:rPr>
                <w:sz w:val="16"/>
                <w:szCs w:val="16"/>
                <w:lang w:val="en-US"/>
              </w:rPr>
            </w:pPr>
            <w:r w:rsidRPr="00425913">
              <w:rPr>
                <w:sz w:val="16"/>
                <w:szCs w:val="16"/>
              </w:rPr>
              <w:t>Có xem xét các nguyên tắc và hướng dẫn đã được thống nhất bởi các tổ chức quốc tế có liên quan.</w:t>
            </w:r>
          </w:p>
        </w:tc>
        <w:tc>
          <w:tcPr>
            <w:tcW w:w="1871" w:type="dxa"/>
          </w:tcPr>
          <w:p w14:paraId="10CE8896" w14:textId="77777777" w:rsidR="00A624F8" w:rsidRPr="00C85B9C" w:rsidRDefault="00A624F8">
            <w:pPr>
              <w:spacing w:before="160" w:after="160" w:line="240" w:lineRule="auto"/>
              <w:jc w:val="left"/>
              <w:rPr>
                <w:sz w:val="16"/>
                <w:szCs w:val="16"/>
              </w:rPr>
            </w:pPr>
            <w:r w:rsidRPr="00C85B9C">
              <w:rPr>
                <w:sz w:val="16"/>
                <w:szCs w:val="16"/>
              </w:rPr>
              <w:t>NIL</w:t>
            </w:r>
          </w:p>
        </w:tc>
        <w:tc>
          <w:tcPr>
            <w:tcW w:w="2055" w:type="dxa"/>
          </w:tcPr>
          <w:p w14:paraId="579F1594" w14:textId="3E002AE8" w:rsidR="00A624F8" w:rsidRPr="00516087" w:rsidRDefault="00425913">
            <w:pPr>
              <w:spacing w:before="160" w:after="160" w:line="240" w:lineRule="auto"/>
              <w:jc w:val="left"/>
              <w:rPr>
                <w:sz w:val="16"/>
                <w:szCs w:val="16"/>
              </w:rPr>
            </w:pPr>
            <w:r w:rsidRPr="00425913">
              <w:rPr>
                <w:sz w:val="16"/>
                <w:szCs w:val="16"/>
              </w:rPr>
              <w:t>Có xem xét các khuôn khổ quốc tế khi xây dựng các biện pháp liên quan đến hóa đơn điện tử.</w:t>
            </w:r>
          </w:p>
        </w:tc>
        <w:tc>
          <w:tcPr>
            <w:tcW w:w="2126" w:type="dxa"/>
          </w:tcPr>
          <w:p w14:paraId="15D6D6E3" w14:textId="55077CD8" w:rsidR="00A624F8" w:rsidRPr="00516087" w:rsidRDefault="00972116">
            <w:pPr>
              <w:spacing w:before="160" w:after="160" w:line="240" w:lineRule="auto"/>
              <w:jc w:val="left"/>
              <w:rPr>
                <w:sz w:val="16"/>
                <w:szCs w:val="16"/>
              </w:rPr>
            </w:pPr>
            <w:r w:rsidRPr="00972116">
              <w:rPr>
                <w:sz w:val="16"/>
                <w:szCs w:val="16"/>
              </w:rPr>
              <w:t>Có xem xét, đối với các hệ thống thanh toán điện tử có liên quan, các tiêu chuẩn quốc tế về thông điệp thanh toán điện tử nhằm phục vụ trao đổi dữ liệu điện tử giữa các tổ chức tài chính và nhà cung cấp dịch vụ, qua đó tăng cường khả năng tương tác giữa các hệ thống thanh toán.</w:t>
            </w:r>
          </w:p>
        </w:tc>
        <w:tc>
          <w:tcPr>
            <w:tcW w:w="1701" w:type="dxa"/>
          </w:tcPr>
          <w:p w14:paraId="6DFE6EF8" w14:textId="77777777" w:rsidR="00A624F8" w:rsidRPr="00C85B9C" w:rsidRDefault="00A624F8">
            <w:pPr>
              <w:spacing w:before="160" w:after="160" w:line="240" w:lineRule="auto"/>
              <w:jc w:val="left"/>
              <w:rPr>
                <w:sz w:val="16"/>
                <w:szCs w:val="16"/>
              </w:rPr>
            </w:pPr>
            <w:r w:rsidRPr="00C85B9C">
              <w:rPr>
                <w:sz w:val="16"/>
                <w:szCs w:val="16"/>
              </w:rPr>
              <w:t>NIL</w:t>
            </w:r>
          </w:p>
        </w:tc>
        <w:tc>
          <w:tcPr>
            <w:tcW w:w="1785" w:type="dxa"/>
          </w:tcPr>
          <w:p w14:paraId="54F41C40" w14:textId="77777777" w:rsidR="00A624F8" w:rsidRPr="00C85B9C" w:rsidRDefault="00A624F8">
            <w:pPr>
              <w:spacing w:before="160" w:after="160" w:line="240" w:lineRule="auto"/>
              <w:jc w:val="left"/>
              <w:rPr>
                <w:sz w:val="16"/>
                <w:szCs w:val="16"/>
              </w:rPr>
            </w:pPr>
            <w:r w:rsidRPr="00C85B9C">
              <w:rPr>
                <w:sz w:val="16"/>
                <w:szCs w:val="16"/>
              </w:rPr>
              <w:t>NIL</w:t>
            </w:r>
          </w:p>
        </w:tc>
      </w:tr>
      <w:tr w:rsidR="006D4488" w:rsidRPr="00C85B9C" w14:paraId="454D54D7" w14:textId="77777777">
        <w:trPr>
          <w:cantSplit/>
          <w:trHeight w:val="751"/>
        </w:trPr>
        <w:tc>
          <w:tcPr>
            <w:tcW w:w="1386" w:type="dxa"/>
            <w:vAlign w:val="center"/>
          </w:tcPr>
          <w:p w14:paraId="17368E53" w14:textId="77777777" w:rsidR="00A624F8" w:rsidRPr="00C85B9C" w:rsidRDefault="00A624F8">
            <w:pPr>
              <w:spacing w:before="160" w:after="160" w:line="240" w:lineRule="auto"/>
              <w:jc w:val="left"/>
              <w:rPr>
                <w:sz w:val="16"/>
                <w:szCs w:val="16"/>
              </w:rPr>
            </w:pPr>
            <w:r w:rsidRPr="00C85B9C">
              <w:rPr>
                <w:sz w:val="16"/>
                <w:szCs w:val="16"/>
              </w:rPr>
              <w:lastRenderedPageBreak/>
              <w:t>0</w:t>
            </w:r>
          </w:p>
        </w:tc>
        <w:tc>
          <w:tcPr>
            <w:tcW w:w="1143" w:type="dxa"/>
            <w:vAlign w:val="center"/>
          </w:tcPr>
          <w:p w14:paraId="22FEBC07" w14:textId="77777777" w:rsidR="00A624F8" w:rsidRPr="00C85B9C" w:rsidRDefault="00A624F8">
            <w:pPr>
              <w:spacing w:before="160" w:after="160" w:line="240" w:lineRule="auto"/>
              <w:jc w:val="left"/>
              <w:rPr>
                <w:sz w:val="16"/>
                <w:szCs w:val="16"/>
              </w:rPr>
            </w:pPr>
            <w:r w:rsidRPr="00C85B9C">
              <w:rPr>
                <w:sz w:val="16"/>
                <w:szCs w:val="16"/>
              </w:rPr>
              <w:t>4</w:t>
            </w:r>
          </w:p>
        </w:tc>
        <w:tc>
          <w:tcPr>
            <w:tcW w:w="1550" w:type="dxa"/>
            <w:vAlign w:val="center"/>
          </w:tcPr>
          <w:p w14:paraId="21802306" w14:textId="08828BD4" w:rsidR="00A624F8" w:rsidRPr="00C85B9C" w:rsidRDefault="005F4FE0">
            <w:pPr>
              <w:spacing w:before="160" w:after="160" w:line="240" w:lineRule="auto"/>
              <w:jc w:val="left"/>
              <w:rPr>
                <w:sz w:val="16"/>
                <w:szCs w:val="16"/>
              </w:rPr>
            </w:pPr>
            <w:r w:rsidRPr="005F4FE0">
              <w:rPr>
                <w:b/>
                <w:bCs/>
                <w:sz w:val="16"/>
                <w:szCs w:val="16"/>
              </w:rPr>
              <w:t xml:space="preserve">Ý định </w:t>
            </w:r>
            <w:r w:rsidRPr="005F4FE0">
              <w:rPr>
                <w:sz w:val="16"/>
                <w:szCs w:val="16"/>
              </w:rPr>
              <w:t>hướng tới Tiêu chuẩn Thương mại Số được hài hòa / hệ thống có khả năng tương tác</w:t>
            </w:r>
          </w:p>
        </w:tc>
        <w:tc>
          <w:tcPr>
            <w:tcW w:w="1771" w:type="dxa"/>
          </w:tcPr>
          <w:p w14:paraId="4BCC65C9" w14:textId="4CEF1861" w:rsidR="00A624F8" w:rsidRPr="00C85B9C" w:rsidRDefault="005F4FE0">
            <w:pPr>
              <w:spacing w:before="160" w:after="160" w:line="240" w:lineRule="auto"/>
              <w:jc w:val="left"/>
              <w:rPr>
                <w:sz w:val="16"/>
                <w:szCs w:val="16"/>
              </w:rPr>
            </w:pPr>
            <w:r w:rsidRPr="005F4FE0">
              <w:rPr>
                <w:sz w:val="16"/>
                <w:szCs w:val="16"/>
              </w:rPr>
              <w:t>Nỗ lực phát triển các hệ thống trao đổi dữ liệu nhằm hỗ trợ việc trao đổi dữ liệu liên quan đến chứng từ hành chính thương mại.</w:t>
            </w:r>
          </w:p>
        </w:tc>
        <w:tc>
          <w:tcPr>
            <w:tcW w:w="1871" w:type="dxa"/>
          </w:tcPr>
          <w:p w14:paraId="7B69AA3B" w14:textId="77777777" w:rsidR="00A624F8" w:rsidRPr="00C85B9C" w:rsidRDefault="00A624F8">
            <w:pPr>
              <w:spacing w:before="160" w:after="160" w:line="240" w:lineRule="auto"/>
              <w:jc w:val="left"/>
              <w:rPr>
                <w:sz w:val="16"/>
                <w:szCs w:val="16"/>
              </w:rPr>
            </w:pPr>
            <w:r w:rsidRPr="00C85B9C">
              <w:rPr>
                <w:sz w:val="16"/>
                <w:szCs w:val="16"/>
              </w:rPr>
              <w:t>NIL</w:t>
            </w:r>
          </w:p>
        </w:tc>
        <w:tc>
          <w:tcPr>
            <w:tcW w:w="2055" w:type="dxa"/>
          </w:tcPr>
          <w:p w14:paraId="027343BA" w14:textId="632F9BCA" w:rsidR="005F4FE0" w:rsidRPr="005F4FE0" w:rsidRDefault="005F4FE0" w:rsidP="005F4FE0">
            <w:pPr>
              <w:spacing w:before="160" w:line="240" w:lineRule="auto"/>
              <w:jc w:val="left"/>
              <w:rPr>
                <w:sz w:val="16"/>
                <w:szCs w:val="16"/>
              </w:rPr>
            </w:pPr>
            <w:r w:rsidRPr="005F4FE0">
              <w:rPr>
                <w:sz w:val="16"/>
                <w:szCs w:val="16"/>
              </w:rPr>
              <w:t>Công nhận tầm quan trọng kinh tế của việc thúc đẩy áp dụng toàn cầu các hệ thống hóa đơn điện tử có khả năng tương tác;</w:t>
            </w:r>
          </w:p>
          <w:p w14:paraId="6CB66822" w14:textId="7E10BD00" w:rsidR="00A624F8" w:rsidRPr="00C85B9C" w:rsidRDefault="005F4FE0" w:rsidP="005F4FE0">
            <w:pPr>
              <w:spacing w:before="160" w:after="160" w:line="240" w:lineRule="auto"/>
              <w:jc w:val="left"/>
              <w:rPr>
                <w:sz w:val="16"/>
                <w:szCs w:val="16"/>
              </w:rPr>
            </w:pPr>
            <w:r w:rsidRPr="005F4FE0">
              <w:rPr>
                <w:sz w:val="16"/>
                <w:szCs w:val="16"/>
              </w:rPr>
              <w:t>Theo đó, các Bên sẽ nỗ lực chia sẻ thông lệ tốt và hợp tác trong việc thúc đẩy áp dụng các hệ thống hóa đơn điện tử có khả năng tương tác</w:t>
            </w:r>
            <w:r w:rsidR="00A624F8" w:rsidRPr="00C85B9C">
              <w:rPr>
                <w:sz w:val="16"/>
                <w:szCs w:val="16"/>
              </w:rPr>
              <w:t>.</w:t>
            </w:r>
          </w:p>
        </w:tc>
        <w:tc>
          <w:tcPr>
            <w:tcW w:w="2126" w:type="dxa"/>
          </w:tcPr>
          <w:p w14:paraId="2CC5DDC8" w14:textId="77777777" w:rsidR="00A624F8" w:rsidRPr="00C85B9C" w:rsidRDefault="00A624F8">
            <w:pPr>
              <w:spacing w:before="160" w:after="160" w:line="240" w:lineRule="auto"/>
              <w:jc w:val="left"/>
              <w:rPr>
                <w:sz w:val="16"/>
                <w:szCs w:val="16"/>
              </w:rPr>
            </w:pPr>
            <w:r w:rsidRPr="00C85B9C">
              <w:rPr>
                <w:sz w:val="16"/>
                <w:szCs w:val="16"/>
              </w:rPr>
              <w:t>NIL</w:t>
            </w:r>
          </w:p>
        </w:tc>
        <w:tc>
          <w:tcPr>
            <w:tcW w:w="1701" w:type="dxa"/>
          </w:tcPr>
          <w:p w14:paraId="3DDA1E31" w14:textId="77777777" w:rsidR="00A624F8" w:rsidRPr="00C85B9C" w:rsidRDefault="00A624F8">
            <w:pPr>
              <w:spacing w:before="160" w:after="160" w:line="240" w:lineRule="auto"/>
              <w:jc w:val="left"/>
              <w:rPr>
                <w:sz w:val="16"/>
                <w:szCs w:val="16"/>
              </w:rPr>
            </w:pPr>
            <w:r w:rsidRPr="00C85B9C">
              <w:rPr>
                <w:sz w:val="16"/>
                <w:szCs w:val="16"/>
              </w:rPr>
              <w:t>NIL</w:t>
            </w:r>
          </w:p>
        </w:tc>
        <w:tc>
          <w:tcPr>
            <w:tcW w:w="1785" w:type="dxa"/>
          </w:tcPr>
          <w:p w14:paraId="73C52426" w14:textId="77777777" w:rsidR="00A624F8" w:rsidRPr="00C85B9C" w:rsidRDefault="00A624F8">
            <w:pPr>
              <w:spacing w:before="160" w:after="160" w:line="240" w:lineRule="auto"/>
              <w:jc w:val="left"/>
              <w:rPr>
                <w:sz w:val="16"/>
                <w:szCs w:val="16"/>
              </w:rPr>
            </w:pPr>
            <w:r w:rsidRPr="00C85B9C">
              <w:rPr>
                <w:sz w:val="16"/>
                <w:szCs w:val="16"/>
              </w:rPr>
              <w:t>NIL</w:t>
            </w:r>
          </w:p>
        </w:tc>
      </w:tr>
      <w:tr w:rsidR="006D4488" w:rsidRPr="00C85B9C" w14:paraId="1871538F" w14:textId="77777777">
        <w:trPr>
          <w:cantSplit/>
          <w:trHeight w:val="751"/>
        </w:trPr>
        <w:tc>
          <w:tcPr>
            <w:tcW w:w="1386" w:type="dxa"/>
            <w:vAlign w:val="center"/>
          </w:tcPr>
          <w:p w14:paraId="05534476" w14:textId="77777777" w:rsidR="00A624F8" w:rsidRPr="00C85B9C" w:rsidRDefault="00A624F8">
            <w:pPr>
              <w:spacing w:before="160" w:after="160" w:line="240" w:lineRule="auto"/>
              <w:jc w:val="left"/>
              <w:rPr>
                <w:sz w:val="16"/>
                <w:szCs w:val="16"/>
              </w:rPr>
            </w:pPr>
            <w:r w:rsidRPr="00C85B9C">
              <w:rPr>
                <w:sz w:val="16"/>
                <w:szCs w:val="16"/>
              </w:rPr>
              <w:t>1</w:t>
            </w:r>
          </w:p>
        </w:tc>
        <w:tc>
          <w:tcPr>
            <w:tcW w:w="1143" w:type="dxa"/>
            <w:vAlign w:val="center"/>
          </w:tcPr>
          <w:p w14:paraId="6676039C" w14:textId="77777777" w:rsidR="00A624F8" w:rsidRPr="00C85B9C" w:rsidRDefault="00A624F8">
            <w:pPr>
              <w:spacing w:before="160" w:after="160" w:line="240" w:lineRule="auto"/>
              <w:jc w:val="left"/>
              <w:rPr>
                <w:sz w:val="16"/>
                <w:szCs w:val="16"/>
              </w:rPr>
            </w:pPr>
            <w:r w:rsidRPr="00C85B9C">
              <w:rPr>
                <w:sz w:val="16"/>
                <w:szCs w:val="16"/>
              </w:rPr>
              <w:t>5</w:t>
            </w:r>
          </w:p>
        </w:tc>
        <w:tc>
          <w:tcPr>
            <w:tcW w:w="1550" w:type="dxa"/>
            <w:vAlign w:val="center"/>
          </w:tcPr>
          <w:p w14:paraId="58755FF9" w14:textId="2A1BEF35" w:rsidR="00A624F8" w:rsidRPr="00C85B9C" w:rsidRDefault="006D4488">
            <w:pPr>
              <w:spacing w:before="160" w:after="160" w:line="240" w:lineRule="auto"/>
              <w:jc w:val="left"/>
              <w:rPr>
                <w:sz w:val="16"/>
                <w:szCs w:val="16"/>
              </w:rPr>
            </w:pPr>
            <w:r w:rsidRPr="006D4488">
              <w:rPr>
                <w:b/>
                <w:bCs/>
                <w:sz w:val="16"/>
                <w:szCs w:val="16"/>
              </w:rPr>
              <w:t xml:space="preserve">Ý định </w:t>
            </w:r>
            <w:r w:rsidRPr="006D4488">
              <w:rPr>
                <w:sz w:val="16"/>
                <w:szCs w:val="16"/>
              </w:rPr>
              <w:t>thúc đẩy việc áp dụng ở mức độ cao hơn – cả ở cấp độ chính sách và triển khai thực thi</w:t>
            </w:r>
          </w:p>
        </w:tc>
        <w:tc>
          <w:tcPr>
            <w:tcW w:w="1771" w:type="dxa"/>
          </w:tcPr>
          <w:p w14:paraId="39CF3E82" w14:textId="67BC1A6D" w:rsidR="006D4488" w:rsidRPr="006D4488" w:rsidRDefault="006D4488" w:rsidP="006D4488">
            <w:pPr>
              <w:spacing w:before="160" w:line="240" w:lineRule="auto"/>
              <w:jc w:val="left"/>
              <w:rPr>
                <w:sz w:val="16"/>
                <w:szCs w:val="16"/>
              </w:rPr>
            </w:pPr>
            <w:r w:rsidRPr="006D4488">
              <w:rPr>
                <w:sz w:val="16"/>
                <w:szCs w:val="16"/>
              </w:rPr>
              <w:t>Công nhận rằng các hệ thống trao đổi dữ liệu cần phải tương thích và có khả năng tương tác với nhau;</w:t>
            </w:r>
          </w:p>
          <w:p w14:paraId="07A7A24C" w14:textId="5E9DD332" w:rsidR="00A624F8" w:rsidRPr="00C85B9C" w:rsidRDefault="006D4488" w:rsidP="006D4488">
            <w:pPr>
              <w:spacing w:before="160" w:after="160" w:line="240" w:lineRule="auto"/>
              <w:jc w:val="left"/>
              <w:rPr>
                <w:sz w:val="16"/>
                <w:szCs w:val="16"/>
              </w:rPr>
            </w:pPr>
            <w:r w:rsidRPr="006D4488">
              <w:rPr>
                <w:sz w:val="16"/>
                <w:szCs w:val="16"/>
              </w:rPr>
              <w:t>Theo đó, các Bên công nhận vai trò của các tiêu chuẩn được quốc tế công nhận và, khi có thể, các tiêu chuẩn mở, trong việc phát triển và quản trị các hệ thống trao đổi dữ liệu.</w:t>
            </w:r>
          </w:p>
        </w:tc>
        <w:tc>
          <w:tcPr>
            <w:tcW w:w="1871" w:type="dxa"/>
          </w:tcPr>
          <w:p w14:paraId="4509EDDD" w14:textId="6384190B" w:rsidR="00A624F8" w:rsidRPr="00C85B9C" w:rsidRDefault="006D4488">
            <w:pPr>
              <w:spacing w:before="160" w:after="160" w:line="240" w:lineRule="auto"/>
              <w:jc w:val="left"/>
              <w:rPr>
                <w:sz w:val="16"/>
                <w:szCs w:val="16"/>
              </w:rPr>
            </w:pPr>
            <w:r w:rsidRPr="006D4488">
              <w:rPr>
                <w:sz w:val="16"/>
                <w:szCs w:val="16"/>
              </w:rPr>
              <w:t>Các Bên sẽ duy trì hoặc ban hành, trong thời gian sớm nhất có thể, các biện pháp dựa trên các chuẩn mực quốc tế về xác thực điện tử.</w:t>
            </w:r>
          </w:p>
        </w:tc>
        <w:tc>
          <w:tcPr>
            <w:tcW w:w="2055" w:type="dxa"/>
          </w:tcPr>
          <w:p w14:paraId="36198784" w14:textId="0F4ADED7" w:rsidR="006D4488" w:rsidRPr="006D4488" w:rsidRDefault="006D4488" w:rsidP="006D4488">
            <w:pPr>
              <w:spacing w:before="160" w:line="240" w:lineRule="auto"/>
              <w:jc w:val="left"/>
              <w:rPr>
                <w:sz w:val="16"/>
                <w:szCs w:val="16"/>
              </w:rPr>
            </w:pPr>
            <w:r w:rsidRPr="006D4488">
              <w:rPr>
                <w:sz w:val="16"/>
                <w:szCs w:val="16"/>
              </w:rPr>
              <w:t>Các Bên sẽ hợp tác triển khai các sáng kiến nhằm thúc đẩy, khuyến khích, hỗ trợ hoặc tạo điều kiện cho việc áp dụng hóa đơn điện tử trong doanh nghiệp;</w:t>
            </w:r>
          </w:p>
          <w:p w14:paraId="56885D1C" w14:textId="46538D63" w:rsidR="006D4488" w:rsidRPr="006D4488" w:rsidRDefault="006D4488" w:rsidP="006D4488">
            <w:pPr>
              <w:spacing w:before="160" w:line="240" w:lineRule="auto"/>
              <w:jc w:val="left"/>
              <w:rPr>
                <w:sz w:val="16"/>
                <w:szCs w:val="16"/>
              </w:rPr>
            </w:pPr>
            <w:r w:rsidRPr="006D4488">
              <w:rPr>
                <w:sz w:val="16"/>
                <w:szCs w:val="16"/>
              </w:rPr>
              <w:t>Theo đó, các Bên sẽ nỗ lực:</w:t>
            </w:r>
          </w:p>
          <w:p w14:paraId="7C69BB99" w14:textId="0E63DA0C" w:rsidR="006D4488" w:rsidRPr="006D4488" w:rsidRDefault="006D4488" w:rsidP="006D4488">
            <w:pPr>
              <w:spacing w:before="160" w:line="240" w:lineRule="auto"/>
              <w:jc w:val="left"/>
              <w:rPr>
                <w:sz w:val="16"/>
                <w:szCs w:val="16"/>
              </w:rPr>
            </w:pPr>
            <w:r w:rsidRPr="006D4488">
              <w:rPr>
                <w:sz w:val="16"/>
                <w:szCs w:val="16"/>
              </w:rPr>
              <w:t>(a) thúc đẩy sự tồn tại của các chính sách, hạ tầng và quy trình hỗ trợ hóa đơn điện tử; và</w:t>
            </w:r>
          </w:p>
          <w:p w14:paraId="5E631165" w14:textId="7F4EDB95" w:rsidR="00A624F8" w:rsidRPr="00C85B9C" w:rsidRDefault="006D4488" w:rsidP="006D4488">
            <w:pPr>
              <w:spacing w:before="160" w:after="160" w:line="240" w:lineRule="auto"/>
              <w:jc w:val="left"/>
              <w:rPr>
                <w:sz w:val="16"/>
                <w:szCs w:val="16"/>
              </w:rPr>
            </w:pPr>
            <w:r w:rsidRPr="006D4488">
              <w:rPr>
                <w:sz w:val="16"/>
                <w:szCs w:val="16"/>
              </w:rPr>
              <w:t>(b) nâng cao nhận thức và tăng cường năng lực về hóa đơn điện tử.</w:t>
            </w:r>
          </w:p>
        </w:tc>
        <w:tc>
          <w:tcPr>
            <w:tcW w:w="2126" w:type="dxa"/>
          </w:tcPr>
          <w:p w14:paraId="199F2CC1" w14:textId="5FDD1C5B" w:rsidR="00A624F8" w:rsidRPr="00516087" w:rsidRDefault="006D4488">
            <w:pPr>
              <w:spacing w:before="160" w:after="160" w:line="240" w:lineRule="auto"/>
              <w:jc w:val="left"/>
              <w:rPr>
                <w:sz w:val="16"/>
                <w:szCs w:val="16"/>
              </w:rPr>
            </w:pPr>
            <w:r w:rsidRPr="006D4488">
              <w:rPr>
                <w:sz w:val="16"/>
                <w:szCs w:val="16"/>
              </w:rPr>
              <w:t>Áp dụng, đối với các hệ thống thanh toán điện tử có liên quan, các tiêu chuẩn quốc tế về thông điệp thanh toán điện tử, chẳng hạn như Hệ thống Thông điệp Ngành Tài chính Toàn cầu ISO 20022, nhằm phục vụ trao đổi dữ liệu điện tử giữa các tổ chức tài chính và nhà cung cấp dịch vụ, qua đó tăng cường khả năng tương tác giữa các hệ thống thanh toán điện tử.</w:t>
            </w:r>
          </w:p>
        </w:tc>
        <w:tc>
          <w:tcPr>
            <w:tcW w:w="1701" w:type="dxa"/>
          </w:tcPr>
          <w:p w14:paraId="0A84B285" w14:textId="6F77D5FB" w:rsidR="00A624F8" w:rsidRPr="00C85B9C" w:rsidRDefault="007B5258">
            <w:pPr>
              <w:spacing w:before="160" w:after="160" w:line="240" w:lineRule="auto"/>
              <w:jc w:val="left"/>
              <w:rPr>
                <w:sz w:val="16"/>
                <w:szCs w:val="16"/>
              </w:rPr>
            </w:pPr>
            <w:r w:rsidRPr="007B5258">
              <w:rPr>
                <w:sz w:val="16"/>
                <w:szCs w:val="16"/>
              </w:rPr>
              <w:t>Mỗi Bên sẽ duy trì một khuôn khổ pháp lý điều chỉnh các giao dịch điện tử phù hợp với các nguyên tắc của Luật Mẫu của UNCITRAL về Thương mại Điện tử (1996).</w:t>
            </w:r>
          </w:p>
        </w:tc>
        <w:tc>
          <w:tcPr>
            <w:tcW w:w="1785" w:type="dxa"/>
          </w:tcPr>
          <w:p w14:paraId="1FC159F5" w14:textId="227D8295" w:rsidR="00A624F8" w:rsidRPr="00C85B9C" w:rsidRDefault="007B5258">
            <w:pPr>
              <w:spacing w:before="160" w:after="160" w:line="240" w:lineRule="auto"/>
              <w:jc w:val="left"/>
              <w:rPr>
                <w:sz w:val="16"/>
                <w:szCs w:val="16"/>
              </w:rPr>
            </w:pPr>
            <w:r w:rsidRPr="007B5258">
              <w:rPr>
                <w:sz w:val="16"/>
                <w:szCs w:val="16"/>
              </w:rPr>
              <w:t>Mỗi Bên sẽ nỗ lực áp dụng Luật Mẫu của UNCITRAL về Chứng từ Chuyển nhượng Điện tử (2017).</w:t>
            </w:r>
          </w:p>
        </w:tc>
      </w:tr>
    </w:tbl>
    <w:p w14:paraId="66FF1B98" w14:textId="77777777" w:rsidR="00A624F8" w:rsidRDefault="00A624F8" w:rsidP="00A624F8">
      <w:pPr>
        <w:sectPr w:rsidR="00A624F8" w:rsidSect="00A624F8">
          <w:pgSz w:w="15840" w:h="12240" w:orient="landscape"/>
          <w:pgMar w:top="720" w:right="720" w:bottom="720" w:left="720" w:header="0" w:footer="720" w:gutter="0"/>
          <w:cols w:space="720"/>
          <w:titlePg/>
          <w:docGrid w:linePitch="360"/>
        </w:sectPr>
      </w:pPr>
    </w:p>
    <w:p w14:paraId="63D284E3" w14:textId="1FD1E1FD" w:rsidR="00A624F8" w:rsidRPr="00516087" w:rsidRDefault="00F90B20" w:rsidP="00A624F8">
      <w:pPr>
        <w:pStyle w:val="Heading3"/>
        <w:rPr>
          <w:lang w:val="en-GB"/>
        </w:rPr>
      </w:pPr>
      <w:r>
        <w:rPr>
          <w:lang w:val="en-GB"/>
        </w:rPr>
        <w:lastRenderedPageBreak/>
        <w:t>Giai</w:t>
      </w:r>
      <w:r>
        <w:rPr>
          <w:lang w:val="vi-VN"/>
        </w:rPr>
        <w:t xml:space="preserve"> đoạn</w:t>
      </w:r>
      <w:r w:rsidR="00A624F8" w:rsidRPr="00516087">
        <w:rPr>
          <w:lang w:val="en-GB"/>
        </w:rPr>
        <w:t xml:space="preserve"> 2: </w:t>
      </w:r>
      <w:r>
        <w:rPr>
          <w:lang w:val="en-GB"/>
        </w:rPr>
        <w:t>Phân</w:t>
      </w:r>
      <w:r>
        <w:rPr>
          <w:lang w:val="vi-VN"/>
        </w:rPr>
        <w:t xml:space="preserve"> tích tác động của việc hài hòa hóa </w:t>
      </w:r>
      <w:r w:rsidR="00F873B7">
        <w:rPr>
          <w:lang w:val="vi-VN"/>
        </w:rPr>
        <w:t>TCTMS</w:t>
      </w:r>
      <w:r>
        <w:rPr>
          <w:lang w:val="vi-VN"/>
        </w:rPr>
        <w:t xml:space="preserve"> đối với dòng chảy thương </w:t>
      </w:r>
      <w:r w:rsidR="00A13493">
        <w:rPr>
          <w:lang w:val="vi-VN"/>
        </w:rPr>
        <w:t>mại</w:t>
      </w:r>
    </w:p>
    <w:p w14:paraId="77491ADE" w14:textId="2D9AABE3" w:rsidR="00A13493" w:rsidRPr="00A13493" w:rsidRDefault="00A13493" w:rsidP="00A624F8">
      <w:pPr>
        <w:rPr>
          <w:lang w:val="vi-VN"/>
        </w:rPr>
      </w:pPr>
      <w:r w:rsidRPr="00A13493">
        <w:rPr>
          <w:lang w:val="vi-VN"/>
        </w:rPr>
        <w:t xml:space="preserve">Để ước tính tác động của việc hài hòa hóa </w:t>
      </w:r>
      <w:r w:rsidR="00F873B7">
        <w:rPr>
          <w:lang w:val="vi-VN"/>
        </w:rPr>
        <w:t>TCTMS</w:t>
      </w:r>
      <w:r w:rsidRPr="00A13493">
        <w:rPr>
          <w:lang w:val="vi-VN"/>
        </w:rPr>
        <w:t xml:space="preserve"> lên dòng chảy thương mại song phương, nghiên cứu này sử dụng mô hình trọng lực cấu trúc (structural gravity model), vốn được sử dụng rộng rãi để nghiên cứu và định lượng tác động của các yếu tố quyết định thương mại quốc tế. Mô hình trọng lực cấu trúc trong phân tích này sử dụng bộ ước lượng Poisson Pseudo-Maximum Likelihood (PPML), vốn được ưu tiên vì khả năng xử lý hiện tượng phương sai thay đổi (heteroskedasticity) trong dữ liệu thương mại và chấp nhận các quan sát có giá trị thương mại bằng 0</w:t>
      </w:r>
      <w:r w:rsidRPr="006E7482">
        <w:rPr>
          <w:rStyle w:val="FootnoteReference"/>
        </w:rPr>
        <w:footnoteReference w:id="58"/>
      </w:r>
      <w:r w:rsidRPr="00A13493">
        <w:rPr>
          <w:lang w:val="vi-VN"/>
        </w:rPr>
        <w:t xml:space="preserve">. Các hiệu ứng cố định theo thời gian của nước xuất khẩu và nước nhập khẩu được sử dụng để kiểm soát các yếu tố không quan sát được ảnh hưởng đến dòng chảy thương mại theo thời gian, trong khi hiệu ứng cố định theo cặp nước xuất–nhập khẩu được sử dụng để kiểm soát các yếu tố bất biến theo thời gian trong mối quan hệ song phương giữa hai nền kinh tế. Một biến nhị phân đại diện cho sự tồn tại của các hiệp định thương mại khu vực (RTAs) giữa từng cặp nước xuất–nhập khẩu cũng được đưa vào mô hình để tách biệt tác động của RTAs khỏi tác động của việc hài hòa hóa </w:t>
      </w:r>
      <w:r w:rsidR="00F873B7">
        <w:rPr>
          <w:lang w:val="vi-VN"/>
        </w:rPr>
        <w:t>TCTMS</w:t>
      </w:r>
      <w:r w:rsidRPr="00A13493">
        <w:rPr>
          <w:lang w:val="vi-VN"/>
        </w:rPr>
        <w:t>.</w:t>
      </w:r>
    </w:p>
    <w:tbl>
      <w:tblPr>
        <w:tblStyle w:val="TableGrid"/>
        <w:tblW w:w="0" w:type="auto"/>
        <w:tblLook w:val="04A0" w:firstRow="1" w:lastRow="0" w:firstColumn="1" w:lastColumn="0" w:noHBand="0" w:noVBand="1"/>
      </w:tblPr>
      <w:tblGrid>
        <w:gridCol w:w="10790"/>
      </w:tblGrid>
      <w:tr w:rsidR="00A624F8" w14:paraId="5C3A78D8" w14:textId="77777777">
        <w:tc>
          <w:tcPr>
            <w:tcW w:w="10790" w:type="dxa"/>
            <w:shd w:val="clear" w:color="auto" w:fill="EDEDED" w:themeFill="accent3" w:themeFillTint="33"/>
          </w:tcPr>
          <w:p w14:paraId="39719942" w14:textId="02777FE8" w:rsidR="00A624F8" w:rsidRPr="00A13493" w:rsidRDefault="00A13493">
            <w:pPr>
              <w:rPr>
                <w:b/>
                <w:bCs/>
                <w:lang w:val="vi-VN"/>
              </w:rPr>
            </w:pPr>
            <w:r>
              <w:rPr>
                <w:b/>
                <w:bCs/>
              </w:rPr>
              <w:t>Hộp</w:t>
            </w:r>
            <w:r w:rsidR="00A624F8" w:rsidRPr="00F6158A">
              <w:rPr>
                <w:b/>
                <w:bCs/>
              </w:rPr>
              <w:t xml:space="preserve"> 1: </w:t>
            </w:r>
            <w:r>
              <w:rPr>
                <w:b/>
                <w:bCs/>
              </w:rPr>
              <w:t>Cấu</w:t>
            </w:r>
            <w:r>
              <w:rPr>
                <w:b/>
                <w:bCs/>
                <w:lang w:val="vi-VN"/>
              </w:rPr>
              <w:t xml:space="preserve"> trúc mô hình trọng lực</w:t>
            </w:r>
          </w:p>
          <w:p w14:paraId="56113C43" w14:textId="77777777" w:rsidR="00A624F8" w:rsidRDefault="00A624F8"/>
          <w:p w14:paraId="50A06F5D" w14:textId="31CF722C" w:rsidR="00A13493" w:rsidRPr="00A13493" w:rsidRDefault="00A13493">
            <w:pPr>
              <w:rPr>
                <w:lang w:val="vi-VN"/>
              </w:rPr>
            </w:pPr>
            <w:r w:rsidRPr="00A13493">
              <w:rPr>
                <w:lang w:val="vi-VN"/>
              </w:rPr>
              <w:t>Mô hình trọng lực cấu trúc trong phân tích này áp dụng phiên bản Armington–Constant Elasticity of Substitution (CES) của mô hình trọng lực cấu trúc (Anderson và van Wincoop, 2003),</w:t>
            </w:r>
            <w:r w:rsidRPr="006E7482">
              <w:rPr>
                <w:rStyle w:val="FootnoteReference"/>
              </w:rPr>
              <w:footnoteReference w:id="59"/>
            </w:r>
            <w:r w:rsidRPr="00A13493">
              <w:rPr>
                <w:lang w:val="vi-VN"/>
              </w:rPr>
              <w:t xml:space="preserve"> được ước lượng bằng phương pháp PPML.</w:t>
            </w:r>
          </w:p>
          <w:p w14:paraId="69B75EE1" w14:textId="77777777" w:rsidR="00A624F8" w:rsidRPr="001B0693" w:rsidRDefault="00000000">
            <m:oMathPara>
              <m:oMath>
                <m:sSub>
                  <m:sSubPr>
                    <m:ctrlPr>
                      <w:rPr>
                        <w:rFonts w:ascii="Cambria Math" w:hAnsi="Cambria Math"/>
                        <w:i/>
                      </w:rPr>
                    </m:ctrlPr>
                  </m:sSubPr>
                  <m:e>
                    <m:r>
                      <m:rPr>
                        <m:sty m:val="p"/>
                      </m:rPr>
                      <w:rPr>
                        <w:rStyle w:val="mord"/>
                        <w:rFonts w:ascii="Cambria Math" w:hAnsi="Cambria Math"/>
                      </w:rPr>
                      <m:t>X</m:t>
                    </m:r>
                  </m:e>
                  <m:sub>
                    <m:r>
                      <w:rPr>
                        <w:rFonts w:ascii="Cambria Math" w:hAnsi="Cambria Math"/>
                      </w:rPr>
                      <m:t>ij</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i</m:t>
                        </m:r>
                      </m:sub>
                    </m:sSub>
                    <m:sSub>
                      <m:sSubPr>
                        <m:ctrlPr>
                          <w:rPr>
                            <w:rFonts w:ascii="Cambria Math" w:hAnsi="Cambria Math"/>
                            <w:i/>
                          </w:rPr>
                        </m:ctrlPr>
                      </m:sSubPr>
                      <m:e>
                        <m:r>
                          <w:rPr>
                            <w:rFonts w:ascii="Cambria Math" w:hAnsi="Cambria Math"/>
                          </w:rPr>
                          <m:t>E</m:t>
                        </m:r>
                      </m:e>
                      <m:sub>
                        <m:r>
                          <w:rPr>
                            <w:rFonts w:ascii="Cambria Math" w:hAnsi="Cambria Math"/>
                          </w:rPr>
                          <m:t>j</m:t>
                        </m:r>
                      </m:sub>
                    </m:sSub>
                  </m:num>
                  <m:den>
                    <m:r>
                      <w:rPr>
                        <w:rFonts w:ascii="Cambria Math" w:hAnsi="Cambria Math"/>
                      </w:rPr>
                      <m:t>Y</m:t>
                    </m:r>
                  </m:den>
                </m:f>
                <m:r>
                  <w:rPr>
                    <w:rFonts w:ascii="Cambria Math" w:hAnsi="Cambria Math"/>
                  </w:rPr>
                  <m:t xml:space="preserve"> </m:t>
                </m:r>
                <m:sSup>
                  <m:sSupPr>
                    <m:ctrlPr>
                      <w:rPr>
                        <w:rFonts w:ascii="Cambria Math" w:hAnsi="Cambria Math"/>
                        <w:i/>
                      </w:rPr>
                    </m:ctrlPr>
                  </m:sSupP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ij</m:t>
                            </m:r>
                          </m:sub>
                        </m:sSub>
                      </m:num>
                      <m:den>
                        <m:sSub>
                          <m:sSubPr>
                            <m:ctrlPr>
                              <w:rPr>
                                <w:rFonts w:ascii="Cambria Math" w:hAnsi="Cambria Math"/>
                                <w:i/>
                              </w:rPr>
                            </m:ctrlPr>
                          </m:sSubPr>
                          <m:e>
                            <m:r>
                              <w:rPr>
                                <w:rFonts w:ascii="Cambria Math" w:hAnsi="Cambria Math"/>
                              </w:rPr>
                              <m:t>S</m:t>
                            </m:r>
                          </m:e>
                          <m:sub>
                            <m:r>
                              <w:rPr>
                                <w:rFonts w:ascii="Cambria Math" w:hAnsi="Cambria Math"/>
                              </w:rPr>
                              <m:t>i</m:t>
                            </m:r>
                          </m:sub>
                        </m:sSub>
                        <m:sSub>
                          <m:sSubPr>
                            <m:ctrlPr>
                              <w:rPr>
                                <w:rFonts w:ascii="Cambria Math" w:hAnsi="Cambria Math"/>
                                <w:i/>
                              </w:rPr>
                            </m:ctrlPr>
                          </m:sSubPr>
                          <m:e>
                            <m:r>
                              <w:rPr>
                                <w:rFonts w:ascii="Cambria Math" w:hAnsi="Cambria Math"/>
                              </w:rPr>
                              <m:t>P</m:t>
                            </m:r>
                          </m:e>
                          <m:sub>
                            <m:r>
                              <w:rPr>
                                <w:rFonts w:ascii="Cambria Math" w:hAnsi="Cambria Math"/>
                              </w:rPr>
                              <m:t>j</m:t>
                            </m:r>
                          </m:sub>
                        </m:sSub>
                      </m:den>
                    </m:f>
                    <m:r>
                      <w:rPr>
                        <w:rFonts w:ascii="Cambria Math" w:hAnsi="Cambria Math"/>
                      </w:rPr>
                      <m:t>)</m:t>
                    </m:r>
                  </m:e>
                  <m:sup>
                    <m:r>
                      <w:rPr>
                        <w:rFonts w:ascii="Cambria Math" w:hAnsi="Cambria Math"/>
                      </w:rPr>
                      <m:t>1-</m:t>
                    </m:r>
                    <m:r>
                      <m:rPr>
                        <m:sty m:val="p"/>
                      </m:rPr>
                      <w:rPr>
                        <w:rStyle w:val="mord"/>
                        <w:rFonts w:ascii="Cambria Math" w:hAnsi="Cambria Math"/>
                      </w:rPr>
                      <m:t>σ</m:t>
                    </m:r>
                  </m:sup>
                </m:sSup>
              </m:oMath>
            </m:oMathPara>
          </w:p>
          <w:p w14:paraId="3ABFD4A6" w14:textId="393144BE" w:rsidR="00A624F8" w:rsidRPr="004547DE" w:rsidRDefault="0098176A">
            <w:pPr>
              <w:rPr>
                <w:rFonts w:eastAsia="DengXian"/>
                <w:lang w:val="vi-VN"/>
              </w:rPr>
            </w:pPr>
            <w:r>
              <w:rPr>
                <w:rFonts w:eastAsia="DengXian"/>
              </w:rPr>
              <w:t>Trong</w:t>
            </w:r>
            <w:r>
              <w:rPr>
                <w:rFonts w:eastAsia="DengXian"/>
                <w:lang w:val="vi-VN"/>
              </w:rPr>
              <w:t xml:space="preserve"> phương trình này</w:t>
            </w:r>
            <w:r w:rsidR="00A624F8" w:rsidRPr="00516087">
              <w:rPr>
                <w:rFonts w:eastAsia="DengXian"/>
              </w:rPr>
              <w:t>, </w:t>
            </w:r>
            <m:oMath>
              <m:sSub>
                <m:sSubPr>
                  <m:ctrlPr>
                    <w:rPr>
                      <w:rFonts w:ascii="Cambria Math" w:hAnsi="Cambria Math"/>
                      <w:i/>
                    </w:rPr>
                  </m:ctrlPr>
                </m:sSubPr>
                <m:e>
                  <m:r>
                    <m:rPr>
                      <m:sty m:val="p"/>
                    </m:rPr>
                    <w:rPr>
                      <w:rStyle w:val="mord"/>
                      <w:rFonts w:ascii="Cambria Math" w:hAnsi="Cambria Math"/>
                    </w:rPr>
                    <m:t>X</m:t>
                  </m:r>
                </m:e>
                <m:sub>
                  <m:r>
                    <w:rPr>
                      <w:rFonts w:ascii="Cambria Math" w:hAnsi="Cambria Math"/>
                    </w:rPr>
                    <m:t>ij</m:t>
                  </m:r>
                </m:sub>
              </m:sSub>
            </m:oMath>
            <w:r w:rsidR="00A624F8" w:rsidRPr="001B0693">
              <w:rPr>
                <w:rFonts w:eastAsia="DengXian"/>
              </w:rPr>
              <w:t xml:space="preserve"> </w:t>
            </w:r>
            <w:r>
              <w:rPr>
                <w:rFonts w:eastAsia="DengXian"/>
              </w:rPr>
              <w:t>là</w:t>
            </w:r>
            <w:r>
              <w:rPr>
                <w:rFonts w:eastAsia="DengXian"/>
                <w:lang w:val="vi-VN"/>
              </w:rPr>
              <w:t xml:space="preserve"> giá trị xuất khẩu từ nước </w:t>
            </w:r>
            <w:r w:rsidRPr="004547DE">
              <w:rPr>
                <w:rFonts w:eastAsia="DengXian"/>
                <w:i/>
                <w:iCs/>
                <w:lang w:val="vi-VN"/>
              </w:rPr>
              <w:t>i</w:t>
            </w:r>
            <w:r>
              <w:rPr>
                <w:rFonts w:eastAsia="DengXian"/>
                <w:lang w:val="vi-VN"/>
              </w:rPr>
              <w:t xml:space="preserve"> sang nước</w:t>
            </w:r>
            <w:r w:rsidR="00A624F8" w:rsidRPr="00516087">
              <w:rPr>
                <w:rFonts w:eastAsia="DengXian"/>
              </w:rPr>
              <w:t> </w:t>
            </w:r>
            <w:r w:rsidR="00A624F8" w:rsidRPr="00516087">
              <w:rPr>
                <w:rFonts w:eastAsia="DengXian"/>
                <w:i/>
              </w:rPr>
              <w:t>j</w:t>
            </w:r>
            <w:r w:rsidR="00A624F8" w:rsidRPr="00516087">
              <w:rPr>
                <w:rFonts w:eastAsia="DengXian"/>
              </w:rPr>
              <w:t>,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00A624F8" w:rsidRPr="00516087">
              <w:rPr>
                <w:rFonts w:eastAsia="DengXian"/>
              </w:rPr>
              <w:t> </w:t>
            </w:r>
            <w:r w:rsidR="004547DE">
              <w:rPr>
                <w:rFonts w:eastAsia="DengXian"/>
              </w:rPr>
              <w:t>là</w:t>
            </w:r>
            <w:r w:rsidR="004547DE">
              <w:rPr>
                <w:rFonts w:eastAsia="DengXian"/>
                <w:lang w:val="vi-VN"/>
              </w:rPr>
              <w:t xml:space="preserve"> sản lượng trong nước của nước </w:t>
            </w:r>
            <w:r w:rsidR="004547DE" w:rsidRPr="00F82221">
              <w:rPr>
                <w:rFonts w:eastAsia="DengXian"/>
                <w:i/>
                <w:iCs/>
                <w:lang w:val="vi-VN"/>
              </w:rPr>
              <w:t>i</w:t>
            </w:r>
            <w:r w:rsidR="00A624F8" w:rsidRPr="00516087">
              <w:rPr>
                <w:rFonts w:eastAsia="DengXian"/>
              </w:rPr>
              <w:t>, </w:t>
            </w:r>
            <m:oMath>
              <m:sSub>
                <m:sSubPr>
                  <m:ctrlPr>
                    <w:rPr>
                      <w:rFonts w:ascii="Cambria Math" w:hAnsi="Cambria Math"/>
                      <w:i/>
                    </w:rPr>
                  </m:ctrlPr>
                </m:sSubPr>
                <m:e>
                  <m:r>
                    <w:rPr>
                      <w:rFonts w:ascii="Cambria Math" w:hAnsi="Cambria Math"/>
                    </w:rPr>
                    <m:t>E</m:t>
                  </m:r>
                </m:e>
                <m:sub>
                  <m:r>
                    <w:rPr>
                      <w:rFonts w:ascii="Cambria Math" w:hAnsi="Cambria Math"/>
                    </w:rPr>
                    <m:t>j</m:t>
                  </m:r>
                </m:sub>
              </m:sSub>
            </m:oMath>
            <w:r w:rsidR="00A624F8" w:rsidRPr="00516087">
              <w:rPr>
                <w:rFonts w:eastAsia="DengXian"/>
              </w:rPr>
              <w:t xml:space="preserve"> </w:t>
            </w:r>
            <w:r w:rsidR="004547DE">
              <w:rPr>
                <w:rFonts w:eastAsia="DengXian"/>
              </w:rPr>
              <w:t>là</w:t>
            </w:r>
            <w:r w:rsidR="004547DE">
              <w:rPr>
                <w:rFonts w:eastAsia="DengXian"/>
                <w:lang w:val="vi-VN"/>
              </w:rPr>
              <w:t xml:space="preserve"> tổng chi tiêu của nước </w:t>
            </w:r>
            <w:r w:rsidR="004547DE" w:rsidRPr="00F82221">
              <w:rPr>
                <w:rFonts w:eastAsia="DengXian"/>
                <w:i/>
                <w:iCs/>
                <w:lang w:val="vi-VN"/>
              </w:rPr>
              <w:t>j</w:t>
            </w:r>
            <w:r w:rsidR="004547DE">
              <w:rPr>
                <w:rFonts w:eastAsia="DengXian"/>
                <w:lang w:val="vi-VN"/>
              </w:rPr>
              <w:t xml:space="preserve">, </w:t>
            </w:r>
            <w:r w:rsidR="00A624F8" w:rsidRPr="00516087">
              <w:rPr>
                <w:rFonts w:eastAsia="DengXian"/>
              </w:rPr>
              <w:t>Y </w:t>
            </w:r>
            <w:r w:rsidR="004547DE">
              <w:rPr>
                <w:rFonts w:eastAsia="DengXian"/>
              </w:rPr>
              <w:t>là</w:t>
            </w:r>
            <w:r w:rsidR="004547DE">
              <w:rPr>
                <w:rFonts w:eastAsia="DengXian"/>
                <w:lang w:val="vi-VN"/>
              </w:rPr>
              <w:t xml:space="preserve"> sản lượng toàn cầu</w:t>
            </w:r>
            <w:r w:rsidR="00A624F8" w:rsidRPr="00516087">
              <w:rPr>
                <w:rFonts w:eastAsia="DengXian"/>
              </w:rPr>
              <w:t>, </w:t>
            </w:r>
            <m:oMath>
              <m:sSub>
                <m:sSubPr>
                  <m:ctrlPr>
                    <w:rPr>
                      <w:rFonts w:ascii="Cambria Math" w:hAnsi="Cambria Math"/>
                      <w:i/>
                    </w:rPr>
                  </m:ctrlPr>
                </m:sSubPr>
                <m:e>
                  <m:r>
                    <w:rPr>
                      <w:rFonts w:ascii="Cambria Math" w:hAnsi="Cambria Math"/>
                    </w:rPr>
                    <m:t>t</m:t>
                  </m:r>
                </m:e>
                <m:sub>
                  <m:r>
                    <w:rPr>
                      <w:rFonts w:ascii="Cambria Math" w:hAnsi="Cambria Math"/>
                    </w:rPr>
                    <m:t>ij</m:t>
                  </m:r>
                </m:sub>
              </m:sSub>
            </m:oMath>
            <w:r w:rsidR="00A624F8" w:rsidRPr="00516087">
              <w:rPr>
                <w:rFonts w:eastAsia="DengXian"/>
              </w:rPr>
              <w:t> </w:t>
            </w:r>
            <w:r w:rsidR="004547DE">
              <w:rPr>
                <w:rFonts w:eastAsia="DengXian"/>
              </w:rPr>
              <w:t>là</w:t>
            </w:r>
            <w:r w:rsidR="004547DE">
              <w:rPr>
                <w:rFonts w:eastAsia="DengXian"/>
                <w:lang w:val="vi-VN"/>
              </w:rPr>
              <w:t xml:space="preserve"> chi phí thương mại song phương giữa nước </w:t>
            </w:r>
            <w:r w:rsidR="004547DE" w:rsidRPr="00F82221">
              <w:rPr>
                <w:rFonts w:eastAsia="DengXian"/>
                <w:i/>
                <w:iCs/>
                <w:lang w:val="vi-VN"/>
              </w:rPr>
              <w:t>i</w:t>
            </w:r>
            <w:r w:rsidR="004547DE">
              <w:rPr>
                <w:rFonts w:eastAsia="DengXian"/>
                <w:lang w:val="vi-VN"/>
              </w:rPr>
              <w:t xml:space="preserve"> và nước </w:t>
            </w:r>
            <w:r w:rsidR="004547DE" w:rsidRPr="00F82221">
              <w:rPr>
                <w:rFonts w:eastAsia="DengXian"/>
                <w:i/>
                <w:iCs/>
                <w:lang w:val="vi-VN"/>
              </w:rPr>
              <w:t>j</w:t>
            </w:r>
            <w:r w:rsidR="004547DE">
              <w:rPr>
                <w:rFonts w:eastAsia="DengXian"/>
                <w:lang w:val="vi-VN"/>
              </w:rPr>
              <w:t>, và</w:t>
            </w:r>
            <w:r w:rsidR="00A624F8" w:rsidRPr="00516087">
              <w:rPr>
                <w:rFonts w:eastAsia="DengXian"/>
              </w:rPr>
              <w:t xml:space="preserve"> </w:t>
            </w:r>
            <w:r w:rsidR="00A624F8" w:rsidRPr="00516087">
              <w:rPr>
                <w:rFonts w:ascii="Cambria Math" w:eastAsia="DengXian" w:hAnsi="Cambria Math" w:cs="Cambria Math"/>
              </w:rPr>
              <w:t>𝜎</w:t>
            </w:r>
            <w:r w:rsidR="00A624F8" w:rsidRPr="00516087">
              <w:rPr>
                <w:rFonts w:eastAsia="DengXian"/>
              </w:rPr>
              <w:t> </w:t>
            </w:r>
            <w:r w:rsidR="004547DE">
              <w:rPr>
                <w:rFonts w:eastAsia="DengXian"/>
              </w:rPr>
              <w:t>là</w:t>
            </w:r>
            <w:r w:rsidR="004547DE">
              <w:rPr>
                <w:rFonts w:eastAsia="DengXian"/>
                <w:lang w:val="vi-VN"/>
              </w:rPr>
              <w:t xml:space="preserve"> độ co giãn thay thế giữa hàng hóa từ các nguồn khác nhau</w:t>
            </w:r>
            <w:r w:rsidR="00A624F8" w:rsidRPr="00516087">
              <w:rPr>
                <w:rFonts w:eastAsia="DengXian"/>
              </w:rPr>
              <w:t xml:space="preserve">. </w:t>
            </w:r>
            <w:r w:rsidR="004547DE">
              <w:rPr>
                <w:rFonts w:eastAsia="DengXian"/>
              </w:rPr>
              <w:t>Các</w:t>
            </w:r>
            <w:r w:rsidR="004547DE">
              <w:rPr>
                <w:rFonts w:eastAsia="DengXian"/>
                <w:lang w:val="vi-VN"/>
              </w:rPr>
              <w:t xml:space="preserve"> tham số cấu trúc </w:t>
            </w: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00A624F8" w:rsidRPr="00516087">
              <w:rPr>
                <w:rFonts w:eastAsia="DengXian"/>
              </w:rPr>
              <w:t> </w:t>
            </w:r>
            <w:r w:rsidR="004547DE">
              <w:rPr>
                <w:rFonts w:eastAsia="DengXian"/>
              </w:rPr>
              <w:t>và</w:t>
            </w:r>
            <w:r w:rsidR="00A624F8" w:rsidRPr="00516087">
              <w:rPr>
                <w:rFonts w:eastAsia="DengXian"/>
              </w:rPr>
              <w:t> </w:t>
            </w:r>
            <m:oMath>
              <m:sSub>
                <m:sSubPr>
                  <m:ctrlPr>
                    <w:rPr>
                      <w:rFonts w:ascii="Cambria Math" w:hAnsi="Cambria Math"/>
                      <w:i/>
                    </w:rPr>
                  </m:ctrlPr>
                </m:sSubPr>
                <m:e>
                  <m:r>
                    <w:rPr>
                      <w:rFonts w:ascii="Cambria Math" w:hAnsi="Cambria Math"/>
                    </w:rPr>
                    <m:t>P</m:t>
                  </m:r>
                </m:e>
                <m:sub>
                  <m:r>
                    <w:rPr>
                      <w:rFonts w:ascii="Cambria Math" w:hAnsi="Cambria Math"/>
                    </w:rPr>
                    <m:t>j</m:t>
                  </m:r>
                </m:sub>
              </m:sSub>
            </m:oMath>
            <w:r w:rsidR="00A624F8" w:rsidRPr="00516087">
              <w:rPr>
                <w:rFonts w:eastAsia="DengXian"/>
              </w:rPr>
              <w:t> </w:t>
            </w:r>
            <w:r w:rsidR="004547DE">
              <w:rPr>
                <w:rFonts w:eastAsia="DengXian"/>
              </w:rPr>
              <w:t>đại</w:t>
            </w:r>
            <w:r w:rsidR="004547DE">
              <w:rPr>
                <w:rFonts w:eastAsia="DengXian"/>
                <w:lang w:val="vi-VN"/>
              </w:rPr>
              <w:t xml:space="preserve"> diện cho mức độ cản trở thương mại đa phương trong nước xuất khẩu và nhập khẩu (tức mức độ thuận lợi khihanfg hóa từ nước </w:t>
            </w:r>
            <w:r w:rsidR="004547DE" w:rsidRPr="00F82221">
              <w:rPr>
                <w:rFonts w:eastAsia="DengXian"/>
                <w:i/>
                <w:iCs/>
                <w:lang w:val="vi-VN"/>
              </w:rPr>
              <w:t>i</w:t>
            </w:r>
            <w:r w:rsidR="004547DE">
              <w:rPr>
                <w:rFonts w:eastAsia="DengXian"/>
                <w:lang w:val="vi-VN"/>
              </w:rPr>
              <w:t xml:space="preserve"> tiếp cận thị trường xuất khẩu và mức độ thuận lợi khi hàng hóa nhập khẩu tiếp cận thị trường nước </w:t>
            </w:r>
            <w:r w:rsidR="004547DE" w:rsidRPr="00F82221">
              <w:rPr>
                <w:rFonts w:eastAsia="DengXian"/>
                <w:i/>
                <w:iCs/>
                <w:lang w:val="vi-VN"/>
              </w:rPr>
              <w:t>j</w:t>
            </w:r>
            <w:r w:rsidR="004547DE">
              <w:rPr>
                <w:rFonts w:eastAsia="DengXian"/>
                <w:lang w:val="vi-VN"/>
              </w:rPr>
              <w:t>).</w:t>
            </w:r>
          </w:p>
          <w:p w14:paraId="5C709FB1" w14:textId="77777777" w:rsidR="0098176A" w:rsidRPr="0098176A" w:rsidRDefault="0098176A">
            <w:pPr>
              <w:rPr>
                <w:rFonts w:eastAsia="DengXian"/>
                <w:lang w:val="vi-VN"/>
              </w:rPr>
            </w:pPr>
          </w:p>
          <w:p w14:paraId="6C4DC842" w14:textId="77777777" w:rsidR="00A624F8" w:rsidRPr="00516087" w:rsidRDefault="00A624F8">
            <w:pPr>
              <w:rPr>
                <w:rFonts w:eastAsia="DengXian"/>
              </w:rPr>
            </w:pPr>
          </w:p>
          <w:p w14:paraId="7F0871A7" w14:textId="0999646B" w:rsidR="00A624F8" w:rsidRPr="0098176A" w:rsidRDefault="0098176A">
            <w:pPr>
              <w:rPr>
                <w:rFonts w:eastAsia="DengXian"/>
                <w:lang w:val="vi-VN"/>
              </w:rPr>
            </w:pPr>
            <w:r>
              <w:rPr>
                <w:rFonts w:eastAsia="DengXian"/>
              </w:rPr>
              <w:t>Phương</w:t>
            </w:r>
            <w:r>
              <w:rPr>
                <w:rFonts w:eastAsia="DengXian"/>
                <w:lang w:val="vi-VN"/>
              </w:rPr>
              <w:t xml:space="preserve"> trình này cũng có thể được biểu diễn trong dạng hiệu ứng cố định:</w:t>
            </w:r>
          </w:p>
          <w:p w14:paraId="01FD003E" w14:textId="77777777" w:rsidR="00A624F8" w:rsidRPr="00516087" w:rsidRDefault="00000000">
            <w:pPr>
              <w:rPr>
                <w:rFonts w:eastAsia="DengXian"/>
              </w:rPr>
            </w:pPr>
            <m:oMathPara>
              <m:oMath>
                <m:sSub>
                  <m:sSubPr>
                    <m:ctrlPr>
                      <w:rPr>
                        <w:rFonts w:ascii="Cambria Math" w:eastAsia="DengXian" w:hAnsi="Cambria Math"/>
                        <w:i/>
                      </w:rPr>
                    </m:ctrlPr>
                  </m:sSubPr>
                  <m:e>
                    <m:r>
                      <w:rPr>
                        <w:rFonts w:ascii="Cambria Math" w:eastAsia="DengXian" w:hAnsi="Cambria Math"/>
                      </w:rPr>
                      <m:t>X</m:t>
                    </m:r>
                  </m:e>
                  <m:sub>
                    <m:r>
                      <w:rPr>
                        <w:rFonts w:ascii="Cambria Math" w:eastAsia="DengXian" w:hAnsi="Cambria Math"/>
                      </w:rPr>
                      <m:t>ijt</m:t>
                    </m:r>
                  </m:sub>
                </m:sSub>
                <m:r>
                  <w:rPr>
                    <w:rFonts w:ascii="Cambria Math" w:eastAsia="DengXian" w:hAnsi="Cambria Math"/>
                  </w:rPr>
                  <m:t>=</m:t>
                </m:r>
                <m:func>
                  <m:funcPr>
                    <m:ctrlPr>
                      <w:rPr>
                        <w:rFonts w:ascii="Cambria Math" w:eastAsia="DengXian" w:hAnsi="Cambria Math"/>
                        <w:i/>
                      </w:rPr>
                    </m:ctrlPr>
                  </m:funcPr>
                  <m:fName>
                    <m:r>
                      <m:rPr>
                        <m:sty m:val="p"/>
                      </m:rPr>
                      <w:rPr>
                        <w:rFonts w:ascii="Cambria Math" w:eastAsia="DengXian" w:hAnsi="Cambria Math"/>
                      </w:rPr>
                      <m:t>exp</m:t>
                    </m:r>
                  </m:fName>
                  <m:e>
                    <m:d>
                      <m:dPr>
                        <m:begChr m:val="["/>
                        <m:endChr m:val="]"/>
                        <m:ctrlPr>
                          <w:rPr>
                            <w:rFonts w:ascii="Cambria Math" w:eastAsia="DengXian" w:hAnsi="Cambria Math"/>
                            <w:i/>
                          </w:rPr>
                        </m:ctrlPr>
                      </m:dPr>
                      <m:e>
                        <m:sSub>
                          <m:sSubPr>
                            <m:ctrlPr>
                              <w:rPr>
                                <w:rFonts w:ascii="Cambria Math" w:eastAsia="DengXian" w:hAnsi="Cambria Math"/>
                                <w:i/>
                              </w:rPr>
                            </m:ctrlPr>
                          </m:sSubPr>
                          <m:e>
                            <m:r>
                              <w:rPr>
                                <w:rStyle w:val="mord"/>
                                <w:rFonts w:ascii="Cambria Math" w:hAnsi="Cambria Math"/>
                              </w:rPr>
                              <m:t>γ</m:t>
                            </m:r>
                          </m:e>
                          <m:sub>
                            <m:r>
                              <w:rPr>
                                <w:rFonts w:ascii="Cambria Math" w:eastAsia="DengXian" w:hAnsi="Cambria Math"/>
                              </w:rPr>
                              <m:t>it</m:t>
                            </m:r>
                          </m:sub>
                        </m:sSub>
                        <m:r>
                          <w:rPr>
                            <w:rFonts w:ascii="Cambria Math" w:eastAsia="DengXian" w:hAnsi="Cambria Math"/>
                          </w:rPr>
                          <m:t xml:space="preserve">+ </m:t>
                        </m:r>
                        <m:sSub>
                          <m:sSubPr>
                            <m:ctrlPr>
                              <w:rPr>
                                <w:rFonts w:ascii="Cambria Math" w:eastAsia="DengXian" w:hAnsi="Cambria Math"/>
                                <w:i/>
                              </w:rPr>
                            </m:ctrlPr>
                          </m:sSubPr>
                          <m:e>
                            <m:r>
                              <w:rPr>
                                <w:rStyle w:val="mord"/>
                                <w:rFonts w:ascii="Cambria Math" w:hAnsi="Cambria Math"/>
                              </w:rPr>
                              <m:t>η</m:t>
                            </m:r>
                          </m:e>
                          <m:sub>
                            <m:r>
                              <w:rPr>
                                <w:rFonts w:ascii="Cambria Math" w:eastAsia="DengXian" w:hAnsi="Cambria Math"/>
                              </w:rPr>
                              <m:t>jt</m:t>
                            </m:r>
                          </m:sub>
                        </m:sSub>
                        <m:r>
                          <w:rPr>
                            <w:rFonts w:ascii="Cambria Math" w:eastAsia="DengXian" w:hAnsi="Cambria Math"/>
                          </w:rPr>
                          <m:t xml:space="preserve">+ </m:t>
                        </m:r>
                        <m:sSub>
                          <m:sSubPr>
                            <m:ctrlPr>
                              <w:rPr>
                                <w:rFonts w:ascii="Cambria Math" w:eastAsia="DengXian" w:hAnsi="Cambria Math"/>
                                <w:i/>
                              </w:rPr>
                            </m:ctrlPr>
                          </m:sSubPr>
                          <m:e>
                            <m:r>
                              <w:rPr>
                                <w:rStyle w:val="mord"/>
                                <w:rFonts w:ascii="Cambria Math" w:hAnsi="Cambria Math"/>
                              </w:rPr>
                              <m:t>λ</m:t>
                            </m:r>
                          </m:e>
                          <m:sub>
                            <m:r>
                              <w:rPr>
                                <w:rFonts w:ascii="Cambria Math" w:eastAsia="DengXian" w:hAnsi="Cambria Math"/>
                              </w:rPr>
                              <m:t>ij</m:t>
                            </m:r>
                          </m:sub>
                        </m:sSub>
                        <m:r>
                          <w:rPr>
                            <w:rFonts w:ascii="Cambria Math" w:eastAsia="DengXian" w:hAnsi="Cambria Math"/>
                          </w:rPr>
                          <m:t>+</m:t>
                        </m:r>
                        <m:r>
                          <w:rPr>
                            <w:rStyle w:val="mord"/>
                            <w:rFonts w:ascii="Cambria Math" w:hAnsi="Cambria Math"/>
                          </w:rPr>
                          <m:t>β</m:t>
                        </m:r>
                        <m:sSub>
                          <m:sSubPr>
                            <m:ctrlPr>
                              <w:rPr>
                                <w:rStyle w:val="mord"/>
                                <w:rFonts w:ascii="Cambria Math" w:hAnsi="Cambria Math"/>
                                <w:i/>
                              </w:rPr>
                            </m:ctrlPr>
                          </m:sSubPr>
                          <m:e>
                            <m:r>
                              <w:rPr>
                                <w:rStyle w:val="mord"/>
                                <w:rFonts w:ascii="Cambria Math" w:hAnsi="Cambria Math"/>
                              </w:rPr>
                              <m:t>Z</m:t>
                            </m:r>
                          </m:e>
                          <m:sub>
                            <m:r>
                              <w:rPr>
                                <w:rStyle w:val="mord"/>
                                <w:rFonts w:ascii="Cambria Math" w:hAnsi="Cambria Math"/>
                              </w:rPr>
                              <m:t>ijt</m:t>
                            </m:r>
                          </m:sub>
                        </m:sSub>
                      </m:e>
                    </m:d>
                  </m:e>
                </m:func>
                <m:r>
                  <w:rPr>
                    <w:rFonts w:ascii="Cambria Math" w:eastAsia="DengXian" w:hAnsi="Cambria Math"/>
                  </w:rPr>
                  <m:t xml:space="preserve">+ </m:t>
                </m:r>
                <m:sSub>
                  <m:sSubPr>
                    <m:ctrlPr>
                      <w:rPr>
                        <w:rFonts w:ascii="Cambria Math" w:eastAsia="DengXian" w:hAnsi="Cambria Math"/>
                        <w:i/>
                      </w:rPr>
                    </m:ctrlPr>
                  </m:sSubPr>
                  <m:e>
                    <m:r>
                      <m:rPr>
                        <m:sty m:val="p"/>
                      </m:rPr>
                      <w:rPr>
                        <w:rStyle w:val="mord"/>
                        <w:rFonts w:ascii="Cambria Math" w:hAnsi="Cambria Math"/>
                      </w:rPr>
                      <m:t>ε</m:t>
                    </m:r>
                  </m:e>
                  <m:sub>
                    <m:r>
                      <w:rPr>
                        <w:rFonts w:ascii="Cambria Math" w:eastAsia="DengXian" w:hAnsi="Cambria Math"/>
                      </w:rPr>
                      <m:t>ijt</m:t>
                    </m:r>
                  </m:sub>
                </m:sSub>
                <m:r>
                  <w:rPr>
                    <w:rFonts w:ascii="Cambria Math" w:eastAsia="DengXian" w:hAnsi="Cambria Math"/>
                  </w:rPr>
                  <m:t xml:space="preserve"> </m:t>
                </m:r>
              </m:oMath>
            </m:oMathPara>
          </w:p>
          <w:p w14:paraId="61FF05A4" w14:textId="77777777" w:rsidR="00A624F8" w:rsidRPr="00516087" w:rsidRDefault="00A624F8">
            <w:pPr>
              <w:rPr>
                <w:rFonts w:eastAsia="DengXian"/>
              </w:rPr>
            </w:pPr>
          </w:p>
          <w:p w14:paraId="0F884A7C" w14:textId="00920FBE" w:rsidR="00A624F8" w:rsidRPr="0093438E" w:rsidRDefault="00F82221">
            <w:pPr>
              <w:rPr>
                <w:rFonts w:eastAsia="DengXian"/>
                <w:lang w:val="vi-VN"/>
              </w:rPr>
            </w:pPr>
            <w:r>
              <w:rPr>
                <w:rFonts w:eastAsia="DengXian"/>
              </w:rPr>
              <w:t>Trong</w:t>
            </w:r>
            <w:r>
              <w:rPr>
                <w:rFonts w:eastAsia="DengXian"/>
                <w:lang w:val="vi-VN"/>
              </w:rPr>
              <w:t xml:space="preserve"> đó</w:t>
            </w:r>
            <w:r w:rsidR="00A624F8" w:rsidRPr="00516087">
              <w:rPr>
                <w:rFonts w:eastAsia="DengXian"/>
              </w:rPr>
              <w:t xml:space="preserve">, </w:t>
            </w:r>
            <m:oMath>
              <m:sSub>
                <m:sSubPr>
                  <m:ctrlPr>
                    <w:rPr>
                      <w:rFonts w:ascii="Cambria Math" w:eastAsia="DengXian" w:hAnsi="Cambria Math"/>
                      <w:i/>
                    </w:rPr>
                  </m:ctrlPr>
                </m:sSubPr>
                <m:e>
                  <m:r>
                    <w:rPr>
                      <w:rStyle w:val="mord"/>
                      <w:rFonts w:ascii="Cambria Math" w:hAnsi="Cambria Math"/>
                    </w:rPr>
                    <m:t>γ</m:t>
                  </m:r>
                </m:e>
                <m:sub>
                  <m:r>
                    <w:rPr>
                      <w:rFonts w:ascii="Cambria Math" w:eastAsia="DengXian" w:hAnsi="Cambria Math"/>
                    </w:rPr>
                    <m:t>it</m:t>
                  </m:r>
                </m:sub>
              </m:sSub>
            </m:oMath>
            <w:r>
              <w:rPr>
                <w:rFonts w:eastAsia="DengXian"/>
                <w:lang w:val="vi-VN"/>
              </w:rPr>
              <w:t xml:space="preserve"> </w:t>
            </w:r>
            <w:r>
              <w:rPr>
                <w:rFonts w:eastAsia="DengXian"/>
              </w:rPr>
              <w:t>là</w:t>
            </w:r>
            <w:r>
              <w:rPr>
                <w:rFonts w:eastAsia="DengXian"/>
                <w:lang w:val="vi-VN"/>
              </w:rPr>
              <w:t xml:space="preserve"> hiệu ứng cố định theo thời gian của nước xuất khẩu</w:t>
            </w:r>
            <w:r w:rsidR="00A624F8" w:rsidRPr="00516087">
              <w:rPr>
                <w:rFonts w:eastAsia="DengXian"/>
              </w:rPr>
              <w:t>, </w:t>
            </w:r>
            <m:oMath>
              <m:sSub>
                <m:sSubPr>
                  <m:ctrlPr>
                    <w:rPr>
                      <w:rFonts w:ascii="Cambria Math" w:eastAsia="DengXian" w:hAnsi="Cambria Math"/>
                      <w:i/>
                    </w:rPr>
                  </m:ctrlPr>
                </m:sSubPr>
                <m:e>
                  <m:r>
                    <w:rPr>
                      <w:rStyle w:val="mord"/>
                      <w:rFonts w:ascii="Cambria Math" w:hAnsi="Cambria Math"/>
                    </w:rPr>
                    <m:t>η</m:t>
                  </m:r>
                </m:e>
                <m:sub>
                  <m:r>
                    <w:rPr>
                      <w:rFonts w:ascii="Cambria Math" w:eastAsia="DengXian" w:hAnsi="Cambria Math"/>
                    </w:rPr>
                    <m:t>jt</m:t>
                  </m:r>
                </m:sub>
              </m:sSub>
            </m:oMath>
            <w:r w:rsidR="00A624F8" w:rsidRPr="00516087">
              <w:rPr>
                <w:rFonts w:eastAsia="DengXian"/>
              </w:rPr>
              <w:t> </w:t>
            </w:r>
            <w:r>
              <w:rPr>
                <w:rFonts w:eastAsia="DengXian"/>
              </w:rPr>
              <w:t>là</w:t>
            </w:r>
            <w:r>
              <w:rPr>
                <w:rFonts w:eastAsia="DengXian"/>
                <w:lang w:val="vi-VN"/>
              </w:rPr>
              <w:t xml:space="preserve"> hiệu ứng cố định </w:t>
            </w:r>
            <w:r w:rsidR="00A453F8">
              <w:rPr>
                <w:rFonts w:eastAsia="DengXian"/>
                <w:lang w:val="vi-VN"/>
              </w:rPr>
              <w:t>theo thời gian của nước nhập khẩu</w:t>
            </w:r>
            <w:r w:rsidR="00A624F8" w:rsidRPr="00516087">
              <w:rPr>
                <w:rFonts w:eastAsia="DengXian"/>
              </w:rPr>
              <w:t>, </w:t>
            </w:r>
            <m:oMath>
              <m:sSub>
                <m:sSubPr>
                  <m:ctrlPr>
                    <w:rPr>
                      <w:rFonts w:ascii="Cambria Math" w:eastAsia="DengXian" w:hAnsi="Cambria Math"/>
                      <w:i/>
                    </w:rPr>
                  </m:ctrlPr>
                </m:sSubPr>
                <m:e>
                  <m:r>
                    <w:rPr>
                      <w:rStyle w:val="mord"/>
                      <w:rFonts w:ascii="Cambria Math" w:hAnsi="Cambria Math"/>
                    </w:rPr>
                    <m:t>λ</m:t>
                  </m:r>
                </m:e>
                <m:sub>
                  <m:r>
                    <w:rPr>
                      <w:rFonts w:ascii="Cambria Math" w:eastAsia="DengXian" w:hAnsi="Cambria Math"/>
                    </w:rPr>
                    <m:t>ij</m:t>
                  </m:r>
                </m:sub>
              </m:sSub>
            </m:oMath>
            <w:r w:rsidR="00A453F8">
              <w:rPr>
                <w:rFonts w:eastAsia="DengXian"/>
                <w:lang w:val="vi-VN"/>
              </w:rPr>
              <w:t xml:space="preserve"> là hiệu ứng cố địn theo cặp nước xuất-nhập khẩu bất biến theo thời gian</w:t>
            </w:r>
            <w:r w:rsidR="00A624F8" w:rsidRPr="00516087">
              <w:rPr>
                <w:rFonts w:eastAsia="DengXian"/>
              </w:rPr>
              <w:t xml:space="preserve">, </w:t>
            </w:r>
            <w:r w:rsidR="00A453F8">
              <w:rPr>
                <w:rFonts w:eastAsia="DengXian"/>
              </w:rPr>
              <w:t>và</w:t>
            </w:r>
            <w:r w:rsidR="00A624F8" w:rsidRPr="00516087">
              <w:rPr>
                <w:rFonts w:eastAsia="DengXian"/>
              </w:rPr>
              <w:t> </w:t>
            </w:r>
            <m:oMath>
              <m:sSub>
                <m:sSubPr>
                  <m:ctrlPr>
                    <w:rPr>
                      <w:rStyle w:val="mord"/>
                      <w:rFonts w:ascii="Cambria Math" w:hAnsi="Cambria Math"/>
                      <w:i/>
                    </w:rPr>
                  </m:ctrlPr>
                </m:sSubPr>
                <m:e>
                  <m:r>
                    <w:rPr>
                      <w:rStyle w:val="mord"/>
                      <w:rFonts w:ascii="Cambria Math" w:hAnsi="Cambria Math"/>
                    </w:rPr>
                    <m:t>Z</m:t>
                  </m:r>
                </m:e>
                <m:sub>
                  <m:r>
                    <w:rPr>
                      <w:rStyle w:val="mord"/>
                      <w:rFonts w:ascii="Cambria Math" w:hAnsi="Cambria Math"/>
                    </w:rPr>
                    <m:t>ijt</m:t>
                  </m:r>
                </m:sub>
              </m:sSub>
            </m:oMath>
            <w:r w:rsidR="00A624F8" w:rsidRPr="00516087">
              <w:rPr>
                <w:rFonts w:eastAsia="DengXian"/>
              </w:rPr>
              <w:t> </w:t>
            </w:r>
            <w:r w:rsidR="0093438E">
              <w:rPr>
                <w:rFonts w:eastAsia="DengXian"/>
              </w:rPr>
              <w:t>là</w:t>
            </w:r>
            <w:r w:rsidR="0093438E">
              <w:rPr>
                <w:rFonts w:eastAsia="DengXian"/>
                <w:lang w:val="vi-VN"/>
              </w:rPr>
              <w:t xml:space="preserve"> vector các biến quyết định song phuuonwg thay đổi theo thời gian, bao gồm việc hài hòa hóa </w:t>
            </w:r>
            <w:r w:rsidR="00F873B7">
              <w:rPr>
                <w:rFonts w:eastAsia="DengXian"/>
                <w:lang w:val="vi-VN"/>
              </w:rPr>
              <w:t>TCTMS</w:t>
            </w:r>
            <w:r w:rsidR="0093438E">
              <w:rPr>
                <w:rFonts w:eastAsia="DengXian"/>
                <w:lang w:val="vi-VN"/>
              </w:rPr>
              <w:t xml:space="preserve"> và sự tồn tại của RTAs giữa từng cặp nước xuất-nhập khẩu.</w:t>
            </w:r>
          </w:p>
          <w:p w14:paraId="7A9E42B9" w14:textId="77777777" w:rsidR="00A624F8" w:rsidRPr="00516087" w:rsidRDefault="00A624F8">
            <w:pPr>
              <w:rPr>
                <w:rFonts w:eastAsia="DengXian"/>
              </w:rPr>
            </w:pPr>
          </w:p>
          <w:p w14:paraId="24729E95" w14:textId="0B78248B" w:rsidR="0093438E" w:rsidRPr="0093438E" w:rsidRDefault="0093438E">
            <w:pPr>
              <w:rPr>
                <w:lang w:val="vi-VN"/>
              </w:rPr>
            </w:pPr>
            <w:r w:rsidRPr="0093438E">
              <w:rPr>
                <w:lang w:val="vi-VN"/>
              </w:rPr>
              <w:t xml:space="preserve">Để đảm bảo tính vững (robustness) của phân tích, mô hình được điều chỉnh thêm. Ví dụ, các biến trễ 2 năm (2-year lagged variables) được đưa vào nhằm phản ánh khả năng tác động trễ của việc hài hòa hóa </w:t>
            </w:r>
            <w:r w:rsidR="00F873B7">
              <w:rPr>
                <w:lang w:val="vi-VN"/>
              </w:rPr>
              <w:t>TCTMS</w:t>
            </w:r>
            <w:r w:rsidRPr="0093438E">
              <w:rPr>
                <w:lang w:val="vi-VN"/>
              </w:rPr>
              <w:t xml:space="preserve"> lên dòng chảy thương mại. Dữ liệu được thu thập từ Comtrade và bộ dữ liệu OECD–World Trade Organization (WTO) Balanced International Trade in Services, cung cấp dữ liệu thương mại song phương, cùng với cơ sở dữ liệu CEPII, vốn cung cấp dữ liệu về các biến trọng lực song phương như khoảng cách và ngôn ngữ chung.</w:t>
            </w:r>
          </w:p>
        </w:tc>
      </w:tr>
    </w:tbl>
    <w:p w14:paraId="6A3CC2E2" w14:textId="775A6E50" w:rsidR="00D237A4" w:rsidRPr="00734659" w:rsidRDefault="007677A4" w:rsidP="00D237A4">
      <w:pPr>
        <w:spacing w:after="0" w:line="240" w:lineRule="auto"/>
        <w:rPr>
          <w:i/>
          <w:sz w:val="16"/>
          <w:szCs w:val="16"/>
        </w:rPr>
      </w:pPr>
      <w:r>
        <w:rPr>
          <w:i/>
          <w:iCs/>
          <w:sz w:val="16"/>
          <w:szCs w:val="16"/>
        </w:rPr>
        <w:t>Nguồn</w:t>
      </w:r>
      <w:r w:rsidR="00D237A4" w:rsidRPr="00734659">
        <w:rPr>
          <w:i/>
          <w:sz w:val="16"/>
          <w:szCs w:val="16"/>
        </w:rPr>
        <w:t xml:space="preserve">: </w:t>
      </w:r>
      <w:r w:rsidR="001F0999" w:rsidRPr="001F0999">
        <w:rPr>
          <w:i/>
          <w:sz w:val="16"/>
          <w:szCs w:val="16"/>
        </w:rPr>
        <w:t>WTO (2016) Hướng dẫn nâng cao về phân tích chính sách thương mại: Mô hình lực hấp dẫn cấu trúc</w:t>
      </w:r>
      <w:r w:rsidR="00615F69" w:rsidRPr="00615F69">
        <w:rPr>
          <w:i/>
          <w:sz w:val="16"/>
          <w:szCs w:val="16"/>
        </w:rPr>
        <w:t xml:space="preserve">, </w:t>
      </w:r>
      <w:hyperlink r:id="rId17" w:history="1">
        <w:r w:rsidR="00615F69" w:rsidRPr="00615F69">
          <w:rPr>
            <w:rStyle w:val="Hyperlink"/>
            <w:i/>
            <w:color w:val="auto"/>
            <w:sz w:val="16"/>
            <w:szCs w:val="16"/>
          </w:rPr>
          <w:t>https://unctad.org/system/files/official-document/gds2016d3_en.pdf</w:t>
        </w:r>
      </w:hyperlink>
      <w:r w:rsidR="00615F69" w:rsidRPr="00615F69">
        <w:rPr>
          <w:i/>
          <w:sz w:val="16"/>
          <w:szCs w:val="16"/>
        </w:rPr>
        <w:t xml:space="preserve"> </w:t>
      </w:r>
      <w:r w:rsidR="001F0999">
        <w:rPr>
          <w:i/>
          <w:sz w:val="16"/>
          <w:szCs w:val="16"/>
        </w:rPr>
        <w:t>và</w:t>
      </w:r>
      <w:r w:rsidR="00615F69" w:rsidRPr="00615F69">
        <w:rPr>
          <w:i/>
          <w:sz w:val="16"/>
          <w:szCs w:val="16"/>
        </w:rPr>
        <w:t xml:space="preserve"> </w:t>
      </w:r>
      <w:r>
        <w:rPr>
          <w:i/>
          <w:sz w:val="16"/>
          <w:szCs w:val="16"/>
        </w:rPr>
        <w:t>Phân tích của Access Partnership</w:t>
      </w:r>
      <w:r w:rsidR="00D237A4" w:rsidRPr="00615F69">
        <w:rPr>
          <w:i/>
          <w:sz w:val="16"/>
          <w:szCs w:val="16"/>
        </w:rPr>
        <w:t xml:space="preserve"> </w:t>
      </w:r>
    </w:p>
    <w:p w14:paraId="4A3AD195" w14:textId="2B3513BC" w:rsidR="00A624F8" w:rsidRPr="00516087" w:rsidRDefault="002C1C5D" w:rsidP="00A624F8">
      <w:pPr>
        <w:pStyle w:val="Heading3"/>
        <w:rPr>
          <w:lang w:val="en-GB"/>
        </w:rPr>
      </w:pPr>
      <w:r>
        <w:rPr>
          <w:lang w:val="en-GB"/>
        </w:rPr>
        <w:t>Giai</w:t>
      </w:r>
      <w:r>
        <w:rPr>
          <w:lang w:val="vi-VN"/>
        </w:rPr>
        <w:t xml:space="preserve"> đoạn</w:t>
      </w:r>
      <w:r w:rsidR="00A624F8" w:rsidRPr="00516087">
        <w:rPr>
          <w:lang w:val="en-GB"/>
        </w:rPr>
        <w:t xml:space="preserve"> 3: </w:t>
      </w:r>
      <w:r>
        <w:rPr>
          <w:lang w:val="en-GB"/>
        </w:rPr>
        <w:t>Ước</w:t>
      </w:r>
      <w:r>
        <w:rPr>
          <w:lang w:val="vi-VN"/>
        </w:rPr>
        <w:t xml:space="preserve"> tín lợi ích kinh tế tiềm năng cho ASEAN</w:t>
      </w:r>
    </w:p>
    <w:p w14:paraId="4D87162C" w14:textId="005830E0" w:rsidR="00A624F8" w:rsidRPr="00664A8E" w:rsidRDefault="002C1C5D" w:rsidP="00A624F8">
      <w:r w:rsidRPr="002C1C5D">
        <w:t xml:space="preserve">Thương mại gia tăng, được thúc đẩy bởi việc giảm chi phí thương mại nhờ các tiêu chuẩn hài hòa, kích thích sản xuất trong nước và đóng góp vào gia tăng hoạt động kinh tế trên toàn nền kinh tế, thể hiện qua mức việc làm và thu nhập cao hơn. Để ước tính mức đóng góp kinh tế từ các hiệu ứng lan tỏa trên toàn nền kinh tế do hoạt động kinh tế cao hơn này, nghiên cứu sử dụng các bảng đầu vào–đầu ra (IO) từ Dự án Cơ sở dữ liệu Đầu vào–Đầu ra Thế giới (WIOD) và Thư viện Dữ liệu của Ngân hàng Phát triển Châu Á (ADB) nhằm nắm bắt sự phụ thuộc lẫn nhau giữa các ngành kinh tế. Bằng cách xem xét sự thay đổi trong cầu cuối cùng bắt nguồn từ xuất khẩu gia tăng nhờ hài hòa hóa </w:t>
      </w:r>
      <w:r w:rsidR="00F873B7">
        <w:t>TCTMS</w:t>
      </w:r>
      <w:r w:rsidRPr="002C1C5D">
        <w:t>, nghiên cứu ước tính mức thay đổi tương ứng trong giá trị gia tăng của các ngành. Hệ số nhân việc làm cũng được tính toán từ dữ liệu của Tổ chức Lao động Quốc tế (ILO) và được sử dụng để ước tính số việc làm được hỗ trợ bởi sự thay đổi trong hoạt động kinh tế nêu trên.</w:t>
      </w:r>
    </w:p>
    <w:p w14:paraId="526A760B" w14:textId="46BB42B8" w:rsidR="00A624F8" w:rsidRPr="00516087" w:rsidRDefault="0054204C" w:rsidP="00A624F8">
      <w:pPr>
        <w:pStyle w:val="Heading2"/>
        <w:rPr>
          <w:lang w:val="en-GB"/>
        </w:rPr>
      </w:pPr>
      <w:r>
        <w:rPr>
          <w:lang w:val="en-GB"/>
        </w:rPr>
        <w:t>Xem</w:t>
      </w:r>
      <w:r>
        <w:rPr>
          <w:lang w:val="vi-VN"/>
        </w:rPr>
        <w:t xml:space="preserve"> xét tác động của các nỗ lực hài hòa hóa trong quá khứ</w:t>
      </w:r>
    </w:p>
    <w:p w14:paraId="0176840A" w14:textId="426FA382" w:rsidR="0054204C" w:rsidRPr="0054204C" w:rsidRDefault="0054204C" w:rsidP="00A624F8">
      <w:pPr>
        <w:rPr>
          <w:lang w:val="vi-VN"/>
        </w:rPr>
      </w:pPr>
      <w:r w:rsidRPr="0054204C">
        <w:rPr>
          <w:lang w:val="vi-VN"/>
        </w:rPr>
        <w:t xml:space="preserve">Việc xem xét tác động của các nỗ lực hài hòa hóa trong quá khứ có thể cung cấp cái nhìn về cách quá trình hài hòa hóa </w:t>
      </w:r>
      <w:r w:rsidR="00F873B7">
        <w:rPr>
          <w:lang w:val="vi-VN"/>
        </w:rPr>
        <w:t>TCTMS</w:t>
      </w:r>
      <w:r w:rsidRPr="0054204C">
        <w:rPr>
          <w:lang w:val="vi-VN"/>
        </w:rPr>
        <w:t xml:space="preserve"> đang diễn ra có thể ảnh hưởng đến các quốc gia thành viên ASEAN (AMS) hiện nay và trong tương lai. Phân tích ở Giai đoạn 1 và 2 cho thấy tiến triển trong hài hòa hóa </w:t>
      </w:r>
      <w:r w:rsidR="00F873B7">
        <w:rPr>
          <w:lang w:val="vi-VN"/>
        </w:rPr>
        <w:t>TCTMS</w:t>
      </w:r>
      <w:r w:rsidRPr="0054204C">
        <w:rPr>
          <w:lang w:val="vi-VN"/>
        </w:rPr>
        <w:t xml:space="preserve"> trên toàn cầu giai đoạn 2018–2021 đã làm tăng xuất khẩu lên tới 9,9% đối với các nền kinh tế có một số tiêu chuẩn được hài hòa so với các nền kinh tế không có (Hộp 2).</w:t>
      </w:r>
    </w:p>
    <w:tbl>
      <w:tblPr>
        <w:tblStyle w:val="TableGrid"/>
        <w:tblW w:w="0" w:type="auto"/>
        <w:tblLook w:val="04A0" w:firstRow="1" w:lastRow="0" w:firstColumn="1" w:lastColumn="0" w:noHBand="0" w:noVBand="1"/>
      </w:tblPr>
      <w:tblGrid>
        <w:gridCol w:w="10790"/>
      </w:tblGrid>
      <w:tr w:rsidR="00A624F8" w14:paraId="2A6C9547" w14:textId="77777777">
        <w:tc>
          <w:tcPr>
            <w:tcW w:w="10790" w:type="dxa"/>
            <w:shd w:val="clear" w:color="auto" w:fill="EDEDED" w:themeFill="accent3" w:themeFillTint="33"/>
          </w:tcPr>
          <w:p w14:paraId="6E367577" w14:textId="7270509B" w:rsidR="00A624F8" w:rsidRPr="00EC3648" w:rsidRDefault="0054204C">
            <w:pPr>
              <w:rPr>
                <w:b/>
                <w:bCs/>
                <w:lang w:val="vi-VN"/>
              </w:rPr>
            </w:pPr>
            <w:r>
              <w:rPr>
                <w:b/>
                <w:bCs/>
              </w:rPr>
              <w:t>Hộp</w:t>
            </w:r>
            <w:r w:rsidR="00A624F8" w:rsidRPr="00F6158A">
              <w:rPr>
                <w:b/>
                <w:bCs/>
              </w:rPr>
              <w:t xml:space="preserve"> </w:t>
            </w:r>
            <w:r w:rsidR="00A624F8">
              <w:rPr>
                <w:b/>
                <w:bCs/>
              </w:rPr>
              <w:t>2</w:t>
            </w:r>
            <w:r w:rsidR="00A624F8" w:rsidRPr="00F6158A">
              <w:rPr>
                <w:b/>
                <w:bCs/>
              </w:rPr>
              <w:t xml:space="preserve">: </w:t>
            </w:r>
            <w:r w:rsidR="00EC3648">
              <w:rPr>
                <w:b/>
                <w:bCs/>
              </w:rPr>
              <w:t>Phân</w:t>
            </w:r>
            <w:r w:rsidR="00EC3648">
              <w:rPr>
                <w:b/>
                <w:bCs/>
                <w:lang w:val="vi-VN"/>
              </w:rPr>
              <w:t xml:space="preserve"> tích Mô hình Trọng lực: Tác động của các Quy định Hài hòa </w:t>
            </w:r>
            <w:r w:rsidR="00F873B7">
              <w:rPr>
                <w:b/>
                <w:bCs/>
                <w:lang w:val="vi-VN"/>
              </w:rPr>
              <w:t>TCTMS</w:t>
            </w:r>
            <w:r w:rsidR="00EC3648">
              <w:rPr>
                <w:b/>
                <w:bCs/>
                <w:lang w:val="vi-VN"/>
              </w:rPr>
              <w:t xml:space="preserve"> giai đonaj 2018-2021</w:t>
            </w:r>
          </w:p>
          <w:p w14:paraId="3A45438D" w14:textId="77777777" w:rsidR="00A624F8" w:rsidRPr="005E40A9" w:rsidRDefault="00A624F8">
            <w:pPr>
              <w:rPr>
                <w:b/>
                <w:bCs/>
              </w:rPr>
            </w:pPr>
          </w:p>
          <w:tbl>
            <w:tblPr>
              <w:tblW w:w="10495" w:type="dxa"/>
              <w:tblLook w:val="0420" w:firstRow="1" w:lastRow="0" w:firstColumn="0" w:lastColumn="0" w:noHBand="0" w:noVBand="1"/>
            </w:tblPr>
            <w:tblGrid>
              <w:gridCol w:w="1849"/>
              <w:gridCol w:w="1446"/>
              <w:gridCol w:w="1440"/>
              <w:gridCol w:w="1440"/>
              <w:gridCol w:w="1440"/>
              <w:gridCol w:w="1440"/>
              <w:gridCol w:w="1440"/>
            </w:tblGrid>
            <w:tr w:rsidR="0015375D" w:rsidRPr="00E23FB1" w14:paraId="31BB1ADF" w14:textId="77777777">
              <w:trPr>
                <w:trHeight w:val="495"/>
                <w:tblHeader/>
              </w:trPr>
              <w:tc>
                <w:tcPr>
                  <w:tcW w:w="1849" w:type="dxa"/>
                  <w:tcBorders>
                    <w:top w:val="single" w:sz="12" w:space="0" w:color="666666"/>
                    <w:bottom w:val="single" w:sz="12" w:space="0" w:color="666666"/>
                  </w:tcBorders>
                  <w:shd w:val="clear" w:color="auto" w:fill="EDEDED" w:themeFill="accent3" w:themeFillTint="33"/>
                  <w:tcMar>
                    <w:top w:w="0" w:type="dxa"/>
                    <w:left w:w="0" w:type="dxa"/>
                    <w:bottom w:w="0" w:type="dxa"/>
                    <w:right w:w="0" w:type="dxa"/>
                  </w:tcMar>
                </w:tcPr>
                <w:p w14:paraId="0E3D52AA" w14:textId="7DA3712D" w:rsidR="00A624F8" w:rsidRPr="00B40EA5" w:rsidRDefault="00F063BA">
                  <w:pPr>
                    <w:pBdr>
                      <w:top w:val="none" w:sz="0" w:space="0" w:color="000000"/>
                      <w:left w:val="none" w:sz="0" w:space="0" w:color="000000"/>
                      <w:bottom w:val="none" w:sz="0" w:space="0" w:color="000000"/>
                      <w:right w:val="none" w:sz="0" w:space="0" w:color="000000"/>
                    </w:pBdr>
                    <w:spacing w:before="100" w:after="100" w:line="240" w:lineRule="auto"/>
                    <w:ind w:left="100" w:right="100"/>
                    <w:rPr>
                      <w:b/>
                      <w:bCs/>
                      <w:sz w:val="20"/>
                      <w:szCs w:val="20"/>
                    </w:rPr>
                  </w:pPr>
                  <w:r w:rsidRPr="00F063BA">
                    <w:rPr>
                      <w:rFonts w:eastAsia="Arial"/>
                      <w:b/>
                      <w:bCs/>
                      <w:color w:val="000000"/>
                      <w:sz w:val="20"/>
                      <w:szCs w:val="20"/>
                    </w:rPr>
                    <w:t>Thương mại hàng hóa và dịch vụ</w:t>
                  </w:r>
                </w:p>
              </w:tc>
              <w:tc>
                <w:tcPr>
                  <w:tcW w:w="1446" w:type="dxa"/>
                  <w:tcBorders>
                    <w:top w:val="single" w:sz="12" w:space="0" w:color="666666"/>
                    <w:bottom w:val="single" w:sz="12" w:space="0" w:color="666666"/>
                    <w:right w:val="none" w:sz="0" w:space="0" w:color="000000"/>
                  </w:tcBorders>
                  <w:shd w:val="clear" w:color="auto" w:fill="EDEDED" w:themeFill="accent3" w:themeFillTint="33"/>
                  <w:tcMar>
                    <w:top w:w="0" w:type="dxa"/>
                    <w:left w:w="0" w:type="dxa"/>
                    <w:bottom w:w="0" w:type="dxa"/>
                    <w:right w:w="0" w:type="dxa"/>
                  </w:tcMar>
                  <w:vAlign w:val="center"/>
                </w:tcPr>
                <w:p w14:paraId="61990073" w14:textId="76B4390A" w:rsidR="00A624F8" w:rsidRPr="00B40EA5" w:rsidRDefault="00F063BA">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sz w:val="20"/>
                      <w:szCs w:val="20"/>
                    </w:rPr>
                  </w:pPr>
                  <w:r w:rsidRPr="00F063BA">
                    <w:rPr>
                      <w:rFonts w:eastAsia="Arial"/>
                      <w:color w:val="000000"/>
                      <w:sz w:val="20"/>
                      <w:szCs w:val="20"/>
                    </w:rPr>
                    <w:t>Xác thực điện tử</w:t>
                  </w:r>
                </w:p>
              </w:tc>
              <w:tc>
                <w:tcPr>
                  <w:tcW w:w="1440" w:type="dxa"/>
                  <w:tcBorders>
                    <w:top w:val="single" w:sz="12" w:space="0" w:color="666666"/>
                    <w:left w:val="none" w:sz="0" w:space="0" w:color="000000"/>
                    <w:bottom w:val="single" w:sz="12" w:space="0" w:color="666666"/>
                    <w:right w:val="none" w:sz="0" w:space="0" w:color="000000"/>
                  </w:tcBorders>
                  <w:shd w:val="clear" w:color="auto" w:fill="EDEDED" w:themeFill="accent3" w:themeFillTint="33"/>
                  <w:vAlign w:val="center"/>
                </w:tcPr>
                <w:p w14:paraId="45B31A90" w14:textId="3E814034" w:rsidR="00A624F8" w:rsidRPr="00B40EA5" w:rsidRDefault="00F063BA">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F063BA">
                    <w:rPr>
                      <w:rFonts w:eastAsia="Arial"/>
                      <w:color w:val="000000"/>
                      <w:sz w:val="20"/>
                      <w:szCs w:val="20"/>
                    </w:rPr>
                    <w:t>Thương mại phi giấy tờ</w:t>
                  </w:r>
                </w:p>
              </w:tc>
              <w:tc>
                <w:tcPr>
                  <w:tcW w:w="1440" w:type="dxa"/>
                  <w:tcBorders>
                    <w:top w:val="single" w:sz="12" w:space="0" w:color="666666"/>
                    <w:left w:val="none" w:sz="0" w:space="0" w:color="000000"/>
                    <w:bottom w:val="single" w:sz="12" w:space="0" w:color="666666"/>
                    <w:right w:val="none" w:sz="0" w:space="0" w:color="000000"/>
                  </w:tcBorders>
                  <w:shd w:val="clear" w:color="auto" w:fill="EDEDED" w:themeFill="accent3" w:themeFillTint="33"/>
                  <w:vAlign w:val="center"/>
                </w:tcPr>
                <w:p w14:paraId="030ED78A" w14:textId="11B77CC2" w:rsidR="00A624F8" w:rsidRPr="00B40EA5" w:rsidRDefault="00F063BA">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F063BA">
                    <w:rPr>
                      <w:rFonts w:eastAsia="Arial"/>
                      <w:color w:val="000000"/>
                      <w:sz w:val="20"/>
                      <w:szCs w:val="20"/>
                    </w:rPr>
                    <w:t>Hóa đơn điện tử</w:t>
                  </w:r>
                </w:p>
              </w:tc>
              <w:tc>
                <w:tcPr>
                  <w:tcW w:w="1440" w:type="dxa"/>
                  <w:tcBorders>
                    <w:top w:val="single" w:sz="12" w:space="0" w:color="666666"/>
                    <w:left w:val="none" w:sz="0" w:space="0" w:color="000000"/>
                    <w:bottom w:val="single" w:sz="12" w:space="0" w:color="666666"/>
                    <w:right w:val="none" w:sz="0" w:space="0" w:color="000000"/>
                  </w:tcBorders>
                  <w:shd w:val="clear" w:color="auto" w:fill="EDEDED" w:themeFill="accent3" w:themeFillTint="33"/>
                  <w:vAlign w:val="center"/>
                </w:tcPr>
                <w:p w14:paraId="6B6F78B6" w14:textId="72227D3D" w:rsidR="00A624F8" w:rsidRPr="00B40EA5" w:rsidRDefault="00F063BA">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F063BA">
                    <w:rPr>
                      <w:rFonts w:eastAsia="Arial"/>
                      <w:color w:val="000000"/>
                      <w:sz w:val="20"/>
                      <w:szCs w:val="20"/>
                    </w:rPr>
                    <w:t>Thanh toán điện tử</w:t>
                  </w:r>
                </w:p>
              </w:tc>
              <w:tc>
                <w:tcPr>
                  <w:tcW w:w="1440" w:type="dxa"/>
                  <w:tcBorders>
                    <w:top w:val="single" w:sz="12" w:space="0" w:color="666666"/>
                    <w:bottom w:val="single" w:sz="12" w:space="0" w:color="666666"/>
                  </w:tcBorders>
                  <w:shd w:val="clear" w:color="auto" w:fill="EDEDED" w:themeFill="accent3" w:themeFillTint="33"/>
                  <w:vAlign w:val="center"/>
                </w:tcPr>
                <w:p w14:paraId="2E76C513" w14:textId="2FE461AE" w:rsidR="00A624F8" w:rsidRPr="00B40EA5" w:rsidRDefault="00F063BA">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F063BA">
                    <w:rPr>
                      <w:rFonts w:eastAsia="Arial"/>
                      <w:color w:val="000000"/>
                      <w:sz w:val="20"/>
                      <w:szCs w:val="20"/>
                    </w:rPr>
                    <w:t>Luật Mẫu của UNCITRAL về Thương mại Điện tử</w:t>
                  </w:r>
                </w:p>
              </w:tc>
              <w:tc>
                <w:tcPr>
                  <w:tcW w:w="1440" w:type="dxa"/>
                  <w:tcBorders>
                    <w:top w:val="single" w:sz="12" w:space="0" w:color="666666"/>
                    <w:left w:val="nil"/>
                    <w:bottom w:val="single" w:sz="12" w:space="0" w:color="666666"/>
                    <w:right w:val="none" w:sz="0" w:space="0" w:color="000000"/>
                  </w:tcBorders>
                  <w:shd w:val="clear" w:color="auto" w:fill="EDEDED" w:themeFill="accent3" w:themeFillTint="33"/>
                </w:tcPr>
                <w:p w14:paraId="1D732420" w14:textId="48CCE8BE" w:rsidR="00A624F8" w:rsidRPr="00B40EA5" w:rsidRDefault="00F063BA">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F063BA">
                    <w:rPr>
                      <w:rFonts w:eastAsia="Arial"/>
                      <w:color w:val="000000"/>
                      <w:sz w:val="20"/>
                      <w:szCs w:val="20"/>
                    </w:rPr>
                    <w:t>Luật Mẫu của UNCITRAL về Chứng từ Chuyển nhượng Điện tử</w:t>
                  </w:r>
                </w:p>
              </w:tc>
            </w:tr>
            <w:tr w:rsidR="00DB7B3B" w:rsidRPr="00E23FB1" w14:paraId="2BA0D019" w14:textId="77777777">
              <w:trPr>
                <w:trHeight w:val="254"/>
              </w:trPr>
              <w:tc>
                <w:tcPr>
                  <w:tcW w:w="1849" w:type="dxa"/>
                  <w:tcBorders>
                    <w:top w:val="none" w:sz="0" w:space="0" w:color="000000"/>
                    <w:left w:val="none" w:sz="0" w:space="0" w:color="000000"/>
                    <w:bottom w:val="none" w:sz="0" w:space="0" w:color="000000"/>
                    <w:right w:val="none" w:sz="0" w:space="0" w:color="000000"/>
                  </w:tcBorders>
                  <w:shd w:val="clear" w:color="auto" w:fill="EDEDED" w:themeFill="accent3" w:themeFillTint="33"/>
                  <w:tcMar>
                    <w:top w:w="0" w:type="dxa"/>
                    <w:left w:w="0" w:type="dxa"/>
                    <w:bottom w:w="0" w:type="dxa"/>
                    <w:right w:w="0" w:type="dxa"/>
                  </w:tcMar>
                  <w:vAlign w:val="center"/>
                </w:tcPr>
                <w:p w14:paraId="07077533"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rPr>
                      <w:sz w:val="20"/>
                      <w:szCs w:val="20"/>
                      <w:vertAlign w:val="subscript"/>
                    </w:rPr>
                  </w:pPr>
                  <w:r w:rsidRPr="00B40EA5">
                    <w:rPr>
                      <w:rFonts w:eastAsia="Arial"/>
                      <w:color w:val="000000"/>
                      <w:sz w:val="20"/>
                      <w:szCs w:val="20"/>
                    </w:rPr>
                    <w:t>X</w:t>
                  </w:r>
                  <w:r w:rsidRPr="00B40EA5">
                    <w:rPr>
                      <w:rFonts w:eastAsia="Arial"/>
                      <w:i/>
                      <w:iCs/>
                      <w:color w:val="000000"/>
                      <w:sz w:val="20"/>
                      <w:szCs w:val="20"/>
                      <w:vertAlign w:val="subscript"/>
                    </w:rPr>
                    <w:t>t</w:t>
                  </w:r>
                </w:p>
              </w:tc>
              <w:tc>
                <w:tcPr>
                  <w:tcW w:w="1446" w:type="dxa"/>
                  <w:tcBorders>
                    <w:top w:val="none" w:sz="0" w:space="0" w:color="000000"/>
                    <w:left w:val="none" w:sz="0" w:space="0" w:color="000000"/>
                    <w:bottom w:val="none" w:sz="0" w:space="0" w:color="000000"/>
                    <w:right w:val="none" w:sz="0" w:space="0" w:color="000000"/>
                  </w:tcBorders>
                  <w:shd w:val="clear" w:color="auto" w:fill="EDEDED" w:themeFill="accent3" w:themeFillTint="33"/>
                  <w:tcMar>
                    <w:top w:w="0" w:type="dxa"/>
                    <w:left w:w="0" w:type="dxa"/>
                    <w:bottom w:w="0" w:type="dxa"/>
                    <w:right w:w="0" w:type="dxa"/>
                  </w:tcMar>
                  <w:vAlign w:val="center"/>
                </w:tcPr>
                <w:p w14:paraId="4427C8BE"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sz w:val="20"/>
                      <w:szCs w:val="20"/>
                    </w:rPr>
                  </w:pPr>
                  <w:r w:rsidRPr="00B40EA5">
                    <w:rPr>
                      <w:rFonts w:eastAsia="Arial"/>
                      <w:color w:val="000000"/>
                      <w:sz w:val="20"/>
                      <w:szCs w:val="20"/>
                    </w:rPr>
                    <w:t xml:space="preserve">0.0319 </w:t>
                  </w:r>
                  <w:r w:rsidRPr="00B40EA5">
                    <w:rPr>
                      <w:rFonts w:eastAsia="Arial"/>
                      <w:color w:val="000000"/>
                      <w:sz w:val="20"/>
                      <w:szCs w:val="20"/>
                    </w:rPr>
                    <w:br/>
                    <w:t>(0.0266)</w:t>
                  </w:r>
                </w:p>
              </w:tc>
              <w:tc>
                <w:tcPr>
                  <w:tcW w:w="1440" w:type="dxa"/>
                  <w:tcBorders>
                    <w:top w:val="none" w:sz="0" w:space="0" w:color="000000"/>
                    <w:left w:val="none" w:sz="0" w:space="0" w:color="000000"/>
                    <w:bottom w:val="none" w:sz="0" w:space="0" w:color="000000"/>
                    <w:right w:val="none" w:sz="0" w:space="0" w:color="000000"/>
                  </w:tcBorders>
                  <w:shd w:val="clear" w:color="auto" w:fill="EDEDED" w:themeFill="accent3" w:themeFillTint="33"/>
                </w:tcPr>
                <w:p w14:paraId="454D0919"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B40EA5">
                    <w:rPr>
                      <w:rFonts w:eastAsia="Arial"/>
                      <w:color w:val="000000"/>
                      <w:sz w:val="20"/>
                      <w:szCs w:val="20"/>
                    </w:rPr>
                    <w:t>0.0558</w:t>
                  </w:r>
                  <w:r w:rsidRPr="00B40EA5">
                    <w:rPr>
                      <w:rFonts w:eastAsia="Arial"/>
                      <w:color w:val="000000"/>
                      <w:sz w:val="20"/>
                      <w:szCs w:val="20"/>
                    </w:rPr>
                    <w:br/>
                    <w:t>(0.0750)</w:t>
                  </w:r>
                </w:p>
              </w:tc>
              <w:tc>
                <w:tcPr>
                  <w:tcW w:w="1440" w:type="dxa"/>
                  <w:tcBorders>
                    <w:top w:val="none" w:sz="0" w:space="0" w:color="000000"/>
                    <w:left w:val="none" w:sz="0" w:space="0" w:color="000000"/>
                    <w:bottom w:val="none" w:sz="0" w:space="0" w:color="000000"/>
                    <w:right w:val="none" w:sz="0" w:space="0" w:color="000000"/>
                  </w:tcBorders>
                  <w:shd w:val="clear" w:color="auto" w:fill="EDEDED" w:themeFill="accent3" w:themeFillTint="33"/>
                </w:tcPr>
                <w:p w14:paraId="3762E963"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B40EA5">
                    <w:rPr>
                      <w:rFonts w:eastAsia="Arial"/>
                      <w:color w:val="000000"/>
                      <w:sz w:val="20"/>
                      <w:szCs w:val="20"/>
                    </w:rPr>
                    <w:t>0.0992***</w:t>
                  </w:r>
                  <w:r w:rsidRPr="00B40EA5">
                    <w:rPr>
                      <w:rFonts w:eastAsia="Arial"/>
                      <w:color w:val="000000"/>
                      <w:sz w:val="20"/>
                      <w:szCs w:val="20"/>
                    </w:rPr>
                    <w:br/>
                    <w:t>(0.0323)</w:t>
                  </w:r>
                </w:p>
              </w:tc>
              <w:tc>
                <w:tcPr>
                  <w:tcW w:w="1440" w:type="dxa"/>
                  <w:tcBorders>
                    <w:top w:val="none" w:sz="0" w:space="0" w:color="000000"/>
                    <w:left w:val="none" w:sz="0" w:space="0" w:color="000000"/>
                    <w:bottom w:val="none" w:sz="0" w:space="0" w:color="000000"/>
                    <w:right w:val="none" w:sz="0" w:space="0" w:color="000000"/>
                  </w:tcBorders>
                  <w:shd w:val="clear" w:color="auto" w:fill="EDEDED" w:themeFill="accent3" w:themeFillTint="33"/>
                </w:tcPr>
                <w:p w14:paraId="68A0449E"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B40EA5">
                    <w:rPr>
                      <w:rFonts w:eastAsia="Arial"/>
                      <w:color w:val="000000"/>
                      <w:sz w:val="20"/>
                      <w:szCs w:val="20"/>
                    </w:rPr>
                    <w:t>0.0917***</w:t>
                  </w:r>
                  <w:r w:rsidRPr="00B40EA5">
                    <w:rPr>
                      <w:rFonts w:eastAsia="Arial"/>
                      <w:color w:val="000000"/>
                      <w:sz w:val="20"/>
                      <w:szCs w:val="20"/>
                    </w:rPr>
                    <w:br/>
                    <w:t>(0.0316)</w:t>
                  </w:r>
                </w:p>
              </w:tc>
              <w:tc>
                <w:tcPr>
                  <w:tcW w:w="1440" w:type="dxa"/>
                  <w:tcBorders>
                    <w:top w:val="none" w:sz="0" w:space="0" w:color="000000"/>
                    <w:left w:val="none" w:sz="0" w:space="0" w:color="000000"/>
                    <w:bottom w:val="none" w:sz="0" w:space="0" w:color="000000"/>
                    <w:right w:val="none" w:sz="0" w:space="0" w:color="000000"/>
                  </w:tcBorders>
                  <w:shd w:val="clear" w:color="auto" w:fill="EDEDED" w:themeFill="accent3" w:themeFillTint="33"/>
                </w:tcPr>
                <w:p w14:paraId="67755071"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B40EA5">
                    <w:rPr>
                      <w:rFonts w:eastAsia="Arial"/>
                      <w:color w:val="000000"/>
                      <w:sz w:val="20"/>
                      <w:szCs w:val="20"/>
                    </w:rPr>
                    <w:t>-0.0046</w:t>
                  </w:r>
                  <w:r w:rsidRPr="00B40EA5">
                    <w:rPr>
                      <w:rFonts w:eastAsia="Arial"/>
                      <w:color w:val="000000"/>
                      <w:sz w:val="20"/>
                      <w:szCs w:val="20"/>
                    </w:rPr>
                    <w:br/>
                    <w:t>(0.0306)</w:t>
                  </w:r>
                </w:p>
              </w:tc>
              <w:tc>
                <w:tcPr>
                  <w:tcW w:w="1440" w:type="dxa"/>
                  <w:tcBorders>
                    <w:top w:val="none" w:sz="0" w:space="0" w:color="000000"/>
                    <w:left w:val="none" w:sz="0" w:space="0" w:color="000000"/>
                    <w:bottom w:val="none" w:sz="0" w:space="0" w:color="000000"/>
                    <w:right w:val="none" w:sz="0" w:space="0" w:color="000000"/>
                  </w:tcBorders>
                  <w:shd w:val="clear" w:color="auto" w:fill="EDEDED" w:themeFill="accent3" w:themeFillTint="33"/>
                </w:tcPr>
                <w:p w14:paraId="1A9BE03C"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B40EA5">
                    <w:rPr>
                      <w:rFonts w:eastAsia="Arial"/>
                      <w:color w:val="000000"/>
                      <w:sz w:val="20"/>
                      <w:szCs w:val="20"/>
                    </w:rPr>
                    <w:t>0.0432*</w:t>
                  </w:r>
                  <w:r w:rsidRPr="00B40EA5">
                    <w:rPr>
                      <w:rFonts w:eastAsia="Arial"/>
                      <w:color w:val="000000"/>
                      <w:sz w:val="20"/>
                      <w:szCs w:val="20"/>
                    </w:rPr>
                    <w:br/>
                    <w:t>(0.0261)</w:t>
                  </w:r>
                </w:p>
              </w:tc>
            </w:tr>
            <w:tr w:rsidR="00DB7B3B" w:rsidRPr="00E23FB1" w14:paraId="21B20AEA" w14:textId="77777777">
              <w:trPr>
                <w:trHeight w:val="254"/>
              </w:trPr>
              <w:tc>
                <w:tcPr>
                  <w:tcW w:w="1849" w:type="dxa"/>
                  <w:tcBorders>
                    <w:top w:val="none" w:sz="0" w:space="0" w:color="000000"/>
                    <w:left w:val="none" w:sz="0" w:space="0" w:color="000000"/>
                    <w:bottom w:val="none" w:sz="0" w:space="0" w:color="000000"/>
                    <w:right w:val="none" w:sz="0" w:space="0" w:color="000000"/>
                  </w:tcBorders>
                  <w:shd w:val="clear" w:color="auto" w:fill="EDEDED" w:themeFill="accent3" w:themeFillTint="33"/>
                  <w:tcMar>
                    <w:top w:w="0" w:type="dxa"/>
                    <w:left w:w="0" w:type="dxa"/>
                    <w:bottom w:w="0" w:type="dxa"/>
                    <w:right w:w="0" w:type="dxa"/>
                  </w:tcMar>
                  <w:vAlign w:val="center"/>
                </w:tcPr>
                <w:p w14:paraId="4662B52D"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olor w:val="000000"/>
                      <w:sz w:val="20"/>
                      <w:szCs w:val="20"/>
                      <w:vertAlign w:val="subscript"/>
                    </w:rPr>
                  </w:pPr>
                  <w:r w:rsidRPr="00B40EA5">
                    <w:rPr>
                      <w:rFonts w:eastAsia="Arial"/>
                      <w:color w:val="000000"/>
                      <w:sz w:val="20"/>
                      <w:szCs w:val="20"/>
                    </w:rPr>
                    <w:t>X</w:t>
                  </w:r>
                  <w:r w:rsidRPr="00B40EA5">
                    <w:rPr>
                      <w:rFonts w:eastAsia="Arial"/>
                      <w:i/>
                      <w:iCs/>
                      <w:color w:val="000000"/>
                      <w:sz w:val="20"/>
                      <w:szCs w:val="20"/>
                      <w:vertAlign w:val="subscript"/>
                    </w:rPr>
                    <w:t>t-1</w:t>
                  </w:r>
                </w:p>
              </w:tc>
              <w:tc>
                <w:tcPr>
                  <w:tcW w:w="1446" w:type="dxa"/>
                  <w:tcBorders>
                    <w:top w:val="none" w:sz="0" w:space="0" w:color="000000"/>
                    <w:left w:val="none" w:sz="0" w:space="0" w:color="000000"/>
                    <w:bottom w:val="none" w:sz="0" w:space="0" w:color="000000"/>
                    <w:right w:val="none" w:sz="0" w:space="0" w:color="000000"/>
                  </w:tcBorders>
                  <w:shd w:val="clear" w:color="auto" w:fill="EDEDED" w:themeFill="accent3" w:themeFillTint="33"/>
                  <w:tcMar>
                    <w:top w:w="0" w:type="dxa"/>
                    <w:left w:w="0" w:type="dxa"/>
                    <w:bottom w:w="0" w:type="dxa"/>
                    <w:right w:w="0" w:type="dxa"/>
                  </w:tcMar>
                  <w:vAlign w:val="center"/>
                </w:tcPr>
                <w:p w14:paraId="53CD4BEC"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B40EA5">
                    <w:rPr>
                      <w:rFonts w:eastAsia="Arial"/>
                      <w:color w:val="000000"/>
                      <w:sz w:val="20"/>
                      <w:szCs w:val="20"/>
                    </w:rPr>
                    <w:t>-</w:t>
                  </w:r>
                </w:p>
              </w:tc>
              <w:tc>
                <w:tcPr>
                  <w:tcW w:w="1440" w:type="dxa"/>
                  <w:tcBorders>
                    <w:top w:val="none" w:sz="0" w:space="0" w:color="000000"/>
                    <w:left w:val="none" w:sz="0" w:space="0" w:color="000000"/>
                    <w:bottom w:val="none" w:sz="0" w:space="0" w:color="000000"/>
                    <w:right w:val="none" w:sz="0" w:space="0" w:color="000000"/>
                  </w:tcBorders>
                  <w:shd w:val="clear" w:color="auto" w:fill="EDEDED" w:themeFill="accent3" w:themeFillTint="33"/>
                </w:tcPr>
                <w:p w14:paraId="05E68F01"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B40EA5">
                    <w:rPr>
                      <w:rFonts w:eastAsia="Arial"/>
                      <w:color w:val="000000"/>
                      <w:sz w:val="20"/>
                      <w:szCs w:val="20"/>
                    </w:rPr>
                    <w:t>0.1013</w:t>
                  </w:r>
                  <w:r w:rsidRPr="00B40EA5">
                    <w:rPr>
                      <w:rFonts w:eastAsia="Arial"/>
                      <w:color w:val="000000"/>
                      <w:sz w:val="20"/>
                      <w:szCs w:val="20"/>
                    </w:rPr>
                    <w:br/>
                    <w:t>(0.0691)</w:t>
                  </w:r>
                </w:p>
              </w:tc>
              <w:tc>
                <w:tcPr>
                  <w:tcW w:w="1440" w:type="dxa"/>
                  <w:tcBorders>
                    <w:top w:val="none" w:sz="0" w:space="0" w:color="000000"/>
                    <w:left w:val="none" w:sz="0" w:space="0" w:color="000000"/>
                    <w:bottom w:val="none" w:sz="0" w:space="0" w:color="000000"/>
                    <w:right w:val="none" w:sz="0" w:space="0" w:color="000000"/>
                  </w:tcBorders>
                  <w:shd w:val="clear" w:color="auto" w:fill="EDEDED" w:themeFill="accent3" w:themeFillTint="33"/>
                </w:tcPr>
                <w:p w14:paraId="7908CCE9"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B40EA5">
                    <w:rPr>
                      <w:rFonts w:eastAsia="Arial"/>
                      <w:color w:val="000000"/>
                      <w:sz w:val="20"/>
                      <w:szCs w:val="20"/>
                    </w:rPr>
                    <w:t>0.0946</w:t>
                  </w:r>
                  <w:r w:rsidRPr="00B40EA5">
                    <w:rPr>
                      <w:rFonts w:eastAsia="Arial"/>
                      <w:color w:val="000000"/>
                      <w:sz w:val="20"/>
                      <w:szCs w:val="20"/>
                    </w:rPr>
                    <w:br/>
                    <w:t>(0.0888)</w:t>
                  </w:r>
                </w:p>
              </w:tc>
              <w:tc>
                <w:tcPr>
                  <w:tcW w:w="1440" w:type="dxa"/>
                  <w:tcBorders>
                    <w:top w:val="none" w:sz="0" w:space="0" w:color="000000"/>
                    <w:left w:val="none" w:sz="0" w:space="0" w:color="000000"/>
                    <w:bottom w:val="none" w:sz="0" w:space="0" w:color="000000"/>
                    <w:right w:val="none" w:sz="0" w:space="0" w:color="000000"/>
                  </w:tcBorders>
                  <w:shd w:val="clear" w:color="auto" w:fill="EDEDED" w:themeFill="accent3" w:themeFillTint="33"/>
                </w:tcPr>
                <w:p w14:paraId="61AA05A5"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B40EA5">
                    <w:rPr>
                      <w:rFonts w:eastAsia="Arial"/>
                      <w:color w:val="000000"/>
                      <w:sz w:val="20"/>
                      <w:szCs w:val="20"/>
                    </w:rPr>
                    <w:t>0.0949</w:t>
                  </w:r>
                  <w:r w:rsidRPr="00B40EA5">
                    <w:rPr>
                      <w:rFonts w:eastAsia="Arial"/>
                      <w:color w:val="000000"/>
                      <w:sz w:val="20"/>
                      <w:szCs w:val="20"/>
                    </w:rPr>
                    <w:br/>
                    <w:t>(0.0890)</w:t>
                  </w:r>
                </w:p>
              </w:tc>
              <w:tc>
                <w:tcPr>
                  <w:tcW w:w="1440" w:type="dxa"/>
                  <w:tcBorders>
                    <w:top w:val="none" w:sz="0" w:space="0" w:color="000000"/>
                    <w:left w:val="none" w:sz="0" w:space="0" w:color="000000"/>
                    <w:bottom w:val="none" w:sz="0" w:space="0" w:color="000000"/>
                    <w:right w:val="none" w:sz="0" w:space="0" w:color="000000"/>
                  </w:tcBorders>
                  <w:shd w:val="clear" w:color="auto" w:fill="EDEDED" w:themeFill="accent3" w:themeFillTint="33"/>
                </w:tcPr>
                <w:p w14:paraId="52A786A6"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B40EA5">
                    <w:rPr>
                      <w:rFonts w:eastAsia="Arial"/>
                      <w:color w:val="000000"/>
                      <w:sz w:val="20"/>
                      <w:szCs w:val="20"/>
                    </w:rPr>
                    <w:t>0.0294*</w:t>
                  </w:r>
                  <w:r w:rsidRPr="00B40EA5">
                    <w:rPr>
                      <w:rFonts w:eastAsia="Arial"/>
                      <w:color w:val="000000"/>
                      <w:sz w:val="20"/>
                      <w:szCs w:val="20"/>
                    </w:rPr>
                    <w:br/>
                    <w:t>(0.0174)</w:t>
                  </w:r>
                </w:p>
              </w:tc>
              <w:tc>
                <w:tcPr>
                  <w:tcW w:w="1440" w:type="dxa"/>
                  <w:tcBorders>
                    <w:top w:val="none" w:sz="0" w:space="0" w:color="000000"/>
                    <w:left w:val="none" w:sz="0" w:space="0" w:color="000000"/>
                    <w:bottom w:val="none" w:sz="0" w:space="0" w:color="000000"/>
                    <w:right w:val="none" w:sz="0" w:space="0" w:color="000000"/>
                  </w:tcBorders>
                  <w:shd w:val="clear" w:color="auto" w:fill="EDEDED" w:themeFill="accent3" w:themeFillTint="33"/>
                </w:tcPr>
                <w:p w14:paraId="7FE563DF"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B40EA5">
                    <w:rPr>
                      <w:rFonts w:eastAsia="Arial"/>
                      <w:color w:val="000000"/>
                      <w:sz w:val="20"/>
                      <w:szCs w:val="20"/>
                    </w:rPr>
                    <w:t>0.1005</w:t>
                  </w:r>
                  <w:r w:rsidRPr="00B40EA5">
                    <w:rPr>
                      <w:rFonts w:eastAsia="Arial"/>
                      <w:color w:val="000000"/>
                      <w:sz w:val="20"/>
                      <w:szCs w:val="20"/>
                    </w:rPr>
                    <w:br/>
                    <w:t>(0.0898)</w:t>
                  </w:r>
                </w:p>
              </w:tc>
            </w:tr>
            <w:tr w:rsidR="00DB7B3B" w:rsidRPr="00E23FB1" w14:paraId="5200A936" w14:textId="77777777">
              <w:trPr>
                <w:trHeight w:val="254"/>
              </w:trPr>
              <w:tc>
                <w:tcPr>
                  <w:tcW w:w="1849" w:type="dxa"/>
                  <w:tcBorders>
                    <w:top w:val="none" w:sz="0" w:space="0" w:color="000000"/>
                    <w:left w:val="none" w:sz="0" w:space="0" w:color="000000"/>
                    <w:bottom w:val="none" w:sz="0" w:space="0" w:color="000000"/>
                    <w:right w:val="none" w:sz="0" w:space="0" w:color="000000"/>
                  </w:tcBorders>
                  <w:shd w:val="clear" w:color="auto" w:fill="EDEDED" w:themeFill="accent3" w:themeFillTint="33"/>
                  <w:tcMar>
                    <w:top w:w="0" w:type="dxa"/>
                    <w:left w:w="0" w:type="dxa"/>
                    <w:bottom w:w="0" w:type="dxa"/>
                    <w:right w:w="0" w:type="dxa"/>
                  </w:tcMar>
                  <w:vAlign w:val="center"/>
                </w:tcPr>
                <w:p w14:paraId="7DC40F3A"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i/>
                      <w:iCs/>
                      <w:color w:val="000000"/>
                      <w:sz w:val="20"/>
                      <w:szCs w:val="20"/>
                      <w:vertAlign w:val="subscript"/>
                    </w:rPr>
                  </w:pPr>
                  <w:r w:rsidRPr="00B40EA5">
                    <w:rPr>
                      <w:rFonts w:eastAsia="Arial"/>
                      <w:color w:val="000000"/>
                      <w:sz w:val="20"/>
                      <w:szCs w:val="20"/>
                    </w:rPr>
                    <w:t>X</w:t>
                  </w:r>
                  <w:r w:rsidRPr="00B40EA5">
                    <w:rPr>
                      <w:rFonts w:eastAsia="Arial"/>
                      <w:i/>
                      <w:iCs/>
                      <w:color w:val="000000"/>
                      <w:sz w:val="20"/>
                      <w:szCs w:val="20"/>
                      <w:vertAlign w:val="subscript"/>
                    </w:rPr>
                    <w:t>t-2</w:t>
                  </w:r>
                </w:p>
              </w:tc>
              <w:tc>
                <w:tcPr>
                  <w:tcW w:w="1446" w:type="dxa"/>
                  <w:tcBorders>
                    <w:top w:val="none" w:sz="0" w:space="0" w:color="000000"/>
                    <w:left w:val="none" w:sz="0" w:space="0" w:color="000000"/>
                    <w:bottom w:val="none" w:sz="0" w:space="0" w:color="000000"/>
                    <w:right w:val="none" w:sz="0" w:space="0" w:color="000000"/>
                  </w:tcBorders>
                  <w:shd w:val="clear" w:color="auto" w:fill="EDEDED" w:themeFill="accent3" w:themeFillTint="33"/>
                  <w:tcMar>
                    <w:top w:w="0" w:type="dxa"/>
                    <w:left w:w="0" w:type="dxa"/>
                    <w:bottom w:w="0" w:type="dxa"/>
                    <w:right w:w="0" w:type="dxa"/>
                  </w:tcMar>
                  <w:vAlign w:val="center"/>
                </w:tcPr>
                <w:p w14:paraId="658930A2"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right="100"/>
                    <w:jc w:val="center"/>
                    <w:rPr>
                      <w:rFonts w:eastAsia="Arial"/>
                      <w:color w:val="000000"/>
                      <w:sz w:val="20"/>
                      <w:szCs w:val="20"/>
                    </w:rPr>
                  </w:pPr>
                  <w:r w:rsidRPr="00B40EA5">
                    <w:rPr>
                      <w:rFonts w:eastAsia="Arial"/>
                      <w:color w:val="000000"/>
                      <w:sz w:val="20"/>
                      <w:szCs w:val="20"/>
                    </w:rPr>
                    <w:t>-</w:t>
                  </w:r>
                </w:p>
              </w:tc>
              <w:tc>
                <w:tcPr>
                  <w:tcW w:w="1440" w:type="dxa"/>
                  <w:tcBorders>
                    <w:top w:val="none" w:sz="0" w:space="0" w:color="000000"/>
                    <w:left w:val="none" w:sz="0" w:space="0" w:color="000000"/>
                    <w:bottom w:val="none" w:sz="0" w:space="0" w:color="000000"/>
                    <w:right w:val="none" w:sz="0" w:space="0" w:color="000000"/>
                  </w:tcBorders>
                  <w:shd w:val="clear" w:color="auto" w:fill="EDEDED" w:themeFill="accent3" w:themeFillTint="33"/>
                </w:tcPr>
                <w:p w14:paraId="5B1BADC3"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B40EA5">
                    <w:rPr>
                      <w:rFonts w:eastAsia="Arial"/>
                      <w:color w:val="000000"/>
                      <w:sz w:val="20"/>
                      <w:szCs w:val="20"/>
                    </w:rPr>
                    <w:t>-</w:t>
                  </w:r>
                </w:p>
              </w:tc>
              <w:tc>
                <w:tcPr>
                  <w:tcW w:w="1440" w:type="dxa"/>
                  <w:tcBorders>
                    <w:top w:val="none" w:sz="0" w:space="0" w:color="000000"/>
                    <w:left w:val="none" w:sz="0" w:space="0" w:color="000000"/>
                    <w:bottom w:val="none" w:sz="0" w:space="0" w:color="000000"/>
                    <w:right w:val="none" w:sz="0" w:space="0" w:color="000000"/>
                  </w:tcBorders>
                  <w:shd w:val="clear" w:color="auto" w:fill="EDEDED" w:themeFill="accent3" w:themeFillTint="33"/>
                </w:tcPr>
                <w:p w14:paraId="4FE5F5CB"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B40EA5">
                    <w:rPr>
                      <w:rFonts w:eastAsia="Arial"/>
                      <w:color w:val="000000"/>
                      <w:sz w:val="20"/>
                      <w:szCs w:val="20"/>
                    </w:rPr>
                    <w:t>-</w:t>
                  </w:r>
                </w:p>
              </w:tc>
              <w:tc>
                <w:tcPr>
                  <w:tcW w:w="1440" w:type="dxa"/>
                  <w:tcBorders>
                    <w:top w:val="none" w:sz="0" w:space="0" w:color="000000"/>
                    <w:left w:val="none" w:sz="0" w:space="0" w:color="000000"/>
                    <w:bottom w:val="none" w:sz="0" w:space="0" w:color="000000"/>
                    <w:right w:val="none" w:sz="0" w:space="0" w:color="000000"/>
                  </w:tcBorders>
                  <w:shd w:val="clear" w:color="auto" w:fill="EDEDED" w:themeFill="accent3" w:themeFillTint="33"/>
                </w:tcPr>
                <w:p w14:paraId="4413526D"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B40EA5">
                    <w:rPr>
                      <w:rFonts w:eastAsia="Arial"/>
                      <w:color w:val="000000"/>
                      <w:sz w:val="20"/>
                      <w:szCs w:val="20"/>
                    </w:rPr>
                    <w:t>-</w:t>
                  </w:r>
                </w:p>
              </w:tc>
              <w:tc>
                <w:tcPr>
                  <w:tcW w:w="1440" w:type="dxa"/>
                  <w:tcBorders>
                    <w:top w:val="none" w:sz="0" w:space="0" w:color="000000"/>
                    <w:left w:val="none" w:sz="0" w:space="0" w:color="000000"/>
                    <w:bottom w:val="none" w:sz="0" w:space="0" w:color="000000"/>
                    <w:right w:val="none" w:sz="0" w:space="0" w:color="000000"/>
                  </w:tcBorders>
                  <w:shd w:val="clear" w:color="auto" w:fill="EDEDED" w:themeFill="accent3" w:themeFillTint="33"/>
                </w:tcPr>
                <w:p w14:paraId="344DE5BB"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B40EA5">
                    <w:rPr>
                      <w:rFonts w:eastAsia="Arial"/>
                      <w:color w:val="000000"/>
                      <w:sz w:val="20"/>
                      <w:szCs w:val="20"/>
                    </w:rPr>
                    <w:t>-0.0541</w:t>
                  </w:r>
                  <w:r w:rsidRPr="00B40EA5">
                    <w:rPr>
                      <w:rFonts w:eastAsia="Arial"/>
                      <w:color w:val="000000"/>
                      <w:sz w:val="20"/>
                      <w:szCs w:val="20"/>
                    </w:rPr>
                    <w:br/>
                    <w:t>(0.1021)</w:t>
                  </w:r>
                </w:p>
              </w:tc>
              <w:tc>
                <w:tcPr>
                  <w:tcW w:w="1440" w:type="dxa"/>
                  <w:tcBorders>
                    <w:top w:val="none" w:sz="0" w:space="0" w:color="000000"/>
                    <w:left w:val="none" w:sz="0" w:space="0" w:color="000000"/>
                    <w:bottom w:val="none" w:sz="0" w:space="0" w:color="000000"/>
                    <w:right w:val="none" w:sz="0" w:space="0" w:color="000000"/>
                  </w:tcBorders>
                  <w:shd w:val="clear" w:color="auto" w:fill="EDEDED" w:themeFill="accent3" w:themeFillTint="33"/>
                </w:tcPr>
                <w:p w14:paraId="2B731160"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B40EA5">
                    <w:rPr>
                      <w:rFonts w:eastAsia="Arial"/>
                      <w:color w:val="000000"/>
                      <w:sz w:val="20"/>
                      <w:szCs w:val="20"/>
                    </w:rPr>
                    <w:t>-</w:t>
                  </w:r>
                </w:p>
              </w:tc>
            </w:tr>
            <w:tr w:rsidR="00DB7B3B" w:rsidRPr="00E23FB1" w14:paraId="2D52D4C4" w14:textId="77777777">
              <w:trPr>
                <w:trHeight w:val="70"/>
              </w:trPr>
              <w:tc>
                <w:tcPr>
                  <w:tcW w:w="1849" w:type="dxa"/>
                  <w:tcBorders>
                    <w:top w:val="none" w:sz="0" w:space="0" w:color="000000"/>
                    <w:left w:val="none" w:sz="0" w:space="0" w:color="000000"/>
                    <w:right w:val="none" w:sz="0" w:space="0" w:color="000000"/>
                  </w:tcBorders>
                  <w:shd w:val="clear" w:color="auto" w:fill="EDEDED" w:themeFill="accent3" w:themeFillTint="33"/>
                  <w:tcMar>
                    <w:top w:w="0" w:type="dxa"/>
                    <w:left w:w="0" w:type="dxa"/>
                    <w:bottom w:w="0" w:type="dxa"/>
                    <w:right w:w="0" w:type="dxa"/>
                  </w:tcMar>
                  <w:vAlign w:val="center"/>
                </w:tcPr>
                <w:p w14:paraId="3A7C3576"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rPr>
                      <w:sz w:val="20"/>
                      <w:szCs w:val="20"/>
                    </w:rPr>
                  </w:pPr>
                  <w:r w:rsidRPr="00B40EA5">
                    <w:rPr>
                      <w:rFonts w:eastAsia="Arial"/>
                      <w:color w:val="000000"/>
                      <w:sz w:val="20"/>
                      <w:szCs w:val="20"/>
                    </w:rPr>
                    <w:lastRenderedPageBreak/>
                    <w:t>rta_wto</w:t>
                  </w:r>
                </w:p>
              </w:tc>
              <w:tc>
                <w:tcPr>
                  <w:tcW w:w="1446" w:type="dxa"/>
                  <w:tcBorders>
                    <w:top w:val="none" w:sz="0" w:space="0" w:color="000000"/>
                    <w:left w:val="none" w:sz="0" w:space="0" w:color="000000"/>
                    <w:right w:val="none" w:sz="0" w:space="0" w:color="000000"/>
                  </w:tcBorders>
                  <w:shd w:val="clear" w:color="auto" w:fill="EDEDED" w:themeFill="accent3" w:themeFillTint="33"/>
                  <w:tcMar>
                    <w:top w:w="0" w:type="dxa"/>
                    <w:left w:w="0" w:type="dxa"/>
                    <w:bottom w:w="0" w:type="dxa"/>
                    <w:right w:w="0" w:type="dxa"/>
                  </w:tcMar>
                  <w:vAlign w:val="center"/>
                </w:tcPr>
                <w:p w14:paraId="4A1BC12A"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sz w:val="20"/>
                      <w:szCs w:val="20"/>
                    </w:rPr>
                  </w:pPr>
                  <w:r w:rsidRPr="00B40EA5">
                    <w:rPr>
                      <w:rFonts w:eastAsia="Arial"/>
                      <w:color w:val="000000"/>
                      <w:sz w:val="20"/>
                      <w:szCs w:val="20"/>
                    </w:rPr>
                    <w:t xml:space="preserve">0.0344 </w:t>
                  </w:r>
                  <w:r w:rsidRPr="00B40EA5">
                    <w:rPr>
                      <w:rFonts w:eastAsia="Arial"/>
                      <w:color w:val="000000"/>
                      <w:sz w:val="20"/>
                      <w:szCs w:val="20"/>
                    </w:rPr>
                    <w:br/>
                    <w:t>(0.0440)</w:t>
                  </w:r>
                </w:p>
              </w:tc>
              <w:tc>
                <w:tcPr>
                  <w:tcW w:w="1440" w:type="dxa"/>
                  <w:tcBorders>
                    <w:top w:val="none" w:sz="0" w:space="0" w:color="000000"/>
                    <w:left w:val="none" w:sz="0" w:space="0" w:color="000000"/>
                    <w:right w:val="none" w:sz="0" w:space="0" w:color="000000"/>
                  </w:tcBorders>
                  <w:shd w:val="clear" w:color="auto" w:fill="EDEDED" w:themeFill="accent3" w:themeFillTint="33"/>
                </w:tcPr>
                <w:p w14:paraId="25CE452C"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B40EA5">
                    <w:rPr>
                      <w:rFonts w:eastAsia="Arial"/>
                      <w:color w:val="000000"/>
                      <w:sz w:val="20"/>
                      <w:szCs w:val="20"/>
                    </w:rPr>
                    <w:t>0.0314</w:t>
                  </w:r>
                  <w:r w:rsidRPr="00B40EA5">
                    <w:rPr>
                      <w:rFonts w:eastAsia="Arial"/>
                      <w:color w:val="000000"/>
                      <w:sz w:val="20"/>
                      <w:szCs w:val="20"/>
                    </w:rPr>
                    <w:br/>
                    <w:t>(0.0438)</w:t>
                  </w:r>
                </w:p>
              </w:tc>
              <w:tc>
                <w:tcPr>
                  <w:tcW w:w="1440" w:type="dxa"/>
                  <w:tcBorders>
                    <w:top w:val="none" w:sz="0" w:space="0" w:color="000000"/>
                    <w:left w:val="none" w:sz="0" w:space="0" w:color="000000"/>
                    <w:right w:val="none" w:sz="0" w:space="0" w:color="000000"/>
                  </w:tcBorders>
                  <w:shd w:val="clear" w:color="auto" w:fill="EDEDED" w:themeFill="accent3" w:themeFillTint="33"/>
                </w:tcPr>
                <w:p w14:paraId="75406573"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B40EA5">
                    <w:rPr>
                      <w:rFonts w:eastAsia="Arial"/>
                      <w:color w:val="000000"/>
                      <w:sz w:val="20"/>
                      <w:szCs w:val="20"/>
                    </w:rPr>
                    <w:t>0.0316</w:t>
                  </w:r>
                  <w:r w:rsidRPr="00B40EA5">
                    <w:rPr>
                      <w:rFonts w:eastAsia="Arial"/>
                      <w:color w:val="000000"/>
                      <w:sz w:val="20"/>
                      <w:szCs w:val="20"/>
                    </w:rPr>
                    <w:br/>
                    <w:t>(0.0438)</w:t>
                  </w:r>
                </w:p>
              </w:tc>
              <w:tc>
                <w:tcPr>
                  <w:tcW w:w="1440" w:type="dxa"/>
                  <w:tcBorders>
                    <w:top w:val="none" w:sz="0" w:space="0" w:color="000000"/>
                    <w:left w:val="none" w:sz="0" w:space="0" w:color="000000"/>
                    <w:right w:val="none" w:sz="0" w:space="0" w:color="000000"/>
                  </w:tcBorders>
                  <w:shd w:val="clear" w:color="auto" w:fill="EDEDED" w:themeFill="accent3" w:themeFillTint="33"/>
                </w:tcPr>
                <w:p w14:paraId="4280DD05"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B40EA5">
                    <w:rPr>
                      <w:rFonts w:eastAsia="Arial"/>
                      <w:color w:val="000000"/>
                      <w:sz w:val="20"/>
                      <w:szCs w:val="20"/>
                    </w:rPr>
                    <w:t>0.0315</w:t>
                  </w:r>
                  <w:r w:rsidRPr="00B40EA5">
                    <w:rPr>
                      <w:rFonts w:eastAsia="Arial"/>
                      <w:color w:val="000000"/>
                      <w:sz w:val="20"/>
                      <w:szCs w:val="20"/>
                    </w:rPr>
                    <w:br/>
                    <w:t>(0.0438)</w:t>
                  </w:r>
                </w:p>
              </w:tc>
              <w:tc>
                <w:tcPr>
                  <w:tcW w:w="1440" w:type="dxa"/>
                  <w:tcBorders>
                    <w:top w:val="none" w:sz="0" w:space="0" w:color="000000"/>
                    <w:left w:val="none" w:sz="0" w:space="0" w:color="000000"/>
                    <w:right w:val="none" w:sz="0" w:space="0" w:color="000000"/>
                  </w:tcBorders>
                  <w:shd w:val="clear" w:color="auto" w:fill="EDEDED" w:themeFill="accent3" w:themeFillTint="33"/>
                </w:tcPr>
                <w:p w14:paraId="64ABE68D"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B40EA5">
                    <w:rPr>
                      <w:rFonts w:eastAsia="Arial"/>
                      <w:color w:val="000000"/>
                      <w:sz w:val="20"/>
                      <w:szCs w:val="20"/>
                    </w:rPr>
                    <w:t>0.0300</w:t>
                  </w:r>
                  <w:r w:rsidRPr="00B40EA5">
                    <w:rPr>
                      <w:rFonts w:eastAsia="Arial"/>
                      <w:color w:val="000000"/>
                      <w:sz w:val="20"/>
                      <w:szCs w:val="20"/>
                    </w:rPr>
                    <w:br/>
                    <w:t>(0.0443)</w:t>
                  </w:r>
                </w:p>
              </w:tc>
              <w:tc>
                <w:tcPr>
                  <w:tcW w:w="1440" w:type="dxa"/>
                  <w:tcBorders>
                    <w:top w:val="none" w:sz="0" w:space="0" w:color="000000"/>
                    <w:left w:val="none" w:sz="0" w:space="0" w:color="000000"/>
                    <w:right w:val="none" w:sz="0" w:space="0" w:color="000000"/>
                  </w:tcBorders>
                  <w:shd w:val="clear" w:color="auto" w:fill="EDEDED" w:themeFill="accent3" w:themeFillTint="33"/>
                </w:tcPr>
                <w:p w14:paraId="31B891FB"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B40EA5">
                    <w:rPr>
                      <w:rFonts w:eastAsia="Arial"/>
                      <w:color w:val="000000"/>
                      <w:sz w:val="20"/>
                      <w:szCs w:val="20"/>
                    </w:rPr>
                    <w:t>0.0354</w:t>
                  </w:r>
                  <w:r w:rsidRPr="00B40EA5">
                    <w:rPr>
                      <w:rFonts w:eastAsia="Arial"/>
                      <w:color w:val="000000"/>
                      <w:sz w:val="20"/>
                      <w:szCs w:val="20"/>
                    </w:rPr>
                    <w:br/>
                    <w:t>(0.0441)</w:t>
                  </w:r>
                </w:p>
              </w:tc>
            </w:tr>
            <w:tr w:rsidR="0015375D" w:rsidRPr="00E23FB1" w14:paraId="52DDDA18" w14:textId="77777777">
              <w:trPr>
                <w:trHeight w:val="70"/>
              </w:trPr>
              <w:tc>
                <w:tcPr>
                  <w:tcW w:w="1849" w:type="dxa"/>
                  <w:tcBorders>
                    <w:top w:val="single" w:sz="4" w:space="0" w:color="auto"/>
                    <w:left w:val="none" w:sz="0" w:space="0" w:color="000000"/>
                    <w:bottom w:val="none" w:sz="0" w:space="0" w:color="000000"/>
                    <w:right w:val="none" w:sz="0" w:space="0" w:color="000000"/>
                  </w:tcBorders>
                  <w:shd w:val="clear" w:color="auto" w:fill="EDEDED" w:themeFill="accent3" w:themeFillTint="33"/>
                  <w:tcMar>
                    <w:top w:w="0" w:type="dxa"/>
                    <w:left w:w="0" w:type="dxa"/>
                    <w:bottom w:w="0" w:type="dxa"/>
                    <w:right w:w="0" w:type="dxa"/>
                  </w:tcMar>
                  <w:vAlign w:val="center"/>
                </w:tcPr>
                <w:p w14:paraId="7294336C"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rPr>
                      <w:sz w:val="20"/>
                      <w:szCs w:val="20"/>
                    </w:rPr>
                  </w:pPr>
                  <w:r w:rsidRPr="00B40EA5">
                    <w:rPr>
                      <w:rFonts w:eastAsia="Arial"/>
                      <w:color w:val="000000"/>
                      <w:sz w:val="20"/>
                      <w:szCs w:val="20"/>
                    </w:rPr>
                    <w:t>Observations</w:t>
                  </w:r>
                </w:p>
              </w:tc>
              <w:tc>
                <w:tcPr>
                  <w:tcW w:w="1446" w:type="dxa"/>
                  <w:tcBorders>
                    <w:top w:val="single" w:sz="4" w:space="0" w:color="auto"/>
                    <w:left w:val="none" w:sz="0" w:space="0" w:color="000000"/>
                    <w:bottom w:val="none" w:sz="0" w:space="0" w:color="000000"/>
                    <w:right w:val="none" w:sz="0" w:space="0" w:color="000000"/>
                  </w:tcBorders>
                  <w:shd w:val="clear" w:color="auto" w:fill="EDEDED" w:themeFill="accent3" w:themeFillTint="33"/>
                  <w:tcMar>
                    <w:top w:w="0" w:type="dxa"/>
                    <w:left w:w="0" w:type="dxa"/>
                    <w:bottom w:w="0" w:type="dxa"/>
                    <w:right w:w="0" w:type="dxa"/>
                  </w:tcMar>
                  <w:vAlign w:val="center"/>
                </w:tcPr>
                <w:p w14:paraId="3A85B10B"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sz w:val="20"/>
                      <w:szCs w:val="20"/>
                    </w:rPr>
                  </w:pPr>
                  <w:r w:rsidRPr="00B40EA5">
                    <w:rPr>
                      <w:rFonts w:eastAsia="Arial"/>
                      <w:color w:val="000000"/>
                      <w:sz w:val="20"/>
                      <w:szCs w:val="20"/>
                    </w:rPr>
                    <w:t>24,210</w:t>
                  </w:r>
                </w:p>
              </w:tc>
              <w:tc>
                <w:tcPr>
                  <w:tcW w:w="1440" w:type="dxa"/>
                  <w:tcBorders>
                    <w:top w:val="single" w:sz="4" w:space="0" w:color="auto"/>
                    <w:left w:val="none" w:sz="0" w:space="0" w:color="000000"/>
                    <w:bottom w:val="none" w:sz="0" w:space="0" w:color="000000"/>
                    <w:right w:val="none" w:sz="0" w:space="0" w:color="000000"/>
                  </w:tcBorders>
                  <w:shd w:val="clear" w:color="auto" w:fill="EDEDED" w:themeFill="accent3" w:themeFillTint="33"/>
                  <w:vAlign w:val="center"/>
                </w:tcPr>
                <w:p w14:paraId="35E5C1BF"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B40EA5">
                    <w:rPr>
                      <w:rFonts w:eastAsia="Arial"/>
                      <w:color w:val="000000"/>
                      <w:sz w:val="20"/>
                      <w:szCs w:val="20"/>
                    </w:rPr>
                    <w:t>24,210</w:t>
                  </w:r>
                </w:p>
              </w:tc>
              <w:tc>
                <w:tcPr>
                  <w:tcW w:w="1440" w:type="dxa"/>
                  <w:tcBorders>
                    <w:top w:val="single" w:sz="4" w:space="0" w:color="auto"/>
                    <w:left w:val="none" w:sz="0" w:space="0" w:color="000000"/>
                    <w:bottom w:val="none" w:sz="0" w:space="0" w:color="000000"/>
                    <w:right w:val="none" w:sz="0" w:space="0" w:color="000000"/>
                  </w:tcBorders>
                  <w:shd w:val="clear" w:color="auto" w:fill="EDEDED" w:themeFill="accent3" w:themeFillTint="33"/>
                  <w:vAlign w:val="center"/>
                </w:tcPr>
                <w:p w14:paraId="4A46928E"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B40EA5">
                    <w:rPr>
                      <w:rFonts w:eastAsia="Arial"/>
                      <w:color w:val="000000"/>
                      <w:sz w:val="20"/>
                      <w:szCs w:val="20"/>
                    </w:rPr>
                    <w:t>24,210</w:t>
                  </w:r>
                </w:p>
              </w:tc>
              <w:tc>
                <w:tcPr>
                  <w:tcW w:w="1440" w:type="dxa"/>
                  <w:tcBorders>
                    <w:top w:val="single" w:sz="4" w:space="0" w:color="auto"/>
                    <w:left w:val="none" w:sz="0" w:space="0" w:color="000000"/>
                    <w:bottom w:val="none" w:sz="0" w:space="0" w:color="000000"/>
                    <w:right w:val="none" w:sz="0" w:space="0" w:color="000000"/>
                  </w:tcBorders>
                  <w:shd w:val="clear" w:color="auto" w:fill="EDEDED" w:themeFill="accent3" w:themeFillTint="33"/>
                  <w:vAlign w:val="center"/>
                </w:tcPr>
                <w:p w14:paraId="10712715"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B40EA5">
                    <w:rPr>
                      <w:rFonts w:eastAsia="Arial"/>
                      <w:color w:val="000000"/>
                      <w:sz w:val="20"/>
                      <w:szCs w:val="20"/>
                    </w:rPr>
                    <w:t>24,210</w:t>
                  </w:r>
                </w:p>
              </w:tc>
              <w:tc>
                <w:tcPr>
                  <w:tcW w:w="1440" w:type="dxa"/>
                  <w:tcBorders>
                    <w:top w:val="single" w:sz="4" w:space="0" w:color="auto"/>
                    <w:left w:val="none" w:sz="0" w:space="0" w:color="000000"/>
                    <w:bottom w:val="none" w:sz="0" w:space="0" w:color="000000"/>
                    <w:right w:val="none" w:sz="0" w:space="0" w:color="000000"/>
                  </w:tcBorders>
                  <w:shd w:val="clear" w:color="auto" w:fill="EDEDED" w:themeFill="accent3" w:themeFillTint="33"/>
                  <w:vAlign w:val="center"/>
                </w:tcPr>
                <w:p w14:paraId="5FF50DC5"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B40EA5">
                    <w:rPr>
                      <w:rFonts w:eastAsia="Arial"/>
                      <w:color w:val="000000"/>
                      <w:sz w:val="20"/>
                      <w:szCs w:val="20"/>
                    </w:rPr>
                    <w:t>24,210</w:t>
                  </w:r>
                </w:p>
              </w:tc>
              <w:tc>
                <w:tcPr>
                  <w:tcW w:w="1440" w:type="dxa"/>
                  <w:tcBorders>
                    <w:top w:val="single" w:sz="4" w:space="0" w:color="auto"/>
                    <w:left w:val="none" w:sz="0" w:space="0" w:color="000000"/>
                    <w:bottom w:val="none" w:sz="0" w:space="0" w:color="000000"/>
                    <w:right w:val="none" w:sz="0" w:space="0" w:color="000000"/>
                  </w:tcBorders>
                  <w:shd w:val="clear" w:color="auto" w:fill="EDEDED" w:themeFill="accent3" w:themeFillTint="33"/>
                  <w:vAlign w:val="center"/>
                </w:tcPr>
                <w:p w14:paraId="571E20CC"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B40EA5">
                    <w:rPr>
                      <w:rFonts w:eastAsia="Arial"/>
                      <w:color w:val="000000"/>
                      <w:sz w:val="20"/>
                      <w:szCs w:val="20"/>
                    </w:rPr>
                    <w:t>24,210</w:t>
                  </w:r>
                </w:p>
              </w:tc>
            </w:tr>
            <w:tr w:rsidR="00DB7B3B" w:rsidRPr="00E23FB1" w14:paraId="79C586C3" w14:textId="77777777">
              <w:trPr>
                <w:trHeight w:val="70"/>
              </w:trPr>
              <w:tc>
                <w:tcPr>
                  <w:tcW w:w="1849" w:type="dxa"/>
                  <w:tcBorders>
                    <w:top w:val="none" w:sz="0" w:space="0" w:color="000000"/>
                    <w:left w:val="none" w:sz="0" w:space="0" w:color="000000"/>
                    <w:bottom w:val="none" w:sz="0" w:space="0" w:color="000000"/>
                    <w:right w:val="none" w:sz="0" w:space="0" w:color="000000"/>
                  </w:tcBorders>
                  <w:shd w:val="clear" w:color="auto" w:fill="EDEDED" w:themeFill="accent3" w:themeFillTint="33"/>
                  <w:tcMar>
                    <w:top w:w="0" w:type="dxa"/>
                    <w:left w:w="0" w:type="dxa"/>
                    <w:bottom w:w="0" w:type="dxa"/>
                    <w:right w:w="0" w:type="dxa"/>
                  </w:tcMar>
                  <w:vAlign w:val="center"/>
                </w:tcPr>
                <w:p w14:paraId="70E0D248"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rPr>
                      <w:sz w:val="20"/>
                      <w:szCs w:val="20"/>
                    </w:rPr>
                  </w:pPr>
                  <w:r w:rsidRPr="00B40EA5">
                    <w:rPr>
                      <w:rFonts w:eastAsia="Arial"/>
                      <w:color w:val="000000"/>
                      <w:sz w:val="20"/>
                      <w:szCs w:val="20"/>
                    </w:rPr>
                    <w:t>Squared Cor.</w:t>
                  </w:r>
                </w:p>
              </w:tc>
              <w:tc>
                <w:tcPr>
                  <w:tcW w:w="1446" w:type="dxa"/>
                  <w:tcBorders>
                    <w:top w:val="none" w:sz="0" w:space="0" w:color="000000"/>
                    <w:left w:val="none" w:sz="0" w:space="0" w:color="000000"/>
                    <w:bottom w:val="none" w:sz="0" w:space="0" w:color="000000"/>
                    <w:right w:val="none" w:sz="0" w:space="0" w:color="000000"/>
                  </w:tcBorders>
                  <w:shd w:val="clear" w:color="auto" w:fill="EDEDED" w:themeFill="accent3" w:themeFillTint="33"/>
                  <w:tcMar>
                    <w:top w:w="0" w:type="dxa"/>
                    <w:left w:w="0" w:type="dxa"/>
                    <w:bottom w:w="0" w:type="dxa"/>
                    <w:right w:w="0" w:type="dxa"/>
                  </w:tcMar>
                  <w:vAlign w:val="center"/>
                </w:tcPr>
                <w:p w14:paraId="7BF00C57"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sz w:val="20"/>
                      <w:szCs w:val="20"/>
                    </w:rPr>
                  </w:pPr>
                  <w:r w:rsidRPr="00B40EA5">
                    <w:rPr>
                      <w:rFonts w:eastAsia="Arial"/>
                      <w:color w:val="000000"/>
                      <w:sz w:val="20"/>
                      <w:szCs w:val="20"/>
                    </w:rPr>
                    <w:t>0.99930</w:t>
                  </w:r>
                </w:p>
              </w:tc>
              <w:tc>
                <w:tcPr>
                  <w:tcW w:w="1440" w:type="dxa"/>
                  <w:tcBorders>
                    <w:top w:val="none" w:sz="0" w:space="0" w:color="000000"/>
                    <w:left w:val="none" w:sz="0" w:space="0" w:color="000000"/>
                    <w:bottom w:val="none" w:sz="0" w:space="0" w:color="000000"/>
                    <w:right w:val="none" w:sz="0" w:space="0" w:color="000000"/>
                  </w:tcBorders>
                  <w:shd w:val="clear" w:color="auto" w:fill="EDEDED" w:themeFill="accent3" w:themeFillTint="33"/>
                  <w:vAlign w:val="center"/>
                </w:tcPr>
                <w:p w14:paraId="43164CEF"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B40EA5">
                    <w:rPr>
                      <w:rFonts w:eastAsia="Arial"/>
                      <w:color w:val="000000"/>
                      <w:sz w:val="20"/>
                      <w:szCs w:val="20"/>
                    </w:rPr>
                    <w:t>0.99930</w:t>
                  </w:r>
                </w:p>
              </w:tc>
              <w:tc>
                <w:tcPr>
                  <w:tcW w:w="1440" w:type="dxa"/>
                  <w:tcBorders>
                    <w:top w:val="none" w:sz="0" w:space="0" w:color="000000"/>
                    <w:left w:val="none" w:sz="0" w:space="0" w:color="000000"/>
                    <w:bottom w:val="none" w:sz="0" w:space="0" w:color="000000"/>
                    <w:right w:val="none" w:sz="0" w:space="0" w:color="000000"/>
                  </w:tcBorders>
                  <w:shd w:val="clear" w:color="auto" w:fill="EDEDED" w:themeFill="accent3" w:themeFillTint="33"/>
                  <w:vAlign w:val="center"/>
                </w:tcPr>
                <w:p w14:paraId="499232E2"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B40EA5">
                    <w:rPr>
                      <w:rFonts w:eastAsia="Arial"/>
                      <w:color w:val="000000"/>
                      <w:sz w:val="20"/>
                      <w:szCs w:val="20"/>
                    </w:rPr>
                    <w:t>0.99930</w:t>
                  </w:r>
                </w:p>
              </w:tc>
              <w:tc>
                <w:tcPr>
                  <w:tcW w:w="1440" w:type="dxa"/>
                  <w:tcBorders>
                    <w:top w:val="none" w:sz="0" w:space="0" w:color="000000"/>
                    <w:left w:val="none" w:sz="0" w:space="0" w:color="000000"/>
                    <w:bottom w:val="none" w:sz="0" w:space="0" w:color="000000"/>
                    <w:right w:val="none" w:sz="0" w:space="0" w:color="000000"/>
                  </w:tcBorders>
                  <w:shd w:val="clear" w:color="auto" w:fill="EDEDED" w:themeFill="accent3" w:themeFillTint="33"/>
                  <w:vAlign w:val="center"/>
                </w:tcPr>
                <w:p w14:paraId="08B6DB93"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B40EA5">
                    <w:rPr>
                      <w:rFonts w:eastAsia="Arial"/>
                      <w:color w:val="000000"/>
                      <w:sz w:val="20"/>
                      <w:szCs w:val="20"/>
                    </w:rPr>
                    <w:t>0.99930</w:t>
                  </w:r>
                </w:p>
              </w:tc>
              <w:tc>
                <w:tcPr>
                  <w:tcW w:w="1440" w:type="dxa"/>
                  <w:tcBorders>
                    <w:top w:val="none" w:sz="0" w:space="0" w:color="000000"/>
                    <w:left w:val="none" w:sz="0" w:space="0" w:color="000000"/>
                    <w:bottom w:val="none" w:sz="0" w:space="0" w:color="000000"/>
                    <w:right w:val="none" w:sz="0" w:space="0" w:color="000000"/>
                  </w:tcBorders>
                  <w:shd w:val="clear" w:color="auto" w:fill="EDEDED" w:themeFill="accent3" w:themeFillTint="33"/>
                </w:tcPr>
                <w:p w14:paraId="6A125737"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B40EA5">
                    <w:rPr>
                      <w:rFonts w:eastAsia="Arial"/>
                      <w:color w:val="000000"/>
                      <w:sz w:val="20"/>
                      <w:szCs w:val="20"/>
                    </w:rPr>
                    <w:t>0.99931</w:t>
                  </w:r>
                </w:p>
              </w:tc>
              <w:tc>
                <w:tcPr>
                  <w:tcW w:w="1440" w:type="dxa"/>
                  <w:tcBorders>
                    <w:top w:val="none" w:sz="0" w:space="0" w:color="000000"/>
                    <w:left w:val="none" w:sz="0" w:space="0" w:color="000000"/>
                    <w:bottom w:val="none" w:sz="0" w:space="0" w:color="000000"/>
                    <w:right w:val="none" w:sz="0" w:space="0" w:color="000000"/>
                  </w:tcBorders>
                  <w:shd w:val="clear" w:color="auto" w:fill="EDEDED" w:themeFill="accent3" w:themeFillTint="33"/>
                  <w:vAlign w:val="center"/>
                </w:tcPr>
                <w:p w14:paraId="5CA8B764"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B40EA5">
                    <w:rPr>
                      <w:rFonts w:eastAsia="Arial"/>
                      <w:color w:val="000000"/>
                      <w:sz w:val="20"/>
                      <w:szCs w:val="20"/>
                    </w:rPr>
                    <w:t>0.99930</w:t>
                  </w:r>
                </w:p>
              </w:tc>
            </w:tr>
            <w:tr w:rsidR="00DB7B3B" w:rsidRPr="00E23FB1" w14:paraId="4701A7E5" w14:textId="77777777">
              <w:trPr>
                <w:trHeight w:val="70"/>
              </w:trPr>
              <w:tc>
                <w:tcPr>
                  <w:tcW w:w="1849" w:type="dxa"/>
                  <w:tcBorders>
                    <w:top w:val="none" w:sz="0" w:space="0" w:color="000000"/>
                    <w:left w:val="none" w:sz="0" w:space="0" w:color="000000"/>
                    <w:bottom w:val="none" w:sz="0" w:space="0" w:color="000000"/>
                    <w:right w:val="none" w:sz="0" w:space="0" w:color="000000"/>
                  </w:tcBorders>
                  <w:shd w:val="clear" w:color="auto" w:fill="EDEDED" w:themeFill="accent3" w:themeFillTint="33"/>
                  <w:tcMar>
                    <w:top w:w="0" w:type="dxa"/>
                    <w:left w:w="0" w:type="dxa"/>
                    <w:bottom w:w="0" w:type="dxa"/>
                    <w:right w:w="0" w:type="dxa"/>
                  </w:tcMar>
                  <w:vAlign w:val="center"/>
                </w:tcPr>
                <w:p w14:paraId="6DC33916"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rPr>
                      <w:sz w:val="20"/>
                      <w:szCs w:val="20"/>
                    </w:rPr>
                  </w:pPr>
                  <w:r w:rsidRPr="00B40EA5">
                    <w:rPr>
                      <w:rFonts w:eastAsia="Arial"/>
                      <w:color w:val="000000"/>
                      <w:sz w:val="20"/>
                      <w:szCs w:val="20"/>
                    </w:rPr>
                    <w:t>Pseudo R2</w:t>
                  </w:r>
                </w:p>
              </w:tc>
              <w:tc>
                <w:tcPr>
                  <w:tcW w:w="1446" w:type="dxa"/>
                  <w:tcBorders>
                    <w:top w:val="none" w:sz="0" w:space="0" w:color="000000"/>
                    <w:left w:val="none" w:sz="0" w:space="0" w:color="000000"/>
                    <w:bottom w:val="none" w:sz="0" w:space="0" w:color="000000"/>
                    <w:right w:val="none" w:sz="0" w:space="0" w:color="000000"/>
                  </w:tcBorders>
                  <w:shd w:val="clear" w:color="auto" w:fill="EDEDED" w:themeFill="accent3" w:themeFillTint="33"/>
                  <w:tcMar>
                    <w:top w:w="0" w:type="dxa"/>
                    <w:left w:w="0" w:type="dxa"/>
                    <w:bottom w:w="0" w:type="dxa"/>
                    <w:right w:w="0" w:type="dxa"/>
                  </w:tcMar>
                  <w:vAlign w:val="center"/>
                </w:tcPr>
                <w:p w14:paraId="7571E611"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sz w:val="20"/>
                      <w:szCs w:val="20"/>
                    </w:rPr>
                  </w:pPr>
                  <w:r w:rsidRPr="00B40EA5">
                    <w:rPr>
                      <w:rFonts w:eastAsia="Arial"/>
                      <w:color w:val="000000"/>
                      <w:sz w:val="20"/>
                      <w:szCs w:val="20"/>
                    </w:rPr>
                    <w:t>0.99923</w:t>
                  </w:r>
                </w:p>
              </w:tc>
              <w:tc>
                <w:tcPr>
                  <w:tcW w:w="1440" w:type="dxa"/>
                  <w:tcBorders>
                    <w:top w:val="none" w:sz="0" w:space="0" w:color="000000"/>
                    <w:left w:val="none" w:sz="0" w:space="0" w:color="000000"/>
                    <w:bottom w:val="none" w:sz="0" w:space="0" w:color="000000"/>
                    <w:right w:val="none" w:sz="0" w:space="0" w:color="000000"/>
                  </w:tcBorders>
                  <w:shd w:val="clear" w:color="auto" w:fill="EDEDED" w:themeFill="accent3" w:themeFillTint="33"/>
                  <w:vAlign w:val="center"/>
                </w:tcPr>
                <w:p w14:paraId="2D941BBA"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B40EA5">
                    <w:rPr>
                      <w:rFonts w:eastAsia="Arial"/>
                      <w:color w:val="000000"/>
                      <w:sz w:val="20"/>
                      <w:szCs w:val="20"/>
                    </w:rPr>
                    <w:t>0.99923</w:t>
                  </w:r>
                </w:p>
              </w:tc>
              <w:tc>
                <w:tcPr>
                  <w:tcW w:w="1440" w:type="dxa"/>
                  <w:tcBorders>
                    <w:top w:val="none" w:sz="0" w:space="0" w:color="000000"/>
                    <w:left w:val="none" w:sz="0" w:space="0" w:color="000000"/>
                    <w:bottom w:val="none" w:sz="0" w:space="0" w:color="000000"/>
                    <w:right w:val="none" w:sz="0" w:space="0" w:color="000000"/>
                  </w:tcBorders>
                  <w:shd w:val="clear" w:color="auto" w:fill="EDEDED" w:themeFill="accent3" w:themeFillTint="33"/>
                  <w:vAlign w:val="center"/>
                </w:tcPr>
                <w:p w14:paraId="25F88AA9"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B40EA5">
                    <w:rPr>
                      <w:rFonts w:eastAsia="Arial"/>
                      <w:color w:val="000000"/>
                      <w:sz w:val="20"/>
                      <w:szCs w:val="20"/>
                    </w:rPr>
                    <w:t>0.99923</w:t>
                  </w:r>
                </w:p>
              </w:tc>
              <w:tc>
                <w:tcPr>
                  <w:tcW w:w="1440" w:type="dxa"/>
                  <w:tcBorders>
                    <w:top w:val="none" w:sz="0" w:space="0" w:color="000000"/>
                    <w:left w:val="none" w:sz="0" w:space="0" w:color="000000"/>
                    <w:bottom w:val="none" w:sz="0" w:space="0" w:color="000000"/>
                    <w:right w:val="none" w:sz="0" w:space="0" w:color="000000"/>
                  </w:tcBorders>
                  <w:shd w:val="clear" w:color="auto" w:fill="EDEDED" w:themeFill="accent3" w:themeFillTint="33"/>
                  <w:vAlign w:val="center"/>
                </w:tcPr>
                <w:p w14:paraId="4AEC31F0"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B40EA5">
                    <w:rPr>
                      <w:rFonts w:eastAsia="Arial"/>
                      <w:color w:val="000000"/>
                      <w:sz w:val="20"/>
                      <w:szCs w:val="20"/>
                    </w:rPr>
                    <w:t>0.99923</w:t>
                  </w:r>
                </w:p>
              </w:tc>
              <w:tc>
                <w:tcPr>
                  <w:tcW w:w="1440" w:type="dxa"/>
                  <w:tcBorders>
                    <w:top w:val="none" w:sz="0" w:space="0" w:color="000000"/>
                    <w:left w:val="none" w:sz="0" w:space="0" w:color="000000"/>
                    <w:bottom w:val="none" w:sz="0" w:space="0" w:color="000000"/>
                    <w:right w:val="none" w:sz="0" w:space="0" w:color="000000"/>
                  </w:tcBorders>
                  <w:shd w:val="clear" w:color="auto" w:fill="EDEDED" w:themeFill="accent3" w:themeFillTint="33"/>
                </w:tcPr>
                <w:p w14:paraId="62449509"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B40EA5">
                    <w:rPr>
                      <w:rFonts w:eastAsia="Arial"/>
                      <w:color w:val="000000"/>
                      <w:sz w:val="20"/>
                      <w:szCs w:val="20"/>
                    </w:rPr>
                    <w:t>0.99923</w:t>
                  </w:r>
                </w:p>
              </w:tc>
              <w:tc>
                <w:tcPr>
                  <w:tcW w:w="1440" w:type="dxa"/>
                  <w:tcBorders>
                    <w:top w:val="none" w:sz="0" w:space="0" w:color="000000"/>
                    <w:left w:val="none" w:sz="0" w:space="0" w:color="000000"/>
                    <w:bottom w:val="none" w:sz="0" w:space="0" w:color="000000"/>
                    <w:right w:val="none" w:sz="0" w:space="0" w:color="000000"/>
                  </w:tcBorders>
                  <w:shd w:val="clear" w:color="auto" w:fill="EDEDED" w:themeFill="accent3" w:themeFillTint="33"/>
                  <w:vAlign w:val="center"/>
                </w:tcPr>
                <w:p w14:paraId="7C1653BB"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B40EA5">
                    <w:rPr>
                      <w:rFonts w:eastAsia="Arial"/>
                      <w:color w:val="000000"/>
                      <w:sz w:val="20"/>
                      <w:szCs w:val="20"/>
                    </w:rPr>
                    <w:t>0.99923</w:t>
                  </w:r>
                </w:p>
              </w:tc>
            </w:tr>
            <w:tr w:rsidR="0015375D" w:rsidRPr="00E23FB1" w14:paraId="66EC617F" w14:textId="77777777">
              <w:trPr>
                <w:trHeight w:val="89"/>
              </w:trPr>
              <w:tc>
                <w:tcPr>
                  <w:tcW w:w="1849" w:type="dxa"/>
                  <w:tcBorders>
                    <w:top w:val="none" w:sz="0" w:space="0" w:color="000000"/>
                    <w:left w:val="none" w:sz="0" w:space="0" w:color="000000"/>
                    <w:bottom w:val="single" w:sz="12" w:space="0" w:color="666666"/>
                    <w:right w:val="none" w:sz="0" w:space="0" w:color="000000"/>
                  </w:tcBorders>
                  <w:shd w:val="clear" w:color="auto" w:fill="EDEDED" w:themeFill="accent3" w:themeFillTint="33"/>
                  <w:tcMar>
                    <w:top w:w="0" w:type="dxa"/>
                    <w:left w:w="0" w:type="dxa"/>
                    <w:bottom w:w="0" w:type="dxa"/>
                    <w:right w:w="0" w:type="dxa"/>
                  </w:tcMar>
                  <w:vAlign w:val="center"/>
                </w:tcPr>
                <w:p w14:paraId="64F9317A"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rPr>
                      <w:sz w:val="20"/>
                      <w:szCs w:val="20"/>
                    </w:rPr>
                  </w:pPr>
                  <w:r w:rsidRPr="00B40EA5">
                    <w:rPr>
                      <w:rFonts w:eastAsia="Arial"/>
                      <w:color w:val="000000"/>
                      <w:sz w:val="20"/>
                      <w:szCs w:val="20"/>
                    </w:rPr>
                    <w:t>BIC</w:t>
                  </w:r>
                </w:p>
              </w:tc>
              <w:tc>
                <w:tcPr>
                  <w:tcW w:w="1446" w:type="dxa"/>
                  <w:tcBorders>
                    <w:top w:val="none" w:sz="0" w:space="0" w:color="000000"/>
                    <w:left w:val="none" w:sz="0" w:space="0" w:color="000000"/>
                    <w:bottom w:val="single" w:sz="12" w:space="0" w:color="666666"/>
                    <w:right w:val="none" w:sz="0" w:space="0" w:color="000000"/>
                  </w:tcBorders>
                  <w:shd w:val="clear" w:color="auto" w:fill="EDEDED" w:themeFill="accent3" w:themeFillTint="33"/>
                  <w:tcMar>
                    <w:top w:w="0" w:type="dxa"/>
                    <w:left w:w="0" w:type="dxa"/>
                    <w:bottom w:w="0" w:type="dxa"/>
                    <w:right w:w="0" w:type="dxa"/>
                  </w:tcMar>
                  <w:vAlign w:val="center"/>
                </w:tcPr>
                <w:p w14:paraId="46EC0F14"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sz w:val="20"/>
                      <w:szCs w:val="20"/>
                    </w:rPr>
                  </w:pPr>
                  <w:r w:rsidRPr="00B40EA5">
                    <w:rPr>
                      <w:rFonts w:eastAsia="Arial"/>
                      <w:color w:val="000000"/>
                      <w:sz w:val="20"/>
                      <w:szCs w:val="20"/>
                    </w:rPr>
                    <w:t>1.85 e</w:t>
                  </w:r>
                  <w:r w:rsidRPr="00B40EA5">
                    <w:rPr>
                      <w:rFonts w:eastAsia="Arial"/>
                      <w:color w:val="000000"/>
                      <w:sz w:val="20"/>
                      <w:szCs w:val="20"/>
                      <w:vertAlign w:val="superscript"/>
                    </w:rPr>
                    <w:t>11</w:t>
                  </w:r>
                </w:p>
              </w:tc>
              <w:tc>
                <w:tcPr>
                  <w:tcW w:w="1440" w:type="dxa"/>
                  <w:tcBorders>
                    <w:top w:val="none" w:sz="0" w:space="0" w:color="000000"/>
                    <w:left w:val="none" w:sz="0" w:space="0" w:color="000000"/>
                    <w:bottom w:val="single" w:sz="12" w:space="0" w:color="666666"/>
                    <w:right w:val="none" w:sz="0" w:space="0" w:color="000000"/>
                  </w:tcBorders>
                  <w:shd w:val="clear" w:color="auto" w:fill="EDEDED" w:themeFill="accent3" w:themeFillTint="33"/>
                </w:tcPr>
                <w:p w14:paraId="690B5279"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B40EA5">
                    <w:rPr>
                      <w:rFonts w:eastAsia="Arial"/>
                      <w:color w:val="000000"/>
                      <w:sz w:val="20"/>
                      <w:szCs w:val="20"/>
                    </w:rPr>
                    <w:t>1.84 e</w:t>
                  </w:r>
                  <w:r w:rsidRPr="00B40EA5">
                    <w:rPr>
                      <w:rFonts w:eastAsia="Arial"/>
                      <w:color w:val="000000"/>
                      <w:sz w:val="20"/>
                      <w:szCs w:val="20"/>
                      <w:vertAlign w:val="superscript"/>
                    </w:rPr>
                    <w:t>11</w:t>
                  </w:r>
                </w:p>
              </w:tc>
              <w:tc>
                <w:tcPr>
                  <w:tcW w:w="1440" w:type="dxa"/>
                  <w:tcBorders>
                    <w:top w:val="none" w:sz="0" w:space="0" w:color="000000"/>
                    <w:left w:val="none" w:sz="0" w:space="0" w:color="000000"/>
                    <w:bottom w:val="single" w:sz="12" w:space="0" w:color="666666"/>
                    <w:right w:val="none" w:sz="0" w:space="0" w:color="000000"/>
                  </w:tcBorders>
                  <w:shd w:val="clear" w:color="auto" w:fill="EDEDED" w:themeFill="accent3" w:themeFillTint="33"/>
                </w:tcPr>
                <w:p w14:paraId="7267CE7C"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B40EA5">
                    <w:rPr>
                      <w:rFonts w:eastAsia="Arial"/>
                      <w:color w:val="000000"/>
                      <w:sz w:val="20"/>
                      <w:szCs w:val="20"/>
                    </w:rPr>
                    <w:t>1.84 e</w:t>
                  </w:r>
                  <w:r w:rsidRPr="00B40EA5">
                    <w:rPr>
                      <w:rFonts w:eastAsia="Arial"/>
                      <w:color w:val="000000"/>
                      <w:sz w:val="20"/>
                      <w:szCs w:val="20"/>
                      <w:vertAlign w:val="superscript"/>
                    </w:rPr>
                    <w:t>11</w:t>
                  </w:r>
                </w:p>
              </w:tc>
              <w:tc>
                <w:tcPr>
                  <w:tcW w:w="1440" w:type="dxa"/>
                  <w:tcBorders>
                    <w:top w:val="none" w:sz="0" w:space="0" w:color="000000"/>
                    <w:left w:val="none" w:sz="0" w:space="0" w:color="000000"/>
                    <w:bottom w:val="single" w:sz="12" w:space="0" w:color="666666"/>
                    <w:right w:val="none" w:sz="0" w:space="0" w:color="000000"/>
                  </w:tcBorders>
                  <w:shd w:val="clear" w:color="auto" w:fill="EDEDED" w:themeFill="accent3" w:themeFillTint="33"/>
                </w:tcPr>
                <w:p w14:paraId="136965C8"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B40EA5">
                    <w:rPr>
                      <w:rFonts w:eastAsia="Arial"/>
                      <w:color w:val="000000"/>
                      <w:sz w:val="20"/>
                      <w:szCs w:val="20"/>
                    </w:rPr>
                    <w:t>1.84 e</w:t>
                  </w:r>
                  <w:r w:rsidRPr="00B40EA5">
                    <w:rPr>
                      <w:rFonts w:eastAsia="Arial"/>
                      <w:color w:val="000000"/>
                      <w:sz w:val="20"/>
                      <w:szCs w:val="20"/>
                      <w:vertAlign w:val="superscript"/>
                    </w:rPr>
                    <w:t>11</w:t>
                  </w:r>
                </w:p>
              </w:tc>
              <w:tc>
                <w:tcPr>
                  <w:tcW w:w="1440" w:type="dxa"/>
                  <w:tcBorders>
                    <w:top w:val="none" w:sz="0" w:space="0" w:color="000000"/>
                    <w:left w:val="none" w:sz="0" w:space="0" w:color="000000"/>
                    <w:bottom w:val="single" w:sz="12" w:space="0" w:color="666666"/>
                    <w:right w:val="none" w:sz="0" w:space="0" w:color="000000"/>
                  </w:tcBorders>
                  <w:shd w:val="clear" w:color="auto" w:fill="EDEDED" w:themeFill="accent3" w:themeFillTint="33"/>
                </w:tcPr>
                <w:p w14:paraId="4D727183"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B40EA5">
                    <w:rPr>
                      <w:rFonts w:eastAsia="Arial"/>
                      <w:color w:val="000000"/>
                      <w:sz w:val="20"/>
                      <w:szCs w:val="20"/>
                    </w:rPr>
                    <w:t>1.84 e</w:t>
                  </w:r>
                  <w:r w:rsidRPr="00B40EA5">
                    <w:rPr>
                      <w:rFonts w:eastAsia="Arial"/>
                      <w:color w:val="000000"/>
                      <w:sz w:val="20"/>
                      <w:szCs w:val="20"/>
                      <w:vertAlign w:val="superscript"/>
                    </w:rPr>
                    <w:t>11</w:t>
                  </w:r>
                </w:p>
              </w:tc>
              <w:tc>
                <w:tcPr>
                  <w:tcW w:w="1440" w:type="dxa"/>
                  <w:tcBorders>
                    <w:top w:val="none" w:sz="0" w:space="0" w:color="000000"/>
                    <w:left w:val="none" w:sz="0" w:space="0" w:color="000000"/>
                    <w:bottom w:val="single" w:sz="12" w:space="0" w:color="666666"/>
                    <w:right w:val="none" w:sz="0" w:space="0" w:color="000000"/>
                  </w:tcBorders>
                  <w:shd w:val="clear" w:color="auto" w:fill="EDEDED" w:themeFill="accent3" w:themeFillTint="33"/>
                </w:tcPr>
                <w:p w14:paraId="3A798FD9" w14:textId="77777777" w:rsidR="00A624F8" w:rsidRPr="00B40EA5" w:rsidRDefault="00A624F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olor w:val="000000"/>
                      <w:sz w:val="20"/>
                      <w:szCs w:val="20"/>
                    </w:rPr>
                  </w:pPr>
                  <w:r w:rsidRPr="00B40EA5">
                    <w:rPr>
                      <w:rFonts w:eastAsia="Arial"/>
                      <w:color w:val="000000"/>
                      <w:sz w:val="20"/>
                      <w:szCs w:val="20"/>
                    </w:rPr>
                    <w:t>1.84 e</w:t>
                  </w:r>
                  <w:r w:rsidRPr="00B40EA5">
                    <w:rPr>
                      <w:rFonts w:eastAsia="Arial"/>
                      <w:color w:val="000000"/>
                      <w:sz w:val="20"/>
                      <w:szCs w:val="20"/>
                      <w:vertAlign w:val="superscript"/>
                    </w:rPr>
                    <w:t>11</w:t>
                  </w:r>
                </w:p>
              </w:tc>
            </w:tr>
          </w:tbl>
          <w:p w14:paraId="0E46D46C" w14:textId="77777777" w:rsidR="00A624F8" w:rsidRDefault="00A624F8"/>
        </w:tc>
      </w:tr>
    </w:tbl>
    <w:p w14:paraId="68643C08" w14:textId="52B88ABD" w:rsidR="00A624F8" w:rsidRDefault="00B30736" w:rsidP="00A624F8">
      <w:pPr>
        <w:spacing w:after="0" w:line="240" w:lineRule="auto"/>
        <w:rPr>
          <w:sz w:val="16"/>
          <w:szCs w:val="16"/>
        </w:rPr>
      </w:pPr>
      <w:r w:rsidRPr="00B30736">
        <w:rPr>
          <w:sz w:val="16"/>
          <w:szCs w:val="16"/>
        </w:rPr>
        <w:t>Bảng này trình bày các ước lượng được suy ra từ mô hình lực hấp dẫn trong thương mại. Các hiệu cố định theo cặp nước xuất khẩu–nhập khẩu, theo nước xuất khẩu–năm và theo nước nhập khẩu–năm được đưa vào trong tất cả các đặc tả mô hình nhưng không được báo cáo nhằm đảm bảo tính súc tích. Sai số chuẩn được cụm hóa ở cấp độ cặp nước xuất khẩu–nhập khẩu và được trình bày trong dấu ngoặc đơn.</w:t>
      </w:r>
      <w:r>
        <w:rPr>
          <w:sz w:val="16"/>
          <w:szCs w:val="16"/>
        </w:rPr>
        <w:t xml:space="preserve"> </w:t>
      </w:r>
      <w:r w:rsidR="00A624F8" w:rsidRPr="00F73A56">
        <w:rPr>
          <w:sz w:val="16"/>
          <w:szCs w:val="16"/>
        </w:rPr>
        <w:t>* p &lt; 0.10, ** p &lt; 0.05, *** p &lt; 0.01</w:t>
      </w:r>
    </w:p>
    <w:p w14:paraId="05C108EA" w14:textId="5FEEDEB4" w:rsidR="007702D0" w:rsidRPr="007702D0" w:rsidRDefault="007702D0" w:rsidP="00A624F8">
      <w:pPr>
        <w:rPr>
          <w:lang w:val="vi-VN"/>
        </w:rPr>
      </w:pPr>
      <w:r w:rsidRPr="007702D0">
        <w:rPr>
          <w:lang w:val="vi-VN"/>
        </w:rPr>
        <w:t>Tác động ước tính từ nghiên cứu này (tăng 9,9% xuất khẩu) về cơ bản phù hợp với ước tính tác động của các biện pháp tạo thuận lợi thương mại tương tự</w:t>
      </w:r>
      <w:r>
        <w:rPr>
          <w:rStyle w:val="FootnoteReference"/>
        </w:rPr>
        <w:footnoteReference w:id="60"/>
      </w:r>
      <w:r w:rsidRPr="007702D0">
        <w:rPr>
          <w:lang w:val="vi-VN"/>
        </w:rPr>
        <w:t xml:space="preserve">. Mặc dù các biện pháp tạo thuận lợi thương mại bao gồm nhiều chính sách và quy trình rộng hơn ngoài việc hài hòa </w:t>
      </w:r>
      <w:r w:rsidR="00F873B7">
        <w:rPr>
          <w:lang w:val="vi-VN"/>
        </w:rPr>
        <w:t>TCTMS</w:t>
      </w:r>
      <w:r w:rsidRPr="007702D0">
        <w:rPr>
          <w:lang w:val="vi-VN"/>
        </w:rPr>
        <w:t xml:space="preserve">, nhưng hiện có rất ít nghiên cứu thực nghiệm về tác động kinh tế của việc hài hòa </w:t>
      </w:r>
      <w:r w:rsidR="00F873B7">
        <w:rPr>
          <w:lang w:val="vi-VN"/>
        </w:rPr>
        <w:t>TCTMS</w:t>
      </w:r>
      <w:r w:rsidRPr="007702D0">
        <w:rPr>
          <w:lang w:val="vi-VN"/>
        </w:rPr>
        <w:t xml:space="preserve"> một cách riêng lẻ. Do đó, để xác thực và đặt kết quả của chúng tôi trong bối cảnh nghiên cứu hiện có, chúng tôi so sánh kết quả với các nghiên cứu hiện có về các biện pháp tạo thuận lợi thương mại liên quan đến các lĩnh vực thương mại số mà việc hài hòa </w:t>
      </w:r>
      <w:r w:rsidR="00F873B7">
        <w:rPr>
          <w:lang w:val="vi-VN"/>
        </w:rPr>
        <w:t>TCTMS</w:t>
      </w:r>
      <w:r w:rsidRPr="007702D0">
        <w:rPr>
          <w:lang w:val="vi-VN"/>
        </w:rPr>
        <w:t xml:space="preserve"> đề cập đến trong Chương 3.</w:t>
      </w:r>
    </w:p>
    <w:p w14:paraId="42B70A47" w14:textId="166E42C5" w:rsidR="00A624F8" w:rsidRPr="00516087" w:rsidRDefault="007702D0" w:rsidP="00A624F8">
      <w:pPr>
        <w:spacing w:line="276" w:lineRule="auto"/>
      </w:pPr>
      <w:r w:rsidRPr="007702D0">
        <w:t xml:space="preserve">Về thương mại không dùng giấy tờ, một lĩnh vực trọng yếu của việc hài hòa </w:t>
      </w:r>
      <w:r w:rsidR="00F873B7">
        <w:t>TCTMS</w:t>
      </w:r>
      <w:r w:rsidRPr="007702D0">
        <w:t>, UNESCAP (2014) nhận thấy rằng việc giảm chi phí thương mại từ các cải cách thương mại không dùng giấy tờ một phần trên toàn khu vực có thể dẫn đến mức tăng xuất khẩu trung bình 9% cho khu vực Châu Á – Thái Bình Dương, trong khi các cải cách toàn diện có thể tăng xuất khẩu khoảng 15%</w:t>
      </w:r>
      <w:r w:rsidRPr="00516087">
        <w:rPr>
          <w:rStyle w:val="FootnoteReference"/>
        </w:rPr>
        <w:footnoteReference w:id="61"/>
      </w:r>
      <w:r w:rsidRPr="007702D0">
        <w:t xml:space="preserve">. Việc thực hiện đồng bộ các cải cách thương mại không dùng giấy tờ có liên quan trực tiếp đến các biện pháp tạo thuận lợi thương mại xuyên biên giới mà việc hài hòa </w:t>
      </w:r>
      <w:r w:rsidR="00F873B7">
        <w:t>TCTMS</w:t>
      </w:r>
      <w:r w:rsidRPr="007702D0">
        <w:t xml:space="preserve"> thúc đẩy, cho thấy kết quả của chúng tôi nằm trong giới hạn hợp lý.</w:t>
      </w:r>
      <w:r w:rsidR="00A624F8" w:rsidRPr="00516087">
        <w:t xml:space="preserve"> </w:t>
      </w:r>
    </w:p>
    <w:p w14:paraId="03122FD2" w14:textId="5D9451CF" w:rsidR="00A624F8" w:rsidRPr="007702D0" w:rsidRDefault="007702D0" w:rsidP="00A624F8">
      <w:pPr>
        <w:spacing w:line="276" w:lineRule="auto"/>
        <w:rPr>
          <w:lang w:val="vi-VN"/>
        </w:rPr>
      </w:pPr>
      <w:r w:rsidRPr="007702D0">
        <w:t>Liên quan đến thương mại điện tử, một lĩnh vực trọng yếu khác, González, Sorescu và Kaynak (2023) kết luận rằng việc ký một Hiệp định Thương mại Khu vực (RTA) có quy định về thương mại điện tử làm tăng tổng xuất khẩu lên 10,3% đối với các quốc gia có thu nhập cao và 16,9% đối với các nền kinh tế mới nổi, với tác động thay đổi tùy theo độ sâu của các quy định về thương mại điện tử</w:t>
      </w:r>
      <w:r w:rsidRPr="00516087">
        <w:rPr>
          <w:rStyle w:val="FootnoteReference"/>
        </w:rPr>
        <w:footnoteReference w:id="62"/>
      </w:r>
      <w:r>
        <w:rPr>
          <w:lang w:val="vi-VN"/>
        </w:rPr>
        <w:t>.</w:t>
      </w:r>
    </w:p>
    <w:p w14:paraId="6BC13F96" w14:textId="0029B308" w:rsidR="00A624F8" w:rsidRPr="00516087" w:rsidRDefault="00A53F21" w:rsidP="00A624F8">
      <w:pPr>
        <w:spacing w:line="276" w:lineRule="auto"/>
      </w:pPr>
      <w:r w:rsidRPr="00A53F21">
        <w:t xml:space="preserve">Về mặt tạo thuận lợi thương mại rộng hơn, các nghiên cứu về tác động của Chỉ số Tạo thuận lợi Thương mại (TFI) đối với thương mại có thể là một điểm so sánh tốt. TFI được lập dựa trên môi trường hải quan và quy định của một nền kinh tế và phản ánh mức độ tuân thủ các hiệp định thương mại cũng </w:t>
      </w:r>
      <w:r w:rsidRPr="00A53F21">
        <w:lastRenderedPageBreak/>
        <w:t>như khả năng thực thi các quy định. Hoekman và Nicita (2011) nhận thấy rằng việc cải thiện điểm TFI của các nền kinh tế thu nhập thấp lên mức trung bình của các nền kinh tế thu nhập trung bình làm tăng xuất khẩu trung bình 12,6%</w:t>
      </w:r>
      <w:r w:rsidRPr="00516087">
        <w:rPr>
          <w:rStyle w:val="FootnoteReference"/>
        </w:rPr>
        <w:footnoteReference w:id="63"/>
      </w:r>
      <w:r w:rsidRPr="00A53F21">
        <w:t xml:space="preserve">. Mặc dù TFI bao phủ nhiều lĩnh vực thương mại hơn chỉ việc hài hòa </w:t>
      </w:r>
      <w:r w:rsidR="00F873B7">
        <w:t>TCTMS</w:t>
      </w:r>
      <w:r w:rsidRPr="00A53F21">
        <w:t>, nhưng tác động tích cực từ việc cải thiện TFI đối với thương mại về cơ bản phù hợp với kết quả của chúng tôi.</w:t>
      </w:r>
    </w:p>
    <w:p w14:paraId="7EDC9E7B" w14:textId="1C50B704" w:rsidR="00A53F21" w:rsidRPr="00A53F21" w:rsidRDefault="00A53F21" w:rsidP="00A624F8">
      <w:pPr>
        <w:spacing w:line="276" w:lineRule="auto"/>
        <w:rPr>
          <w:lang w:val="vi-VN"/>
        </w:rPr>
      </w:pPr>
      <w:r w:rsidRPr="00A53F21">
        <w:rPr>
          <w:lang w:val="vi-VN"/>
        </w:rPr>
        <w:t xml:space="preserve">Tác động ước tính từ việc hài hòa </w:t>
      </w:r>
      <w:r w:rsidR="00F873B7">
        <w:rPr>
          <w:lang w:val="vi-VN"/>
        </w:rPr>
        <w:t>TCTMS</w:t>
      </w:r>
      <w:r w:rsidRPr="00A53F21">
        <w:rPr>
          <w:lang w:val="vi-VN"/>
        </w:rPr>
        <w:t xml:space="preserve"> nhất quán với các kết quả kỳ vọng từ các biện pháp tạo thuận lợi thương mại tương tự, mặc dù hiện có rất ít tài liệu trực tiếp đề cập đến việc hài hòa </w:t>
      </w:r>
      <w:r w:rsidR="00F873B7">
        <w:rPr>
          <w:lang w:val="vi-VN"/>
        </w:rPr>
        <w:t>TCTMS</w:t>
      </w:r>
      <w:r w:rsidRPr="00A53F21">
        <w:rPr>
          <w:lang w:val="vi-VN"/>
        </w:rPr>
        <w:t>.</w:t>
      </w:r>
    </w:p>
    <w:p w14:paraId="01282C92" w14:textId="4B646177" w:rsidR="00A624F8" w:rsidRPr="00516087" w:rsidRDefault="00DA6AE6" w:rsidP="00A624F8">
      <w:pPr>
        <w:pStyle w:val="Heading2"/>
        <w:rPr>
          <w:lang w:val="en-GB"/>
        </w:rPr>
      </w:pPr>
      <w:r>
        <w:rPr>
          <w:lang w:val="en-GB"/>
        </w:rPr>
        <w:t>L</w:t>
      </w:r>
      <w:r>
        <w:rPr>
          <w:lang w:val="vi-VN"/>
        </w:rPr>
        <w:t xml:space="preserve">ợi ích Kinh tế Tiềm năng cho ASEAN </w:t>
      </w:r>
    </w:p>
    <w:p w14:paraId="7D428007" w14:textId="0FBDFCFC" w:rsidR="00A624F8" w:rsidRPr="00DA6AE6" w:rsidRDefault="00DA6AE6" w:rsidP="00A624F8">
      <w:pPr>
        <w:rPr>
          <w:lang w:val="vi-VN"/>
        </w:rPr>
      </w:pPr>
      <w:r>
        <w:t>Nếu</w:t>
      </w:r>
      <w:r>
        <w:rPr>
          <w:lang w:val="vi-VN"/>
        </w:rPr>
        <w:t xml:space="preserve"> ASEAN đạt được mức độ hài hòa tương tự như trong nghiên cứu – tức mức tăng 9,9% trong xuất khẩu, thì các lợi ích kinh tế tiềm năng sẽ rất đáng kể (Hình 3):</w:t>
      </w:r>
    </w:p>
    <w:p w14:paraId="1CDF3361" w14:textId="59567DCC" w:rsidR="00DA6AE6" w:rsidRPr="00516087" w:rsidRDefault="00DA6AE6" w:rsidP="00FF6387">
      <w:pPr>
        <w:numPr>
          <w:ilvl w:val="0"/>
          <w:numId w:val="35"/>
        </w:numPr>
      </w:pPr>
      <w:r>
        <w:rPr>
          <w:b/>
          <w:lang w:val="vi-VN"/>
        </w:rPr>
        <w:t xml:space="preserve">Đóng góp kinh tế: </w:t>
      </w:r>
      <w:r w:rsidRPr="00575795">
        <w:rPr>
          <w:b/>
          <w:lang w:val="vi-VN"/>
        </w:rPr>
        <w:t>Lên tới 158 tỷ USD (tương đương 4,5% tổng GDP của các nước thành viên ASEAN)</w:t>
      </w:r>
      <w:r>
        <w:rPr>
          <w:bCs/>
          <w:lang w:val="vi-VN"/>
        </w:rPr>
        <w:t xml:space="preserve"> có thể được bổ sung vào nền kinh tế thông qua gia tăng sản xuất trong nước và chi tiêu tiêu dùng bắt nguồn từ thu nhập tăng thêm của người lao động.</w:t>
      </w:r>
    </w:p>
    <w:p w14:paraId="0A9F53CC" w14:textId="65EBF10A" w:rsidR="00575795" w:rsidRPr="00516087" w:rsidRDefault="00575795" w:rsidP="00FF6387">
      <w:pPr>
        <w:numPr>
          <w:ilvl w:val="0"/>
          <w:numId w:val="35"/>
        </w:numPr>
      </w:pPr>
      <w:r>
        <w:rPr>
          <w:b/>
          <w:lang w:val="vi-VN"/>
        </w:rPr>
        <w:t xml:space="preserve">Việc làm được hỗ trợ: </w:t>
      </w:r>
      <w:r>
        <w:rPr>
          <w:bCs/>
          <w:lang w:val="vi-VN"/>
        </w:rPr>
        <w:t>Hoạt động kinh tế này có thể hỗ trợ gần 10 triệu việc làm trên toàn các nền kinh tế ASEAN (được đo bằng số tương đương toàn thời gian – FTEs)</w:t>
      </w:r>
    </w:p>
    <w:p w14:paraId="4252EDBB" w14:textId="448E1E36" w:rsidR="00A624F8" w:rsidRPr="00575795" w:rsidRDefault="00575795" w:rsidP="00A624F8">
      <w:pPr>
        <w:pStyle w:val="Subtitle"/>
        <w:rPr>
          <w:rFonts w:ascii="Arial" w:hAnsi="Arial" w:cs="Arial"/>
          <w:b/>
          <w:sz w:val="24"/>
          <w:szCs w:val="24"/>
          <w:lang w:val="vi-VN"/>
        </w:rPr>
      </w:pPr>
      <w:r>
        <w:rPr>
          <w:rFonts w:ascii="Arial" w:hAnsi="Arial" w:cs="Arial"/>
          <w:b/>
          <w:color w:val="auto"/>
          <w:sz w:val="24"/>
          <w:szCs w:val="24"/>
        </w:rPr>
        <w:t>Hình</w:t>
      </w:r>
      <w:r w:rsidR="16892429" w:rsidRPr="00516087">
        <w:rPr>
          <w:rFonts w:ascii="Arial" w:hAnsi="Arial" w:cs="Arial"/>
          <w:b/>
          <w:color w:val="auto"/>
          <w:sz w:val="24"/>
          <w:szCs w:val="24"/>
        </w:rPr>
        <w:t xml:space="preserve"> </w:t>
      </w:r>
      <w:r w:rsidR="00940E2B" w:rsidRPr="00516087">
        <w:rPr>
          <w:rFonts w:ascii="Arial" w:hAnsi="Arial" w:cs="Arial"/>
          <w:b/>
          <w:color w:val="auto"/>
          <w:sz w:val="24"/>
          <w:szCs w:val="24"/>
        </w:rPr>
        <w:t>3</w:t>
      </w:r>
      <w:r w:rsidR="16892429" w:rsidRPr="00516087">
        <w:rPr>
          <w:rFonts w:ascii="Arial" w:hAnsi="Arial" w:cs="Arial"/>
          <w:b/>
          <w:color w:val="auto"/>
          <w:sz w:val="24"/>
          <w:szCs w:val="24"/>
        </w:rPr>
        <w:t xml:space="preserve">. </w:t>
      </w:r>
      <w:r>
        <w:rPr>
          <w:rFonts w:ascii="Arial" w:hAnsi="Arial" w:cs="Arial"/>
          <w:b/>
          <w:color w:val="auto"/>
          <w:sz w:val="24"/>
          <w:szCs w:val="24"/>
        </w:rPr>
        <w:t>Lợi</w:t>
      </w:r>
      <w:r>
        <w:rPr>
          <w:rFonts w:ascii="Arial" w:hAnsi="Arial" w:cs="Arial"/>
          <w:b/>
          <w:color w:val="auto"/>
          <w:sz w:val="24"/>
          <w:szCs w:val="24"/>
          <w:lang w:val="vi-VN"/>
        </w:rPr>
        <w:t xml:space="preserve"> ích Kinh tế Tiềm năng từ việc Hài hòa </w:t>
      </w:r>
      <w:r w:rsidR="00F873B7">
        <w:rPr>
          <w:rFonts w:ascii="Arial" w:hAnsi="Arial" w:cs="Arial"/>
          <w:b/>
          <w:color w:val="auto"/>
          <w:sz w:val="24"/>
          <w:szCs w:val="24"/>
          <w:lang w:val="vi-VN"/>
        </w:rPr>
        <w:t>TCTMS</w:t>
      </w:r>
      <w:r>
        <w:rPr>
          <w:rFonts w:ascii="Arial" w:hAnsi="Arial" w:cs="Arial"/>
          <w:b/>
          <w:color w:val="auto"/>
          <w:sz w:val="24"/>
          <w:szCs w:val="24"/>
          <w:lang w:val="vi-VN"/>
        </w:rPr>
        <w:t xml:space="preserve"> trong </w:t>
      </w:r>
      <w:r w:rsidR="005C0C57">
        <w:rPr>
          <w:rFonts w:ascii="Arial" w:hAnsi="Arial" w:cs="Arial"/>
          <w:b/>
          <w:color w:val="auto"/>
          <w:sz w:val="24"/>
          <w:szCs w:val="24"/>
          <w:lang w:val="vi-VN"/>
        </w:rPr>
        <w:t>ASEAN</w:t>
      </w:r>
    </w:p>
    <w:tbl>
      <w:tblPr>
        <w:tblStyle w:val="TableGrid"/>
        <w:tblW w:w="0" w:type="auto"/>
        <w:tblInd w:w="-5" w:type="dxa"/>
        <w:tblLook w:val="04A0" w:firstRow="1" w:lastRow="0" w:firstColumn="1" w:lastColumn="0" w:noHBand="0" w:noVBand="1"/>
      </w:tblPr>
      <w:tblGrid>
        <w:gridCol w:w="1980"/>
        <w:gridCol w:w="4252"/>
        <w:gridCol w:w="1861"/>
        <w:gridCol w:w="2697"/>
      </w:tblGrid>
      <w:tr w:rsidR="00223C11" w14:paraId="587256D9" w14:textId="77777777" w:rsidTr="001F0999">
        <w:tc>
          <w:tcPr>
            <w:tcW w:w="10790" w:type="dxa"/>
            <w:gridSpan w:val="4"/>
          </w:tcPr>
          <w:p w14:paraId="53920C57" w14:textId="0529A1A1" w:rsidR="00223C11" w:rsidRDefault="00223C11" w:rsidP="00A624F8">
            <w:pPr>
              <w:rPr>
                <w:rFonts w:eastAsia="DengXian"/>
                <w:lang w:val="en-US"/>
              </w:rPr>
            </w:pPr>
            <w:r w:rsidRPr="00223C11">
              <w:rPr>
                <w:rFonts w:eastAsia="DengXian"/>
                <w:lang w:val="en-US"/>
              </w:rPr>
              <w:t>Việc hài hòa Tiêu chuẩn Thương mại Số (</w:t>
            </w:r>
            <w:r w:rsidR="00F873B7">
              <w:rPr>
                <w:rFonts w:eastAsia="DengXian"/>
                <w:lang w:val="en-US"/>
              </w:rPr>
              <w:t>TCTMS</w:t>
            </w:r>
            <w:r w:rsidRPr="00223C11">
              <w:rPr>
                <w:rFonts w:eastAsia="DengXian"/>
                <w:lang w:val="en-US"/>
              </w:rPr>
              <w:t>) có thể đóng góp 158 tỷ USD giá trị gia tăng cho GDP khu vực (~4,5%) và hỗ trợ gần 10 triệu việc làm tại ASEAN</w:t>
            </w:r>
          </w:p>
          <w:p w14:paraId="3AAB4B3E" w14:textId="551260B0" w:rsidR="00223C11" w:rsidRPr="00223C11" w:rsidRDefault="00223C11" w:rsidP="00A624F8">
            <w:pPr>
              <w:rPr>
                <w:rFonts w:eastAsia="DengXian"/>
                <w:sz w:val="18"/>
                <w:szCs w:val="18"/>
                <w:lang w:val="en-US"/>
              </w:rPr>
            </w:pPr>
            <w:r w:rsidRPr="00223C11">
              <w:rPr>
                <w:rFonts w:eastAsia="DengXian"/>
                <w:sz w:val="18"/>
                <w:szCs w:val="18"/>
                <w:lang w:val="en-US"/>
              </w:rPr>
              <w:t xml:space="preserve">Phân tách tác động về giá trị gia tăng và việc làm từ việc hài hòa </w:t>
            </w:r>
            <w:r w:rsidR="00F873B7">
              <w:rPr>
                <w:rFonts w:eastAsia="DengXian"/>
                <w:sz w:val="18"/>
                <w:szCs w:val="18"/>
                <w:lang w:val="en-US"/>
              </w:rPr>
              <w:t>TCTMS</w:t>
            </w:r>
          </w:p>
        </w:tc>
      </w:tr>
      <w:tr w:rsidR="00223C11" w14:paraId="5AE55A00" w14:textId="77777777" w:rsidTr="001F0999">
        <w:tc>
          <w:tcPr>
            <w:tcW w:w="1980" w:type="dxa"/>
          </w:tcPr>
          <w:p w14:paraId="357AAE0E" w14:textId="2DF0BC3B" w:rsidR="00223C11" w:rsidRPr="007922CD" w:rsidRDefault="00223C11" w:rsidP="00A624F8">
            <w:pPr>
              <w:rPr>
                <w:rFonts w:eastAsia="DengXian"/>
                <w:b/>
                <w:bCs/>
                <w:lang w:val="en-US"/>
              </w:rPr>
            </w:pPr>
            <w:r w:rsidRPr="007922CD">
              <w:rPr>
                <w:rFonts w:eastAsia="DengXian"/>
                <w:b/>
                <w:bCs/>
                <w:lang w:val="en-US"/>
              </w:rPr>
              <w:t>Loại tác động</w:t>
            </w:r>
          </w:p>
        </w:tc>
        <w:tc>
          <w:tcPr>
            <w:tcW w:w="4252" w:type="dxa"/>
          </w:tcPr>
          <w:p w14:paraId="3E742627" w14:textId="7DDFD4A7" w:rsidR="00223C11" w:rsidRPr="007922CD" w:rsidRDefault="007922CD" w:rsidP="00A624F8">
            <w:pPr>
              <w:rPr>
                <w:rFonts w:eastAsia="DengXian"/>
                <w:b/>
                <w:bCs/>
                <w:lang w:val="en-US"/>
              </w:rPr>
            </w:pPr>
            <w:r w:rsidRPr="007922CD">
              <w:rPr>
                <w:rFonts w:eastAsia="DengXian"/>
                <w:b/>
                <w:bCs/>
                <w:lang w:val="en-US"/>
              </w:rPr>
              <w:t>Mô tả</w:t>
            </w:r>
          </w:p>
        </w:tc>
        <w:tc>
          <w:tcPr>
            <w:tcW w:w="1861" w:type="dxa"/>
          </w:tcPr>
          <w:p w14:paraId="39C5F06D" w14:textId="0F7BDB57" w:rsidR="00223C11" w:rsidRPr="007922CD" w:rsidRDefault="007922CD" w:rsidP="00A624F8">
            <w:pPr>
              <w:rPr>
                <w:rFonts w:eastAsia="DengXian"/>
                <w:b/>
                <w:bCs/>
                <w:lang w:val="en-US"/>
              </w:rPr>
            </w:pPr>
            <w:r w:rsidRPr="007922CD">
              <w:rPr>
                <w:rFonts w:eastAsia="DengXian"/>
                <w:b/>
                <w:bCs/>
                <w:lang w:val="en-US"/>
              </w:rPr>
              <w:t>Giá trị gia tăng</w:t>
            </w:r>
          </w:p>
        </w:tc>
        <w:tc>
          <w:tcPr>
            <w:tcW w:w="2697" w:type="dxa"/>
          </w:tcPr>
          <w:p w14:paraId="08E8828F" w14:textId="058ED71F" w:rsidR="00223C11" w:rsidRPr="007922CD" w:rsidRDefault="007922CD" w:rsidP="00A624F8">
            <w:pPr>
              <w:rPr>
                <w:rFonts w:eastAsia="DengXian"/>
                <w:b/>
                <w:bCs/>
                <w:lang w:val="en-US"/>
              </w:rPr>
            </w:pPr>
            <w:r w:rsidRPr="007922CD">
              <w:rPr>
                <w:rFonts w:eastAsia="DengXian"/>
                <w:b/>
                <w:bCs/>
                <w:lang w:val="en-US"/>
              </w:rPr>
              <w:t>Việc làm</w:t>
            </w:r>
          </w:p>
        </w:tc>
      </w:tr>
      <w:tr w:rsidR="00223C11" w14:paraId="7B8CD1AC" w14:textId="77777777" w:rsidTr="001F0999">
        <w:tc>
          <w:tcPr>
            <w:tcW w:w="1980" w:type="dxa"/>
          </w:tcPr>
          <w:p w14:paraId="2BBA98BA" w14:textId="13A66949" w:rsidR="00223C11" w:rsidRDefault="007922CD" w:rsidP="00A624F8">
            <w:pPr>
              <w:rPr>
                <w:rFonts w:eastAsia="DengXian"/>
                <w:lang w:val="en-US"/>
              </w:rPr>
            </w:pPr>
            <w:r w:rsidRPr="007922CD">
              <w:rPr>
                <w:rFonts w:eastAsia="DengXian"/>
                <w:lang w:val="en-US"/>
              </w:rPr>
              <w:t>TÁC ĐỘNG TRỰC TIẾP</w:t>
            </w:r>
          </w:p>
        </w:tc>
        <w:tc>
          <w:tcPr>
            <w:tcW w:w="4252" w:type="dxa"/>
          </w:tcPr>
          <w:p w14:paraId="3081F289" w14:textId="0A2CD152" w:rsidR="00223C11" w:rsidRDefault="007922CD" w:rsidP="007922CD">
            <w:pPr>
              <w:rPr>
                <w:rFonts w:eastAsia="DengXian"/>
                <w:lang w:val="en-US"/>
              </w:rPr>
            </w:pPr>
            <w:r w:rsidRPr="007922CD">
              <w:rPr>
                <w:rFonts w:eastAsia="DengXian"/>
                <w:lang w:val="en-US"/>
              </w:rPr>
              <w:t>Giá trị gia tăng từ các hoạt động sản xuất do các ngành thực hiện nhằm tạo ra hàng hóa và dịch vụ được xuất khẩu</w:t>
            </w:r>
          </w:p>
        </w:tc>
        <w:tc>
          <w:tcPr>
            <w:tcW w:w="1861" w:type="dxa"/>
          </w:tcPr>
          <w:p w14:paraId="55E9B8C7" w14:textId="268B2E63" w:rsidR="00223C11" w:rsidRDefault="00EC14A3" w:rsidP="00A624F8">
            <w:pPr>
              <w:rPr>
                <w:rFonts w:eastAsia="DengXian"/>
                <w:lang w:val="en-US"/>
              </w:rPr>
            </w:pPr>
            <w:r w:rsidRPr="00EC14A3">
              <w:rPr>
                <w:rFonts w:eastAsia="DengXian"/>
                <w:lang w:val="en-US"/>
              </w:rPr>
              <w:t>59 tỷ USD</w:t>
            </w:r>
          </w:p>
        </w:tc>
        <w:tc>
          <w:tcPr>
            <w:tcW w:w="2697" w:type="dxa"/>
          </w:tcPr>
          <w:p w14:paraId="044238E1" w14:textId="480E0066" w:rsidR="00223C11" w:rsidRDefault="00EC14A3" w:rsidP="00A624F8">
            <w:pPr>
              <w:rPr>
                <w:rFonts w:eastAsia="DengXian"/>
                <w:lang w:val="en-US"/>
              </w:rPr>
            </w:pPr>
            <w:r w:rsidRPr="00EC14A3">
              <w:rPr>
                <w:rFonts w:eastAsia="DengXian"/>
                <w:lang w:val="en-US"/>
              </w:rPr>
              <w:t>3,5 triệu việc làm</w:t>
            </w:r>
          </w:p>
        </w:tc>
      </w:tr>
      <w:tr w:rsidR="00223C11" w14:paraId="38B397B5" w14:textId="77777777" w:rsidTr="001F0999">
        <w:tc>
          <w:tcPr>
            <w:tcW w:w="1980" w:type="dxa"/>
          </w:tcPr>
          <w:p w14:paraId="6454ADB1" w14:textId="57FCBD5B" w:rsidR="00223C11" w:rsidRDefault="007922CD" w:rsidP="007922CD">
            <w:pPr>
              <w:rPr>
                <w:rFonts w:eastAsia="DengXian"/>
                <w:lang w:val="en-US"/>
              </w:rPr>
            </w:pPr>
            <w:r w:rsidRPr="007922CD">
              <w:rPr>
                <w:rFonts w:eastAsia="DengXian"/>
                <w:lang w:val="en-US"/>
              </w:rPr>
              <w:t>TÁC ĐỘNG GIÁN TIẾP</w:t>
            </w:r>
          </w:p>
        </w:tc>
        <w:tc>
          <w:tcPr>
            <w:tcW w:w="4252" w:type="dxa"/>
          </w:tcPr>
          <w:p w14:paraId="1F984308" w14:textId="75FFFFB2" w:rsidR="00223C11" w:rsidRDefault="007922CD" w:rsidP="00A624F8">
            <w:pPr>
              <w:rPr>
                <w:rFonts w:eastAsia="DengXian"/>
                <w:lang w:val="en-US"/>
              </w:rPr>
            </w:pPr>
            <w:r w:rsidRPr="007922CD">
              <w:rPr>
                <w:rFonts w:eastAsia="DengXian"/>
                <w:lang w:val="en-US"/>
              </w:rPr>
              <w:t>Giá trị gia tăng từ các hoạt động sản xuất của các ngành và chuỗi cung ứng của họ, bao gồm các vòng đầu vào được tạo ra</w:t>
            </w:r>
          </w:p>
        </w:tc>
        <w:tc>
          <w:tcPr>
            <w:tcW w:w="1861" w:type="dxa"/>
          </w:tcPr>
          <w:p w14:paraId="171AED8C" w14:textId="692C8E4D" w:rsidR="00223C11" w:rsidRDefault="00EC14A3" w:rsidP="00A624F8">
            <w:pPr>
              <w:rPr>
                <w:rFonts w:eastAsia="DengXian"/>
                <w:lang w:val="en-US"/>
              </w:rPr>
            </w:pPr>
            <w:r w:rsidRPr="00EC14A3">
              <w:rPr>
                <w:rFonts w:eastAsia="DengXian"/>
                <w:lang w:val="en-US"/>
              </w:rPr>
              <w:t>34 tỷ USD</w:t>
            </w:r>
          </w:p>
        </w:tc>
        <w:tc>
          <w:tcPr>
            <w:tcW w:w="2697" w:type="dxa"/>
          </w:tcPr>
          <w:p w14:paraId="2F505AAE" w14:textId="0FA72C4D" w:rsidR="00223C11" w:rsidRDefault="00EC14A3" w:rsidP="00A624F8">
            <w:pPr>
              <w:rPr>
                <w:rFonts w:eastAsia="DengXian"/>
                <w:lang w:val="en-US"/>
              </w:rPr>
            </w:pPr>
            <w:r w:rsidRPr="00EC14A3">
              <w:rPr>
                <w:rFonts w:eastAsia="DengXian"/>
                <w:lang w:val="en-US"/>
              </w:rPr>
              <w:t>2,3 triệu việc làm</w:t>
            </w:r>
          </w:p>
        </w:tc>
      </w:tr>
      <w:tr w:rsidR="00223C11" w14:paraId="4684F126" w14:textId="77777777" w:rsidTr="001F0999">
        <w:tc>
          <w:tcPr>
            <w:tcW w:w="1980" w:type="dxa"/>
          </w:tcPr>
          <w:p w14:paraId="5CCFD411" w14:textId="45795FF2" w:rsidR="00223C11" w:rsidRDefault="007922CD" w:rsidP="00A624F8">
            <w:pPr>
              <w:rPr>
                <w:rFonts w:eastAsia="DengXian"/>
                <w:lang w:val="en-US"/>
              </w:rPr>
            </w:pPr>
            <w:r w:rsidRPr="007922CD">
              <w:rPr>
                <w:rFonts w:eastAsia="DengXian"/>
                <w:lang w:val="en-US"/>
              </w:rPr>
              <w:t>TÁC ĐỘNG CẢM ỨNG</w:t>
            </w:r>
          </w:p>
        </w:tc>
        <w:tc>
          <w:tcPr>
            <w:tcW w:w="4252" w:type="dxa"/>
          </w:tcPr>
          <w:p w14:paraId="2C077DCC" w14:textId="5DC2BC30" w:rsidR="00223C11" w:rsidRDefault="007922CD" w:rsidP="007922CD">
            <w:pPr>
              <w:rPr>
                <w:rFonts w:eastAsia="DengXian"/>
                <w:lang w:val="en-US"/>
              </w:rPr>
            </w:pPr>
            <w:r w:rsidRPr="007922CD">
              <w:rPr>
                <w:rFonts w:eastAsia="DengXian"/>
                <w:lang w:val="en-US"/>
              </w:rPr>
              <w:t>Giá trị gia tăng từ người lao động trong các ngành có mức chi tiêu tăng lên khi thu nhập của họ gia tăng, lan tỏa trong toàn bộ nền kinh tế</w:t>
            </w:r>
          </w:p>
        </w:tc>
        <w:tc>
          <w:tcPr>
            <w:tcW w:w="1861" w:type="dxa"/>
          </w:tcPr>
          <w:p w14:paraId="4D94DEEF" w14:textId="764887DA" w:rsidR="00223C11" w:rsidRDefault="00EC14A3" w:rsidP="00A624F8">
            <w:pPr>
              <w:rPr>
                <w:rFonts w:eastAsia="DengXian"/>
                <w:lang w:val="en-US"/>
              </w:rPr>
            </w:pPr>
            <w:r w:rsidRPr="00EC14A3">
              <w:rPr>
                <w:rFonts w:eastAsia="DengXian"/>
                <w:lang w:val="en-US"/>
              </w:rPr>
              <w:t>65 tỷ USD</w:t>
            </w:r>
          </w:p>
        </w:tc>
        <w:tc>
          <w:tcPr>
            <w:tcW w:w="2697" w:type="dxa"/>
          </w:tcPr>
          <w:p w14:paraId="3671CAFC" w14:textId="2F9E62ED" w:rsidR="00223C11" w:rsidRDefault="00EC14A3" w:rsidP="00A624F8">
            <w:pPr>
              <w:rPr>
                <w:rFonts w:eastAsia="DengXian"/>
                <w:lang w:val="en-US"/>
              </w:rPr>
            </w:pPr>
            <w:r w:rsidRPr="00EC14A3">
              <w:rPr>
                <w:rFonts w:eastAsia="DengXian"/>
                <w:lang w:val="en-US"/>
              </w:rPr>
              <w:t>4,1 triệu việc làm</w:t>
            </w:r>
          </w:p>
        </w:tc>
      </w:tr>
      <w:tr w:rsidR="001F0999" w14:paraId="291E854A" w14:textId="77777777" w:rsidTr="001F0999">
        <w:tblPrEx>
          <w:tblBorders>
            <w:left w:val="none" w:sz="0" w:space="0" w:color="auto"/>
            <w:right w:val="none" w:sz="0" w:space="0" w:color="auto"/>
          </w:tblBorders>
        </w:tblPrEx>
        <w:tc>
          <w:tcPr>
            <w:tcW w:w="10790" w:type="dxa"/>
            <w:gridSpan w:val="4"/>
          </w:tcPr>
          <w:p w14:paraId="108A6A59" w14:textId="77777777" w:rsidR="001F0999" w:rsidRPr="00516087" w:rsidRDefault="001F0999" w:rsidP="002220DD"/>
        </w:tc>
      </w:tr>
    </w:tbl>
    <w:p w14:paraId="12EC4120" w14:textId="77777777" w:rsidR="001F0999" w:rsidRPr="005360F7" w:rsidRDefault="001F0999" w:rsidP="001F0999">
      <w:pPr>
        <w:spacing w:after="0" w:line="240" w:lineRule="auto"/>
        <w:rPr>
          <w:sz w:val="16"/>
          <w:szCs w:val="16"/>
          <w:lang w:val="vi-VN"/>
        </w:rPr>
      </w:pPr>
      <w:r>
        <w:rPr>
          <w:sz w:val="16"/>
          <w:szCs w:val="16"/>
        </w:rPr>
        <w:t>Ghi</w:t>
      </w:r>
      <w:r>
        <w:rPr>
          <w:sz w:val="16"/>
          <w:szCs w:val="16"/>
          <w:lang w:val="vi-VN"/>
        </w:rPr>
        <w:t xml:space="preserve"> chú:</w:t>
      </w:r>
    </w:p>
    <w:p w14:paraId="0C8B28EB" w14:textId="77777777" w:rsidR="001F0999" w:rsidRPr="00516087" w:rsidRDefault="001F0999" w:rsidP="001F0999">
      <w:pPr>
        <w:pStyle w:val="ListParagraph"/>
        <w:numPr>
          <w:ilvl w:val="0"/>
          <w:numId w:val="36"/>
        </w:numPr>
        <w:spacing w:before="0" w:after="0" w:line="240" w:lineRule="auto"/>
        <w:rPr>
          <w:rFonts w:ascii="Arial" w:hAnsi="Arial"/>
          <w:sz w:val="16"/>
          <w:szCs w:val="16"/>
          <w:lang w:val="en-GB"/>
        </w:rPr>
      </w:pPr>
      <w:r>
        <w:rPr>
          <w:rFonts w:ascii="Arial" w:hAnsi="Arial"/>
          <w:sz w:val="16"/>
          <w:szCs w:val="16"/>
          <w:lang w:val="en-GB"/>
        </w:rPr>
        <w:t>Myanmar</w:t>
      </w:r>
      <w:r>
        <w:rPr>
          <w:rFonts w:ascii="Arial" w:hAnsi="Arial"/>
          <w:sz w:val="16"/>
          <w:szCs w:val="16"/>
          <w:lang w:val="vi-VN"/>
        </w:rPr>
        <w:t xml:space="preserve"> và Lào đã bị loại khỏi phân tích; quốc gia thứ nhất không công bố các bảng cung – sử dụng và bảng đầu vào – đầu ra chính thức, trong khi bảng cung- sử dụng của quốc gia thứ hai không bao gồm dữ liệu về thù lao cho người lao động.</w:t>
      </w:r>
    </w:p>
    <w:p w14:paraId="51AD6D00" w14:textId="77777777" w:rsidR="001F0999" w:rsidRPr="00516087" w:rsidRDefault="001F0999" w:rsidP="001F0999">
      <w:pPr>
        <w:pStyle w:val="ListParagraph"/>
        <w:numPr>
          <w:ilvl w:val="0"/>
          <w:numId w:val="36"/>
        </w:numPr>
        <w:spacing w:before="0" w:after="0" w:line="240" w:lineRule="auto"/>
        <w:rPr>
          <w:rFonts w:ascii="Arial" w:hAnsi="Arial"/>
          <w:sz w:val="16"/>
          <w:szCs w:val="16"/>
          <w:lang w:val="en-GB"/>
        </w:rPr>
      </w:pPr>
      <w:r>
        <w:rPr>
          <w:rFonts w:ascii="Arial" w:hAnsi="Arial"/>
          <w:sz w:val="16"/>
          <w:szCs w:val="16"/>
          <w:lang w:val="en-GB"/>
        </w:rPr>
        <w:t>Nghiên</w:t>
      </w:r>
      <w:r>
        <w:rPr>
          <w:rFonts w:ascii="Arial" w:hAnsi="Arial"/>
          <w:sz w:val="16"/>
          <w:szCs w:val="16"/>
          <w:lang w:val="vi-VN"/>
        </w:rPr>
        <w:t xml:space="preserve"> cứu ngày sử dụng các điều khoản thương mại số đã được phê chuẩn và đang có hiệu lực với mức độ cam kết mạnh nhất làm thước đo cho mức độ hài hòa TCTMS, ví dụ: “Áp dụng, đối với các hệ thống thanh toán điện tử liên quan, các tiêu chuẩn quốc tế về thông điệp thanh toán điện tử như Bộ Tiêu chuẩn Thông điệp ngành Tài chính Toàn cầu ISO 20022, cho trao đổi dữ liệu điện tử giữa các tổ chức tài chính và </w:t>
      </w:r>
      <w:r>
        <w:rPr>
          <w:rFonts w:ascii="Arial" w:hAnsi="Arial"/>
          <w:sz w:val="16"/>
          <w:szCs w:val="16"/>
          <w:lang w:val="vi-VN"/>
        </w:rPr>
        <w:lastRenderedPageBreak/>
        <w:t>nhà cung cấp dịch vụ, nhằm tăng cường khả năng tương tác giữa các hệ thống thanh toán điện tử” so với một điều khoản yếu hơn “Mỗi bên sẽ khuyến khích việc sử dụng các hệ thống thanh toán điện tử an toàn, bảo mật, hiệu quả và có khả năng tương tác nhằm tạo thuận lợi cho thương mại điện tử phù hợp với luật pháp và quy định của mình”.</w:t>
      </w:r>
    </w:p>
    <w:p w14:paraId="2CE214B7" w14:textId="053B8A98" w:rsidR="00223C11" w:rsidRDefault="001F0999" w:rsidP="001F0999">
      <w:pPr>
        <w:rPr>
          <w:rFonts w:eastAsia="DengXian"/>
          <w:lang w:val="en-US"/>
        </w:rPr>
      </w:pPr>
      <w:r>
        <w:rPr>
          <w:i/>
          <w:iCs/>
          <w:sz w:val="16"/>
          <w:szCs w:val="16"/>
        </w:rPr>
        <w:t>Nguồn</w:t>
      </w:r>
      <w:r w:rsidRPr="00734659">
        <w:rPr>
          <w:i/>
          <w:sz w:val="16"/>
          <w:szCs w:val="16"/>
        </w:rPr>
        <w:t xml:space="preserve">: </w:t>
      </w:r>
      <w:r>
        <w:rPr>
          <w:i/>
          <w:sz w:val="16"/>
          <w:szCs w:val="16"/>
        </w:rPr>
        <w:t>Phân tích của Access Partnership</w:t>
      </w:r>
    </w:p>
    <w:p w14:paraId="0A6AA334" w14:textId="1F97286A" w:rsidR="004857F6" w:rsidRDefault="004857F6" w:rsidP="00A624F8">
      <w:pPr>
        <w:rPr>
          <w:rFonts w:eastAsia="DengXian"/>
          <w:lang w:val="vi-VN"/>
        </w:rPr>
      </w:pPr>
      <w:r>
        <w:rPr>
          <w:rFonts w:eastAsia="DengXian"/>
          <w:lang w:val="vi-VN"/>
        </w:rPr>
        <w:t xml:space="preserve">Những ước tính này nhấn mạnh tiềm năng đáng kể của việc hài hòa </w:t>
      </w:r>
      <w:r w:rsidR="00F873B7">
        <w:rPr>
          <w:rFonts w:eastAsia="DengXian"/>
          <w:lang w:val="vi-VN"/>
        </w:rPr>
        <w:t>TCTMS</w:t>
      </w:r>
      <w:r>
        <w:rPr>
          <w:rFonts w:eastAsia="DengXian"/>
          <w:lang w:val="vi-VN"/>
        </w:rPr>
        <w:t xml:space="preserve"> trong thúc đẩy tăng trưởng kinh tế, tạo cơ hội việc làm và nâng cao năng lực cạnh tranh tổng thể của khu vực ASEAN. Điều này đưa ra một lập luận thuyết phục cho các nền kinh tế ASEAN trong việc tiếp tục thúc đẩy nỗ lực hội nhập số, bao gồm mở rộng hợp tác khu vực và mở rộng phạm vi hài hòa </w:t>
      </w:r>
      <w:r w:rsidR="00F873B7">
        <w:rPr>
          <w:rFonts w:eastAsia="DengXian"/>
          <w:lang w:val="vi-VN"/>
        </w:rPr>
        <w:t>TCTMS</w:t>
      </w:r>
      <w:r>
        <w:rPr>
          <w:rFonts w:eastAsia="DengXian"/>
          <w:lang w:val="vi-VN"/>
        </w:rPr>
        <w:t xml:space="preserve"> sang các lĩnh vực thương mại số khác như hợp tác về các chủ đề mới nổi, an toàn trực tuyến, an ninh mạng và bảo vệ dữ liệu xuyên biên giới.</w:t>
      </w:r>
    </w:p>
    <w:p w14:paraId="500C0E1D" w14:textId="042FCBBD" w:rsidR="007D0E7E" w:rsidRPr="004857F6" w:rsidRDefault="004857F6" w:rsidP="004857F6">
      <w:pPr>
        <w:rPr>
          <w:rFonts w:eastAsia="DengXian"/>
          <w:lang w:val="vi-VN"/>
        </w:rPr>
      </w:pPr>
      <w:r>
        <w:rPr>
          <w:rFonts w:eastAsia="DengXian"/>
          <w:lang w:val="vi-VN"/>
        </w:rPr>
        <w:t>Mặc dù các lợi ích kinh tế tiềm năng là đáng kể, một số yếu tố cần được xem xét để hiện thực hóa đầy đủ các lợi ích này. Những thác thức này – như đẫ được xác định trong đánh giá khoảng các tại Chương 3 – bao gồm sự đa dạng của khuôn khổ pháp lý và quy định, hạn chế về năng lực và sự khác biệt về mức độ phát triển hạ tầng công nghệ cũng như nhận thức của các bên liên quan giữa các quốc gia thành viên ASEAN (AMS). Khung chiến lược và các khuyến nghị được trình bày tại Chương 4 và Chương 5 nhằm giải quyết những thách thức này và định hướng ASEAN tiến tới một môi tường thương mại số hài hòa và phát triển mạnh mẽ.</w:t>
      </w:r>
      <w:r w:rsidR="007D0E7E" w:rsidRPr="004F1D15">
        <w:br w:type="page"/>
      </w:r>
    </w:p>
    <w:p w14:paraId="1BD34B1E" w14:textId="75F983E4" w:rsidR="00242170" w:rsidRPr="004F1D15" w:rsidRDefault="00473B6F" w:rsidP="007664A3">
      <w:pPr>
        <w:pStyle w:val="Heading1"/>
        <w:rPr>
          <w:lang w:val="en-GB"/>
        </w:rPr>
      </w:pPr>
      <w:r>
        <w:rPr>
          <w:lang w:val="en-GB"/>
        </w:rPr>
        <w:lastRenderedPageBreak/>
        <w:t>Tổng</w:t>
      </w:r>
      <w:r>
        <w:rPr>
          <w:lang w:val="vi-VN"/>
        </w:rPr>
        <w:t xml:space="preserve"> quan về Tiêu chuẩn Thương mại số (</w:t>
      </w:r>
      <w:r w:rsidR="00F873B7">
        <w:rPr>
          <w:lang w:val="vi-VN"/>
        </w:rPr>
        <w:t>TCTMS</w:t>
      </w:r>
      <w:r>
        <w:rPr>
          <w:lang w:val="vi-VN"/>
        </w:rPr>
        <w:t>) trong ASEAN</w:t>
      </w:r>
    </w:p>
    <w:p w14:paraId="317507D3" w14:textId="0C8DFCF9" w:rsidR="00C66B0B" w:rsidRPr="00C66B0B" w:rsidRDefault="00C66B0B" w:rsidP="007664A3">
      <w:pPr>
        <w:rPr>
          <w:lang w:val="vi-VN"/>
        </w:rPr>
      </w:pPr>
      <w:r w:rsidRPr="00C66B0B">
        <w:rPr>
          <w:lang w:val="vi-VN"/>
        </w:rPr>
        <w:t xml:space="preserve">Mục này sẽ cung cấp một tổng quan về bức tranh hiện tại của </w:t>
      </w:r>
      <w:r w:rsidR="00F873B7">
        <w:rPr>
          <w:lang w:val="vi-VN"/>
        </w:rPr>
        <w:t>TCTMS</w:t>
      </w:r>
      <w:r w:rsidRPr="00C66B0B">
        <w:rPr>
          <w:lang w:val="vi-VN"/>
        </w:rPr>
        <w:t xml:space="preserve"> trong ASEAN. Cụ thể, mục này sẽ: (a) xác định các lĩnh vực thương mại số chủ chốt trong ASEAN và đánh giá vai trò cũng như mức độ sẵn có của các tiêu chuẩn quốc tế trong các lĩnh vực đã xác định; và (b) đánh giá tình trạng áp dụng tiêu chuẩn hiện tại trong từng lĩnh vực, xác định các khoảng cách và thách thức trong việc áp dụng tiêu chuẩn giữa các quốc gia thành viên ASEAN (AMS) và trong toàn khu vực ASEAN.</w:t>
      </w:r>
    </w:p>
    <w:p w14:paraId="4E4F9067" w14:textId="6A8BCF1F" w:rsidR="00242170" w:rsidRPr="004F1D15" w:rsidRDefault="00473B6F" w:rsidP="007664A3">
      <w:pPr>
        <w:pStyle w:val="Heading2"/>
        <w:rPr>
          <w:lang w:val="en-GB"/>
        </w:rPr>
      </w:pPr>
      <w:r>
        <w:rPr>
          <w:lang w:val="en-GB"/>
        </w:rPr>
        <w:t>Xác</w:t>
      </w:r>
      <w:r>
        <w:rPr>
          <w:lang w:val="vi-VN"/>
        </w:rPr>
        <w:t xml:space="preserve"> định các lĩnh vực Thương mại Số then chốt</w:t>
      </w:r>
    </w:p>
    <w:p w14:paraId="5122148E" w14:textId="1CAAB47C" w:rsidR="00C66B0B" w:rsidRPr="00C66B0B" w:rsidRDefault="00C66B0B" w:rsidP="007664A3">
      <w:pPr>
        <w:rPr>
          <w:lang w:val="vi-VN"/>
        </w:rPr>
      </w:pPr>
      <w:r w:rsidRPr="00C66B0B">
        <w:rPr>
          <w:lang w:val="vi-VN"/>
        </w:rPr>
        <w:t xml:space="preserve">Để xây dựng một lộ trình </w:t>
      </w:r>
      <w:r w:rsidR="00F873B7">
        <w:rPr>
          <w:lang w:val="vi-VN"/>
        </w:rPr>
        <w:t>TCTMS</w:t>
      </w:r>
      <w:r w:rsidRPr="00C66B0B">
        <w:rPr>
          <w:lang w:val="vi-VN"/>
        </w:rPr>
        <w:t xml:space="preserve"> phù hợp với ASEAN, điều cần thiết là phải ưu tiên các lĩnh vực thương mại số chủ chốt mà khu vực nên tập trung nỗ lực hợp tác. Các lĩnh vực thương mại số này được xác định dựa trên các yếu tố sau:</w:t>
      </w:r>
    </w:p>
    <w:p w14:paraId="4BDA357B" w14:textId="2B0CF200" w:rsidR="00C66B0B" w:rsidRPr="00C66B0B" w:rsidRDefault="00C66B0B" w:rsidP="00C66B0B">
      <w:pPr>
        <w:pStyle w:val="ListParagraph"/>
        <w:numPr>
          <w:ilvl w:val="0"/>
          <w:numId w:val="3"/>
        </w:numPr>
        <w:rPr>
          <w:rFonts w:ascii="Arial" w:hAnsi="Arial"/>
          <w:lang w:val="en-GB"/>
        </w:rPr>
      </w:pPr>
      <w:r w:rsidRPr="00C66B0B">
        <w:rPr>
          <w:rFonts w:ascii="Arial" w:hAnsi="Arial"/>
          <w:b/>
          <w:bCs/>
          <w:lang w:val="en-GB"/>
        </w:rPr>
        <w:t>Tầm quan trọng và vai trò của tiêu chuẩn:</w:t>
      </w:r>
      <w:r w:rsidRPr="00C66B0B">
        <w:rPr>
          <w:rFonts w:ascii="Arial" w:hAnsi="Arial"/>
          <w:lang w:val="en-GB"/>
        </w:rPr>
        <w:t xml:space="preserve"> Hiểu cách thức các tiêu chuẩn tác động và hỗ trợ từng lĩnh vực thương mại số.</w:t>
      </w:r>
    </w:p>
    <w:p w14:paraId="0D429F08" w14:textId="3DF0C2A9" w:rsidR="00C66B0B" w:rsidRPr="00C66B0B" w:rsidRDefault="00C66B0B" w:rsidP="00C66B0B">
      <w:pPr>
        <w:pStyle w:val="ListParagraph"/>
        <w:numPr>
          <w:ilvl w:val="0"/>
          <w:numId w:val="3"/>
        </w:numPr>
        <w:rPr>
          <w:rFonts w:ascii="Arial" w:hAnsi="Arial"/>
          <w:lang w:val="en-GB"/>
        </w:rPr>
      </w:pPr>
      <w:r w:rsidRPr="00C66B0B">
        <w:rPr>
          <w:rFonts w:ascii="Arial" w:hAnsi="Arial"/>
          <w:b/>
          <w:bCs/>
          <w:lang w:val="en-GB"/>
        </w:rPr>
        <w:t>Xác định các tiêu chuẩn hiện có:</w:t>
      </w:r>
      <w:r w:rsidRPr="00C66B0B">
        <w:rPr>
          <w:rFonts w:ascii="Arial" w:hAnsi="Arial"/>
          <w:lang w:val="en-GB"/>
        </w:rPr>
        <w:t xml:space="preserve"> Xác định các tiêu chuẩn quốc tế quan trọng phù hợp với từng lĩnh vực. Trong trường hợp không có tiêu chuẩn quốc tế, xác định các tiêu chuẩn ngành có liên quan.</w:t>
      </w:r>
    </w:p>
    <w:p w14:paraId="4FDBA63C" w14:textId="42A7F1AD" w:rsidR="00C66B0B" w:rsidRPr="00C66B0B" w:rsidRDefault="00C66B0B" w:rsidP="00C66B0B">
      <w:pPr>
        <w:pStyle w:val="ListParagraph"/>
        <w:numPr>
          <w:ilvl w:val="0"/>
          <w:numId w:val="3"/>
        </w:numPr>
        <w:rPr>
          <w:rFonts w:ascii="Arial" w:hAnsi="Arial"/>
          <w:lang w:val="en-GB"/>
        </w:rPr>
      </w:pPr>
      <w:r w:rsidRPr="00C66B0B">
        <w:rPr>
          <w:rFonts w:ascii="Arial" w:hAnsi="Arial"/>
          <w:b/>
          <w:bCs/>
          <w:lang w:val="en-GB"/>
        </w:rPr>
        <w:t>Tình trạng áp dụng tiêu chuẩn hiện tại tại ASEAN:</w:t>
      </w:r>
      <w:r w:rsidRPr="00C66B0B">
        <w:rPr>
          <w:rFonts w:ascii="Arial" w:hAnsi="Arial"/>
          <w:lang w:val="en-GB"/>
        </w:rPr>
        <w:t xml:space="preserve"> Đánh giá mức độ áp dụng tiêu chuẩn hiện tại trong từng lĩnh vực, và xác định các ưu tiên cũng như thách thức chính trong việc áp dụng tiêu chuẩn giữa các AMS và trong toàn khu vực ASEAN.</w:t>
      </w:r>
    </w:p>
    <w:p w14:paraId="15D1BC84" w14:textId="5998AD8F" w:rsidR="00C66B0B" w:rsidRPr="004F1D15" w:rsidRDefault="00C66B0B" w:rsidP="00C66B0B">
      <w:pPr>
        <w:pStyle w:val="ListParagraph"/>
        <w:numPr>
          <w:ilvl w:val="0"/>
          <w:numId w:val="3"/>
        </w:numPr>
        <w:rPr>
          <w:rFonts w:ascii="Arial" w:hAnsi="Arial"/>
          <w:lang w:val="en-GB"/>
        </w:rPr>
      </w:pPr>
      <w:r w:rsidRPr="00C66B0B">
        <w:rPr>
          <w:rFonts w:ascii="Arial" w:hAnsi="Arial"/>
          <w:b/>
          <w:bCs/>
          <w:lang w:val="en-GB"/>
        </w:rPr>
        <w:t>Các thảo luận toàn cầu và khu vực đang diễn ra và mới nổi:</w:t>
      </w:r>
      <w:r w:rsidRPr="00C66B0B">
        <w:rPr>
          <w:rFonts w:ascii="Arial" w:hAnsi="Arial"/>
          <w:lang w:val="en-GB"/>
        </w:rPr>
        <w:t xml:space="preserve"> Xem xét các thảo luận hiện tại và mới nổi cả ở cấp độ toàn cầu lẫn khu vực, đặc biệt đối với các lĩnh vực mới và đang phát triển.</w:t>
      </w:r>
    </w:p>
    <w:p w14:paraId="399B279C" w14:textId="7747C13B" w:rsidR="00C66B0B" w:rsidRPr="00C66B0B" w:rsidRDefault="00C66B0B" w:rsidP="007664A3">
      <w:pPr>
        <w:rPr>
          <w:lang w:val="vi-VN"/>
        </w:rPr>
      </w:pPr>
      <w:r w:rsidRPr="00C66B0B">
        <w:rPr>
          <w:lang w:val="vi-VN"/>
        </w:rPr>
        <w:t>Bên cạnh đó, các lĩnh vực chủ chốt này cần phù hợp với chương trình nghị sự hiện có của ASEAN, bao gồm các trụ cột chính của Nhóm Công tác Tiêu chuẩn và Công nhận Thương mại Số (DTSCWG) và các yếu tố then chốt của Hiệp định Khung Kinh tế Số ASEAN (DEFA).</w:t>
      </w:r>
    </w:p>
    <w:p w14:paraId="5D5D7BC7" w14:textId="77777777" w:rsidR="004367D4" w:rsidRDefault="004367D4">
      <w:pPr>
        <w:spacing w:line="259" w:lineRule="auto"/>
        <w:jc w:val="left"/>
      </w:pPr>
      <w:r>
        <w:br w:type="page"/>
      </w:r>
    </w:p>
    <w:p w14:paraId="5FAC3175" w14:textId="0F7DADDF" w:rsidR="00BF4BDD" w:rsidRPr="004F1D15" w:rsidRDefault="00424912" w:rsidP="00F56850">
      <w:pPr>
        <w:rPr>
          <w:rFonts w:eastAsia="Quattrocento Sans"/>
          <w:b/>
          <w:lang w:eastAsia="zh-CN"/>
        </w:rPr>
      </w:pPr>
      <w:r w:rsidRPr="00424912">
        <w:lastRenderedPageBreak/>
        <w:t>Dựa trên các cân nhắc này, bốn lĩnh vực thương mại số đã được xác định, như thể hiện trong Hình 4 dưới đây.</w:t>
      </w:r>
    </w:p>
    <w:p w14:paraId="371A2974" w14:textId="62AE6C37" w:rsidR="00D01CB0" w:rsidRPr="00424912" w:rsidRDefault="00424912" w:rsidP="007664A3">
      <w:pPr>
        <w:pStyle w:val="Caption"/>
        <w:rPr>
          <w:lang w:val="vi-VN"/>
        </w:rPr>
      </w:pPr>
      <w:bookmarkStart w:id="46" w:name="_Ref172190898"/>
      <w:r>
        <w:t>Hình</w:t>
      </w:r>
      <w:r w:rsidR="004765E0" w:rsidRPr="004F1D15">
        <w:t xml:space="preserve"> </w:t>
      </w:r>
      <w:r w:rsidR="00B523CC">
        <w:t>4</w:t>
      </w:r>
      <w:bookmarkEnd w:id="46"/>
      <w:r w:rsidR="001D67E2" w:rsidRPr="004F1D15">
        <w:t xml:space="preserve">. </w:t>
      </w:r>
      <w:r>
        <w:t>Xác</w:t>
      </w:r>
      <w:r>
        <w:rPr>
          <w:lang w:val="vi-VN"/>
        </w:rPr>
        <w:t xml:space="preserve"> định các Lĩnh vực Thương mại Số</w:t>
      </w:r>
    </w:p>
    <w:p w14:paraId="7DBB9806" w14:textId="5365CCFA" w:rsidR="003327F9" w:rsidRPr="003327F9" w:rsidRDefault="003327F9" w:rsidP="003327F9">
      <w:pPr>
        <w:rPr>
          <w:lang w:val="en-US"/>
        </w:rPr>
      </w:pPr>
      <w:r w:rsidRPr="003327F9">
        <w:rPr>
          <w:noProof/>
          <w:lang w:val="en-US"/>
        </w:rPr>
        <w:drawing>
          <wp:inline distT="0" distB="0" distL="0" distR="0" wp14:anchorId="0257CF62" wp14:editId="3DC41888">
            <wp:extent cx="6858000" cy="4215384"/>
            <wp:effectExtent l="0" t="0" r="0" b="0"/>
            <wp:docPr id="15878980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74532" cy="4225546"/>
                    </a:xfrm>
                    <a:prstGeom prst="rect">
                      <a:avLst/>
                    </a:prstGeom>
                    <a:noFill/>
                    <a:ln>
                      <a:noFill/>
                    </a:ln>
                  </pic:spPr>
                </pic:pic>
              </a:graphicData>
            </a:graphic>
          </wp:inline>
        </w:drawing>
      </w:r>
    </w:p>
    <w:p w14:paraId="3CB76B46" w14:textId="689750DB" w:rsidR="00D01CB0" w:rsidRPr="004F1D15" w:rsidRDefault="007677A4" w:rsidP="007664A3">
      <w:pPr>
        <w:rPr>
          <w:i/>
          <w:sz w:val="20"/>
          <w:szCs w:val="20"/>
        </w:rPr>
      </w:pPr>
      <w:r>
        <w:rPr>
          <w:i/>
          <w:sz w:val="20"/>
          <w:szCs w:val="20"/>
        </w:rPr>
        <w:t>Nguồn</w:t>
      </w:r>
      <w:r w:rsidR="00D01CB0" w:rsidRPr="004F1D15">
        <w:rPr>
          <w:i/>
          <w:sz w:val="20"/>
          <w:szCs w:val="20"/>
        </w:rPr>
        <w:t xml:space="preserve">: </w:t>
      </w:r>
      <w:r>
        <w:rPr>
          <w:i/>
          <w:sz w:val="20"/>
          <w:szCs w:val="20"/>
        </w:rPr>
        <w:t>Phân tích của Access Partnership</w:t>
      </w:r>
    </w:p>
    <w:p w14:paraId="71D95685" w14:textId="03619744" w:rsidR="001D67E2" w:rsidRPr="00424912" w:rsidRDefault="00424912" w:rsidP="007664A3">
      <w:pPr>
        <w:rPr>
          <w:lang w:val="vi-VN"/>
        </w:rPr>
      </w:pPr>
      <w:r w:rsidRPr="00424912">
        <w:rPr>
          <w:lang w:val="vi-VN"/>
        </w:rPr>
        <w:t xml:space="preserve">Trong từng lĩnh vực thương mại số, các phân khu trọng tâm </w:t>
      </w:r>
      <w:r>
        <w:rPr>
          <w:lang w:val="vi-VN"/>
        </w:rPr>
        <w:t>-</w:t>
      </w:r>
      <w:r w:rsidRPr="00424912">
        <w:rPr>
          <w:lang w:val="vi-VN"/>
        </w:rPr>
        <w:t xml:space="preserve"> hiện tại hoặc đang nổi lên như ưu tiên đối với ASEAN </w:t>
      </w:r>
      <w:r>
        <w:rPr>
          <w:lang w:val="vi-VN"/>
        </w:rPr>
        <w:t>-</w:t>
      </w:r>
      <w:r w:rsidRPr="00424912">
        <w:rPr>
          <w:lang w:val="vi-VN"/>
        </w:rPr>
        <w:t xml:space="preserve"> đã được xác định. Tổng quan về các lĩnh vực thương mại số và các phân khu tương ứng được trình bày trong Bảng 4 dưới đây.</w:t>
      </w:r>
    </w:p>
    <w:p w14:paraId="39D92015" w14:textId="77518A7B" w:rsidR="001D67E2" w:rsidRPr="00424912" w:rsidRDefault="00424912" w:rsidP="00641021">
      <w:pPr>
        <w:pStyle w:val="Caption"/>
        <w:rPr>
          <w:lang w:val="vi-VN"/>
        </w:rPr>
      </w:pPr>
      <w:bookmarkStart w:id="47" w:name="_Ref172118922"/>
      <w:r>
        <w:t>Bảng</w:t>
      </w:r>
      <w:r w:rsidR="00323828" w:rsidRPr="004F1D15">
        <w:t xml:space="preserve"> </w:t>
      </w:r>
      <w:bookmarkEnd w:id="47"/>
      <w:r w:rsidR="009C16BF">
        <w:t>4</w:t>
      </w:r>
      <w:r w:rsidR="00196CAA" w:rsidRPr="004F1D15">
        <w:t>.</w:t>
      </w:r>
      <w:r w:rsidR="00323828" w:rsidRPr="004F1D15">
        <w:t xml:space="preserve"> </w:t>
      </w:r>
      <w:r>
        <w:t>Tổng</w:t>
      </w:r>
      <w:r>
        <w:rPr>
          <w:lang w:val="vi-VN"/>
        </w:rPr>
        <w:t xml:space="preserve"> quan về các Lĩnh vực Thương mại Số và các phân </w:t>
      </w:r>
      <w:r w:rsidR="00EF589E">
        <w:rPr>
          <w:lang w:val="vi-VN"/>
        </w:rPr>
        <w:t>khu</w:t>
      </w:r>
    </w:p>
    <w:tbl>
      <w:tblPr>
        <w:tblStyle w:val="ListTable3-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3034"/>
        <w:gridCol w:w="7251"/>
      </w:tblGrid>
      <w:tr w:rsidR="00DC5224" w:rsidRPr="004F1D15" w14:paraId="3DABD33B" w14:textId="77777777" w:rsidTr="00EF589E">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505" w:type="dxa"/>
            <w:shd w:val="clear" w:color="auto" w:fill="002060"/>
          </w:tcPr>
          <w:p w14:paraId="59B09188" w14:textId="77777777" w:rsidR="001D67E2" w:rsidRPr="004F1D15" w:rsidRDefault="001D67E2" w:rsidP="007664A3"/>
        </w:tc>
        <w:tc>
          <w:tcPr>
            <w:tcW w:w="3034" w:type="dxa"/>
            <w:shd w:val="clear" w:color="auto" w:fill="002060"/>
          </w:tcPr>
          <w:p w14:paraId="65CBE851" w14:textId="6846F7C1" w:rsidR="001D67E2" w:rsidRPr="00EF589E" w:rsidRDefault="00EF589E" w:rsidP="007664A3">
            <w:pPr>
              <w:cnfStyle w:val="100000000000" w:firstRow="1" w:lastRow="0" w:firstColumn="0" w:lastColumn="0" w:oddVBand="0" w:evenVBand="0" w:oddHBand="0" w:evenHBand="0" w:firstRowFirstColumn="0" w:firstRowLastColumn="0" w:lastRowFirstColumn="0" w:lastRowLastColumn="0"/>
              <w:rPr>
                <w:lang w:val="vi-VN"/>
              </w:rPr>
            </w:pPr>
            <w:r>
              <w:t>Lĩnh</w:t>
            </w:r>
            <w:r>
              <w:rPr>
                <w:lang w:val="vi-VN"/>
              </w:rPr>
              <w:t xml:space="preserve"> vực Thương mại </w:t>
            </w:r>
            <w:r w:rsidR="00BD0149">
              <w:rPr>
                <w:lang w:val="vi-VN"/>
              </w:rPr>
              <w:t>s</w:t>
            </w:r>
            <w:r>
              <w:rPr>
                <w:lang w:val="vi-VN"/>
              </w:rPr>
              <w:t>ố</w:t>
            </w:r>
          </w:p>
        </w:tc>
        <w:tc>
          <w:tcPr>
            <w:tcW w:w="7251" w:type="dxa"/>
            <w:shd w:val="clear" w:color="auto" w:fill="002060"/>
          </w:tcPr>
          <w:p w14:paraId="5A9C6A6E" w14:textId="36F1EA94" w:rsidR="001D67E2" w:rsidRPr="00BD0149" w:rsidRDefault="00BD0149" w:rsidP="007664A3">
            <w:pPr>
              <w:cnfStyle w:val="100000000000" w:firstRow="1" w:lastRow="0" w:firstColumn="0" w:lastColumn="0" w:oddVBand="0" w:evenVBand="0" w:oddHBand="0" w:evenHBand="0" w:firstRowFirstColumn="0" w:firstRowLastColumn="0" w:lastRowFirstColumn="0" w:lastRowLastColumn="0"/>
              <w:rPr>
                <w:lang w:val="vi-VN"/>
              </w:rPr>
            </w:pPr>
            <w:r>
              <w:t>Phân</w:t>
            </w:r>
            <w:r>
              <w:rPr>
                <w:lang w:val="vi-VN"/>
              </w:rPr>
              <w:t xml:space="preserve"> khu Thương mại số</w:t>
            </w:r>
          </w:p>
        </w:tc>
      </w:tr>
      <w:tr w:rsidR="00DC5224" w:rsidRPr="004F1D15" w14:paraId="213FA68E" w14:textId="77777777" w:rsidTr="00EF58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5" w:type="dxa"/>
            <w:vMerge w:val="restart"/>
          </w:tcPr>
          <w:p w14:paraId="03D34D0A" w14:textId="77777777" w:rsidR="001D67E2" w:rsidRPr="004F1D15" w:rsidRDefault="001D67E2" w:rsidP="007664A3">
            <w:r w:rsidRPr="004F1D15">
              <w:t>1</w:t>
            </w:r>
          </w:p>
        </w:tc>
        <w:tc>
          <w:tcPr>
            <w:tcW w:w="3034" w:type="dxa"/>
            <w:vMerge w:val="restart"/>
          </w:tcPr>
          <w:p w14:paraId="5C3F1A80" w14:textId="27BF77EC" w:rsidR="001D67E2" w:rsidRPr="00BD0149" w:rsidRDefault="00BD0149" w:rsidP="0061674E">
            <w:pPr>
              <w:jc w:val="left"/>
              <w:cnfStyle w:val="000000100000" w:firstRow="0" w:lastRow="0" w:firstColumn="0" w:lastColumn="0" w:oddVBand="0" w:evenVBand="0" w:oddHBand="1" w:evenHBand="0" w:firstRowFirstColumn="0" w:firstRowLastColumn="0" w:lastRowFirstColumn="0" w:lastRowLastColumn="0"/>
              <w:rPr>
                <w:lang w:val="vi-VN"/>
              </w:rPr>
            </w:pPr>
            <w:r>
              <w:t>Logistics</w:t>
            </w:r>
            <w:r>
              <w:rPr>
                <w:lang w:val="vi-VN"/>
              </w:rPr>
              <w:t xml:space="preserve"> và giao hàng số</w:t>
            </w:r>
          </w:p>
        </w:tc>
        <w:tc>
          <w:tcPr>
            <w:tcW w:w="7251" w:type="dxa"/>
          </w:tcPr>
          <w:p w14:paraId="7BE87E3B" w14:textId="4082DC6F" w:rsidR="001D67E2" w:rsidRPr="00BD0149" w:rsidRDefault="00BD0149" w:rsidP="007664A3">
            <w:pPr>
              <w:cnfStyle w:val="000000100000" w:firstRow="0" w:lastRow="0" w:firstColumn="0" w:lastColumn="0" w:oddVBand="0" w:evenVBand="0" w:oddHBand="1" w:evenHBand="0" w:firstRowFirstColumn="0" w:firstRowLastColumn="0" w:lastRowFirstColumn="0" w:lastRowLastColumn="0"/>
              <w:rPr>
                <w:lang w:val="vi-VN"/>
              </w:rPr>
            </w:pPr>
            <w:r>
              <w:t>Giao</w:t>
            </w:r>
            <w:r>
              <w:rPr>
                <w:lang w:val="vi-VN"/>
              </w:rPr>
              <w:t xml:space="preserve"> hàng chặng cuối </w:t>
            </w:r>
          </w:p>
        </w:tc>
      </w:tr>
      <w:tr w:rsidR="00DC5224" w:rsidRPr="004F1D15" w14:paraId="46ED532A" w14:textId="77777777" w:rsidTr="00EF589E">
        <w:trPr>
          <w:jc w:val="center"/>
        </w:trPr>
        <w:tc>
          <w:tcPr>
            <w:cnfStyle w:val="001000000000" w:firstRow="0" w:lastRow="0" w:firstColumn="1" w:lastColumn="0" w:oddVBand="0" w:evenVBand="0" w:oddHBand="0" w:evenHBand="0" w:firstRowFirstColumn="0" w:firstRowLastColumn="0" w:lastRowFirstColumn="0" w:lastRowLastColumn="0"/>
            <w:tcW w:w="505" w:type="dxa"/>
            <w:vMerge/>
          </w:tcPr>
          <w:p w14:paraId="21E558A6" w14:textId="77777777" w:rsidR="001D67E2" w:rsidRPr="004F1D15" w:rsidRDefault="001D67E2" w:rsidP="007664A3"/>
        </w:tc>
        <w:tc>
          <w:tcPr>
            <w:tcW w:w="3034" w:type="dxa"/>
            <w:vMerge/>
          </w:tcPr>
          <w:p w14:paraId="7686A195" w14:textId="77777777" w:rsidR="001D67E2" w:rsidRPr="004F1D15" w:rsidRDefault="001D67E2" w:rsidP="0061674E">
            <w:pPr>
              <w:jc w:val="left"/>
              <w:cnfStyle w:val="000000000000" w:firstRow="0" w:lastRow="0" w:firstColumn="0" w:lastColumn="0" w:oddVBand="0" w:evenVBand="0" w:oddHBand="0" w:evenHBand="0" w:firstRowFirstColumn="0" w:firstRowLastColumn="0" w:lastRowFirstColumn="0" w:lastRowLastColumn="0"/>
            </w:pPr>
          </w:p>
        </w:tc>
        <w:tc>
          <w:tcPr>
            <w:tcW w:w="7251" w:type="dxa"/>
          </w:tcPr>
          <w:p w14:paraId="25F1C3B2" w14:textId="5516522B" w:rsidR="001D67E2" w:rsidRPr="00BD0149" w:rsidRDefault="00BD0149" w:rsidP="007664A3">
            <w:pPr>
              <w:cnfStyle w:val="000000000000" w:firstRow="0" w:lastRow="0" w:firstColumn="0" w:lastColumn="0" w:oddVBand="0" w:evenVBand="0" w:oddHBand="0" w:evenHBand="0" w:firstRowFirstColumn="0" w:firstRowLastColumn="0" w:lastRowFirstColumn="0" w:lastRowLastColumn="0"/>
              <w:rPr>
                <w:lang w:val="vi-VN"/>
              </w:rPr>
            </w:pPr>
            <w:r>
              <w:t>Khung</w:t>
            </w:r>
            <w:r>
              <w:rPr>
                <w:lang w:val="vi-VN"/>
              </w:rPr>
              <w:t xml:space="preserve"> pháp lý hải quan</w:t>
            </w:r>
          </w:p>
        </w:tc>
      </w:tr>
      <w:tr w:rsidR="00DC5224" w:rsidRPr="004F1D15" w14:paraId="7EA87317" w14:textId="77777777" w:rsidTr="00EF58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5" w:type="dxa"/>
            <w:vMerge/>
          </w:tcPr>
          <w:p w14:paraId="199C4162" w14:textId="77777777" w:rsidR="001D67E2" w:rsidRPr="004F1D15" w:rsidRDefault="001D67E2" w:rsidP="007664A3"/>
        </w:tc>
        <w:tc>
          <w:tcPr>
            <w:tcW w:w="3034" w:type="dxa"/>
            <w:vMerge/>
          </w:tcPr>
          <w:p w14:paraId="1A851F40" w14:textId="77777777" w:rsidR="001D67E2" w:rsidRPr="004F1D15" w:rsidRDefault="001D67E2" w:rsidP="0061674E">
            <w:pPr>
              <w:jc w:val="left"/>
              <w:cnfStyle w:val="000000100000" w:firstRow="0" w:lastRow="0" w:firstColumn="0" w:lastColumn="0" w:oddVBand="0" w:evenVBand="0" w:oddHBand="1" w:evenHBand="0" w:firstRowFirstColumn="0" w:firstRowLastColumn="0" w:lastRowFirstColumn="0" w:lastRowLastColumn="0"/>
            </w:pPr>
          </w:p>
        </w:tc>
        <w:tc>
          <w:tcPr>
            <w:tcW w:w="7251" w:type="dxa"/>
          </w:tcPr>
          <w:p w14:paraId="000C9B24" w14:textId="77560512" w:rsidR="001D67E2" w:rsidRPr="00BD0149" w:rsidRDefault="00BD0149" w:rsidP="007664A3">
            <w:pPr>
              <w:cnfStyle w:val="000000100000" w:firstRow="0" w:lastRow="0" w:firstColumn="0" w:lastColumn="0" w:oddVBand="0" w:evenVBand="0" w:oddHBand="1" w:evenHBand="0" w:firstRowFirstColumn="0" w:firstRowLastColumn="0" w:lastRowFirstColumn="0" w:lastRowLastColumn="0"/>
              <w:rPr>
                <w:lang w:val="vi-VN"/>
              </w:rPr>
            </w:pPr>
            <w:r>
              <w:rPr>
                <w:lang w:val="vi-VN"/>
              </w:rPr>
              <w:t>Đảm bảo giao dịch</w:t>
            </w:r>
          </w:p>
        </w:tc>
      </w:tr>
      <w:tr w:rsidR="00DC5224" w:rsidRPr="004F1D15" w14:paraId="0BBFBCC2" w14:textId="77777777" w:rsidTr="00EF589E">
        <w:trPr>
          <w:jc w:val="center"/>
        </w:trPr>
        <w:tc>
          <w:tcPr>
            <w:cnfStyle w:val="001000000000" w:firstRow="0" w:lastRow="0" w:firstColumn="1" w:lastColumn="0" w:oddVBand="0" w:evenVBand="0" w:oddHBand="0" w:evenHBand="0" w:firstRowFirstColumn="0" w:firstRowLastColumn="0" w:lastRowFirstColumn="0" w:lastRowLastColumn="0"/>
            <w:tcW w:w="505" w:type="dxa"/>
            <w:vMerge w:val="restart"/>
          </w:tcPr>
          <w:p w14:paraId="2837C01C" w14:textId="77777777" w:rsidR="001D67E2" w:rsidRPr="004F1D15" w:rsidRDefault="001D67E2" w:rsidP="007664A3">
            <w:r w:rsidRPr="004F1D15">
              <w:t>2</w:t>
            </w:r>
          </w:p>
        </w:tc>
        <w:tc>
          <w:tcPr>
            <w:tcW w:w="3034" w:type="dxa"/>
            <w:vMerge w:val="restart"/>
          </w:tcPr>
          <w:p w14:paraId="7DD1BC92" w14:textId="55CD89C1" w:rsidR="001D67E2" w:rsidRPr="00BD0149" w:rsidRDefault="00BD0149" w:rsidP="0061674E">
            <w:pPr>
              <w:jc w:val="left"/>
              <w:cnfStyle w:val="000000000000" w:firstRow="0" w:lastRow="0" w:firstColumn="0" w:lastColumn="0" w:oddVBand="0" w:evenVBand="0" w:oddHBand="0" w:evenHBand="0" w:firstRowFirstColumn="0" w:firstRowLastColumn="0" w:lastRowFirstColumn="0" w:lastRowLastColumn="0"/>
              <w:rPr>
                <w:lang w:val="vi-VN"/>
              </w:rPr>
            </w:pPr>
            <w:r>
              <w:rPr>
                <w:lang w:val="vi-VN"/>
              </w:rPr>
              <w:t>Giao dịch số</w:t>
            </w:r>
          </w:p>
        </w:tc>
        <w:tc>
          <w:tcPr>
            <w:tcW w:w="7251" w:type="dxa"/>
          </w:tcPr>
          <w:p w14:paraId="723C3B66" w14:textId="7D576992" w:rsidR="001D67E2" w:rsidRPr="00DD76ED" w:rsidRDefault="00DD76ED" w:rsidP="007664A3">
            <w:pPr>
              <w:cnfStyle w:val="000000000000" w:firstRow="0" w:lastRow="0" w:firstColumn="0" w:lastColumn="0" w:oddVBand="0" w:evenVBand="0" w:oddHBand="0" w:evenHBand="0" w:firstRowFirstColumn="0" w:firstRowLastColumn="0" w:lastRowFirstColumn="0" w:lastRowLastColumn="0"/>
              <w:rPr>
                <w:lang w:val="vi-VN"/>
              </w:rPr>
            </w:pPr>
            <w:r>
              <w:rPr>
                <w:lang w:val="vi-VN"/>
              </w:rPr>
              <w:t>Thương mại điện tử xuyên biên giới</w:t>
            </w:r>
          </w:p>
        </w:tc>
      </w:tr>
      <w:tr w:rsidR="00DC5224" w:rsidRPr="004F1D15" w14:paraId="453B14EC" w14:textId="77777777" w:rsidTr="00EF58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5" w:type="dxa"/>
            <w:vMerge/>
          </w:tcPr>
          <w:p w14:paraId="55B905F6" w14:textId="77777777" w:rsidR="001D67E2" w:rsidRPr="004F1D15" w:rsidRDefault="001D67E2" w:rsidP="007664A3"/>
        </w:tc>
        <w:tc>
          <w:tcPr>
            <w:tcW w:w="3034" w:type="dxa"/>
            <w:vMerge/>
          </w:tcPr>
          <w:p w14:paraId="3626A401" w14:textId="77777777" w:rsidR="001D67E2" w:rsidRPr="004F1D15" w:rsidRDefault="001D67E2" w:rsidP="0061674E">
            <w:pPr>
              <w:jc w:val="left"/>
              <w:cnfStyle w:val="000000100000" w:firstRow="0" w:lastRow="0" w:firstColumn="0" w:lastColumn="0" w:oddVBand="0" w:evenVBand="0" w:oddHBand="1" w:evenHBand="0" w:firstRowFirstColumn="0" w:firstRowLastColumn="0" w:lastRowFirstColumn="0" w:lastRowLastColumn="0"/>
            </w:pPr>
          </w:p>
        </w:tc>
        <w:tc>
          <w:tcPr>
            <w:tcW w:w="7251" w:type="dxa"/>
          </w:tcPr>
          <w:p w14:paraId="036E9AF3" w14:textId="2DA661EC" w:rsidR="001D67E2" w:rsidRPr="00DD76ED" w:rsidRDefault="00DD76ED" w:rsidP="007664A3">
            <w:pPr>
              <w:cnfStyle w:val="000000100000" w:firstRow="0" w:lastRow="0" w:firstColumn="0" w:lastColumn="0" w:oddVBand="0" w:evenVBand="0" w:oddHBand="1" w:evenHBand="0" w:firstRowFirstColumn="0" w:firstRowLastColumn="0" w:lastRowFirstColumn="0" w:lastRowLastColumn="0"/>
              <w:rPr>
                <w:lang w:val="vi-VN"/>
              </w:rPr>
            </w:pPr>
            <w:r>
              <w:t>Hóa</w:t>
            </w:r>
            <w:r>
              <w:rPr>
                <w:lang w:val="vi-VN"/>
              </w:rPr>
              <w:t xml:space="preserve"> đơn điện tử</w:t>
            </w:r>
          </w:p>
        </w:tc>
      </w:tr>
      <w:tr w:rsidR="00DC5224" w:rsidRPr="004F1D15" w14:paraId="22DCDEBA" w14:textId="77777777" w:rsidTr="00EF589E">
        <w:trPr>
          <w:jc w:val="center"/>
        </w:trPr>
        <w:tc>
          <w:tcPr>
            <w:cnfStyle w:val="001000000000" w:firstRow="0" w:lastRow="0" w:firstColumn="1" w:lastColumn="0" w:oddVBand="0" w:evenVBand="0" w:oddHBand="0" w:evenHBand="0" w:firstRowFirstColumn="0" w:firstRowLastColumn="0" w:lastRowFirstColumn="0" w:lastRowLastColumn="0"/>
            <w:tcW w:w="505" w:type="dxa"/>
            <w:vMerge/>
          </w:tcPr>
          <w:p w14:paraId="069E87DE" w14:textId="77777777" w:rsidR="001D67E2" w:rsidRPr="004F1D15" w:rsidRDefault="001D67E2" w:rsidP="007664A3"/>
        </w:tc>
        <w:tc>
          <w:tcPr>
            <w:tcW w:w="3034" w:type="dxa"/>
            <w:vMerge/>
          </w:tcPr>
          <w:p w14:paraId="0ACEF2DE" w14:textId="77777777" w:rsidR="001D67E2" w:rsidRPr="004F1D15" w:rsidRDefault="001D67E2" w:rsidP="0061674E">
            <w:pPr>
              <w:jc w:val="left"/>
              <w:cnfStyle w:val="000000000000" w:firstRow="0" w:lastRow="0" w:firstColumn="0" w:lastColumn="0" w:oddVBand="0" w:evenVBand="0" w:oddHBand="0" w:evenHBand="0" w:firstRowFirstColumn="0" w:firstRowLastColumn="0" w:lastRowFirstColumn="0" w:lastRowLastColumn="0"/>
            </w:pPr>
          </w:p>
        </w:tc>
        <w:tc>
          <w:tcPr>
            <w:tcW w:w="7251" w:type="dxa"/>
          </w:tcPr>
          <w:p w14:paraId="4047F05C" w14:textId="19FE71ED" w:rsidR="001D67E2" w:rsidRPr="00DD76ED" w:rsidRDefault="00DD76ED" w:rsidP="007664A3">
            <w:pPr>
              <w:cnfStyle w:val="000000000000" w:firstRow="0" w:lastRow="0" w:firstColumn="0" w:lastColumn="0" w:oddVBand="0" w:evenVBand="0" w:oddHBand="0" w:evenHBand="0" w:firstRowFirstColumn="0" w:firstRowLastColumn="0" w:lastRowFirstColumn="0" w:lastRowLastColumn="0"/>
              <w:rPr>
                <w:lang w:val="vi-VN"/>
              </w:rPr>
            </w:pPr>
            <w:r>
              <w:rPr>
                <w:lang w:val="vi-VN"/>
              </w:rPr>
              <w:t>Thanh toán</w:t>
            </w:r>
          </w:p>
        </w:tc>
      </w:tr>
      <w:tr w:rsidR="00DC5224" w:rsidRPr="004F1D15" w14:paraId="379D74DB" w14:textId="77777777" w:rsidTr="00EF58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5" w:type="dxa"/>
            <w:vMerge w:val="restart"/>
          </w:tcPr>
          <w:p w14:paraId="0E594F3A" w14:textId="7B1FC4B0" w:rsidR="001D67E2" w:rsidRPr="004F1D15" w:rsidRDefault="001D67E2" w:rsidP="007664A3">
            <w:r w:rsidRPr="004F1D15">
              <w:t>3</w:t>
            </w:r>
          </w:p>
        </w:tc>
        <w:tc>
          <w:tcPr>
            <w:tcW w:w="3034" w:type="dxa"/>
            <w:vMerge w:val="restart"/>
          </w:tcPr>
          <w:p w14:paraId="2B2B720F" w14:textId="0DAA9E3E" w:rsidR="00270C71" w:rsidRPr="00BD0149" w:rsidRDefault="00BD0149" w:rsidP="0061674E">
            <w:pPr>
              <w:jc w:val="left"/>
              <w:cnfStyle w:val="000000100000" w:firstRow="0" w:lastRow="0" w:firstColumn="0" w:lastColumn="0" w:oddVBand="0" w:evenVBand="0" w:oddHBand="1" w:evenHBand="0" w:firstRowFirstColumn="0" w:firstRowLastColumn="0" w:lastRowFirstColumn="0" w:lastRowLastColumn="0"/>
              <w:rPr>
                <w:lang w:val="vi-VN"/>
              </w:rPr>
            </w:pPr>
            <w:r>
              <w:t>Niềm</w:t>
            </w:r>
            <w:r>
              <w:rPr>
                <w:lang w:val="vi-VN"/>
              </w:rPr>
              <w:t xml:space="preserve"> tin số </w:t>
            </w:r>
          </w:p>
          <w:p w14:paraId="3CC385FC" w14:textId="5D0B22A3" w:rsidR="00270C71" w:rsidRPr="004F1D15" w:rsidRDefault="00270C71" w:rsidP="0061674E">
            <w:pPr>
              <w:jc w:val="left"/>
              <w:cnfStyle w:val="000000100000" w:firstRow="0" w:lastRow="0" w:firstColumn="0" w:lastColumn="0" w:oddVBand="0" w:evenVBand="0" w:oddHBand="1" w:evenHBand="0" w:firstRowFirstColumn="0" w:firstRowLastColumn="0" w:lastRowFirstColumn="0" w:lastRowLastColumn="0"/>
            </w:pPr>
          </w:p>
          <w:p w14:paraId="13412CC1" w14:textId="0F3C9C90" w:rsidR="001D67E2" w:rsidRPr="004F1D15" w:rsidRDefault="001D67E2" w:rsidP="0061674E">
            <w:pPr>
              <w:jc w:val="left"/>
              <w:cnfStyle w:val="000000100000" w:firstRow="0" w:lastRow="0" w:firstColumn="0" w:lastColumn="0" w:oddVBand="0" w:evenVBand="0" w:oddHBand="1" w:evenHBand="0" w:firstRowFirstColumn="0" w:firstRowLastColumn="0" w:lastRowFirstColumn="0" w:lastRowLastColumn="0"/>
            </w:pPr>
          </w:p>
        </w:tc>
        <w:tc>
          <w:tcPr>
            <w:tcW w:w="7251" w:type="dxa"/>
          </w:tcPr>
          <w:p w14:paraId="465EA2EF" w14:textId="1EEC5408" w:rsidR="004B5BD0" w:rsidRPr="00DD76ED" w:rsidRDefault="00DD76ED" w:rsidP="007664A3">
            <w:pPr>
              <w:cnfStyle w:val="000000100000" w:firstRow="0" w:lastRow="0" w:firstColumn="0" w:lastColumn="0" w:oddVBand="0" w:evenVBand="0" w:oddHBand="1" w:evenHBand="0" w:firstRowFirstColumn="0" w:firstRowLastColumn="0" w:lastRowFirstColumn="0" w:lastRowLastColumn="0"/>
              <w:rPr>
                <w:lang w:val="vi-VN"/>
              </w:rPr>
            </w:pPr>
            <w:r>
              <w:rPr>
                <w:lang w:val="vi-VN"/>
              </w:rPr>
              <w:t>Định danh số và xác thực</w:t>
            </w:r>
          </w:p>
        </w:tc>
      </w:tr>
      <w:tr w:rsidR="009950FB" w:rsidRPr="004F1D15" w14:paraId="6F264B5D" w14:textId="77777777" w:rsidTr="00EF589E">
        <w:trPr>
          <w:jc w:val="center"/>
        </w:trPr>
        <w:tc>
          <w:tcPr>
            <w:cnfStyle w:val="001000000000" w:firstRow="0" w:lastRow="0" w:firstColumn="1" w:lastColumn="0" w:oddVBand="0" w:evenVBand="0" w:oddHBand="0" w:evenHBand="0" w:firstRowFirstColumn="0" w:firstRowLastColumn="0" w:lastRowFirstColumn="0" w:lastRowLastColumn="0"/>
            <w:tcW w:w="505" w:type="dxa"/>
            <w:vMerge/>
          </w:tcPr>
          <w:p w14:paraId="267D4D4D" w14:textId="77777777" w:rsidR="009950FB" w:rsidRPr="004F1D15" w:rsidRDefault="009950FB" w:rsidP="007664A3"/>
        </w:tc>
        <w:tc>
          <w:tcPr>
            <w:tcW w:w="3034" w:type="dxa"/>
            <w:vMerge/>
          </w:tcPr>
          <w:p w14:paraId="300B4CEE" w14:textId="77777777" w:rsidR="009950FB" w:rsidRPr="004F1D15" w:rsidRDefault="009950FB" w:rsidP="0061674E">
            <w:pPr>
              <w:jc w:val="left"/>
              <w:cnfStyle w:val="000000000000" w:firstRow="0" w:lastRow="0" w:firstColumn="0" w:lastColumn="0" w:oddVBand="0" w:evenVBand="0" w:oddHBand="0" w:evenHBand="0" w:firstRowFirstColumn="0" w:firstRowLastColumn="0" w:lastRowFirstColumn="0" w:lastRowLastColumn="0"/>
            </w:pPr>
          </w:p>
        </w:tc>
        <w:tc>
          <w:tcPr>
            <w:tcW w:w="7251" w:type="dxa"/>
          </w:tcPr>
          <w:p w14:paraId="3C9304A7" w14:textId="1DDE5D23" w:rsidR="009950FB" w:rsidRPr="00DD76ED" w:rsidRDefault="00DD76ED" w:rsidP="007664A3">
            <w:pPr>
              <w:cnfStyle w:val="000000000000" w:firstRow="0" w:lastRow="0" w:firstColumn="0" w:lastColumn="0" w:oddVBand="0" w:evenVBand="0" w:oddHBand="0" w:evenHBand="0" w:firstRowFirstColumn="0" w:firstRowLastColumn="0" w:lastRowFirstColumn="0" w:lastRowLastColumn="0"/>
              <w:rPr>
                <w:lang w:val="vi-VN"/>
              </w:rPr>
            </w:pPr>
            <w:r>
              <w:rPr>
                <w:lang w:val="vi-VN"/>
              </w:rPr>
              <w:t>An ninh mạng</w:t>
            </w:r>
          </w:p>
        </w:tc>
      </w:tr>
      <w:tr w:rsidR="00DC5224" w:rsidRPr="004F1D15" w14:paraId="4BFC80A1" w14:textId="77777777" w:rsidTr="00EF58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5" w:type="dxa"/>
            <w:vMerge/>
          </w:tcPr>
          <w:p w14:paraId="2E98BAB8" w14:textId="1ECB3A89" w:rsidR="001D67E2" w:rsidRPr="004F1D15" w:rsidRDefault="001D67E2" w:rsidP="007664A3"/>
        </w:tc>
        <w:tc>
          <w:tcPr>
            <w:tcW w:w="3034" w:type="dxa"/>
            <w:vMerge/>
          </w:tcPr>
          <w:p w14:paraId="343FF16C" w14:textId="5528760A" w:rsidR="001D67E2" w:rsidRPr="004F1D15" w:rsidRDefault="001D67E2" w:rsidP="0061674E">
            <w:pPr>
              <w:jc w:val="left"/>
              <w:cnfStyle w:val="000000100000" w:firstRow="0" w:lastRow="0" w:firstColumn="0" w:lastColumn="0" w:oddVBand="0" w:evenVBand="0" w:oddHBand="1" w:evenHBand="0" w:firstRowFirstColumn="0" w:firstRowLastColumn="0" w:lastRowFirstColumn="0" w:lastRowLastColumn="0"/>
            </w:pPr>
          </w:p>
        </w:tc>
        <w:tc>
          <w:tcPr>
            <w:tcW w:w="7251" w:type="dxa"/>
          </w:tcPr>
          <w:p w14:paraId="141D8824" w14:textId="203949E0" w:rsidR="001D67E2" w:rsidRPr="00DD76ED" w:rsidRDefault="00DD76ED" w:rsidP="007664A3">
            <w:pPr>
              <w:cnfStyle w:val="000000100000" w:firstRow="0" w:lastRow="0" w:firstColumn="0" w:lastColumn="0" w:oddVBand="0" w:evenVBand="0" w:oddHBand="1" w:evenHBand="0" w:firstRowFirstColumn="0" w:firstRowLastColumn="0" w:lastRowFirstColumn="0" w:lastRowLastColumn="0"/>
              <w:rPr>
                <w:lang w:val="vi-VN"/>
              </w:rPr>
            </w:pPr>
            <w:r>
              <w:rPr>
                <w:lang w:val="vi-VN"/>
              </w:rPr>
              <w:t>An toàn trực tuyến</w:t>
            </w:r>
          </w:p>
        </w:tc>
      </w:tr>
      <w:tr w:rsidR="00DC5224" w:rsidRPr="004F1D15" w14:paraId="70933BFE" w14:textId="77777777" w:rsidTr="00EF589E">
        <w:trPr>
          <w:jc w:val="center"/>
        </w:trPr>
        <w:tc>
          <w:tcPr>
            <w:cnfStyle w:val="001000000000" w:firstRow="0" w:lastRow="0" w:firstColumn="1" w:lastColumn="0" w:oddVBand="0" w:evenVBand="0" w:oddHBand="0" w:evenHBand="0" w:firstRowFirstColumn="0" w:firstRowLastColumn="0" w:lastRowFirstColumn="0" w:lastRowLastColumn="0"/>
            <w:tcW w:w="505" w:type="dxa"/>
            <w:vMerge/>
          </w:tcPr>
          <w:p w14:paraId="30DF7921" w14:textId="3158B96B" w:rsidR="001D67E2" w:rsidRPr="004F1D15" w:rsidRDefault="001D67E2" w:rsidP="007664A3"/>
        </w:tc>
        <w:tc>
          <w:tcPr>
            <w:tcW w:w="3034" w:type="dxa"/>
            <w:vMerge/>
          </w:tcPr>
          <w:p w14:paraId="0836BC43" w14:textId="23EE2466" w:rsidR="001D67E2" w:rsidRPr="004F1D15" w:rsidRDefault="001D67E2" w:rsidP="0061674E">
            <w:pPr>
              <w:jc w:val="left"/>
              <w:cnfStyle w:val="000000000000" w:firstRow="0" w:lastRow="0" w:firstColumn="0" w:lastColumn="0" w:oddVBand="0" w:evenVBand="0" w:oddHBand="0" w:evenHBand="0" w:firstRowFirstColumn="0" w:firstRowLastColumn="0" w:lastRowFirstColumn="0" w:lastRowLastColumn="0"/>
            </w:pPr>
          </w:p>
        </w:tc>
        <w:tc>
          <w:tcPr>
            <w:tcW w:w="7251" w:type="dxa"/>
          </w:tcPr>
          <w:p w14:paraId="36E0FE94" w14:textId="3E325526" w:rsidR="001D67E2" w:rsidRPr="00DD76ED" w:rsidRDefault="00DD76ED" w:rsidP="007664A3">
            <w:pPr>
              <w:cnfStyle w:val="000000000000" w:firstRow="0" w:lastRow="0" w:firstColumn="0" w:lastColumn="0" w:oddVBand="0" w:evenVBand="0" w:oddHBand="0" w:evenHBand="0" w:firstRowFirstColumn="0" w:firstRowLastColumn="0" w:lastRowFirstColumn="0" w:lastRowLastColumn="0"/>
              <w:rPr>
                <w:lang w:val="vi-VN"/>
              </w:rPr>
            </w:pPr>
            <w:r>
              <w:rPr>
                <w:lang w:val="vi-VN"/>
              </w:rPr>
              <w:t xml:space="preserve">Bảo vệ dữ liệu và quyền riêng tư xuyên biên </w:t>
            </w:r>
            <w:r w:rsidR="002C356C">
              <w:rPr>
                <w:lang w:val="vi-VN"/>
              </w:rPr>
              <w:t>giới</w:t>
            </w:r>
          </w:p>
        </w:tc>
      </w:tr>
      <w:tr w:rsidR="00DC5224" w:rsidRPr="004F1D15" w14:paraId="21017613" w14:textId="77777777" w:rsidTr="00EF58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5" w:type="dxa"/>
            <w:vMerge w:val="restart"/>
          </w:tcPr>
          <w:p w14:paraId="37E2EBE3" w14:textId="2528025C" w:rsidR="001D67E2" w:rsidRPr="004F1D15" w:rsidRDefault="00270C71" w:rsidP="007664A3">
            <w:r w:rsidRPr="004F1D15">
              <w:lastRenderedPageBreak/>
              <w:t>4</w:t>
            </w:r>
          </w:p>
        </w:tc>
        <w:tc>
          <w:tcPr>
            <w:tcW w:w="3034" w:type="dxa"/>
            <w:vMerge w:val="restart"/>
          </w:tcPr>
          <w:p w14:paraId="178023FB" w14:textId="2B7EE752" w:rsidR="001D67E2" w:rsidRPr="00BD0149" w:rsidRDefault="00BD0149" w:rsidP="0061674E">
            <w:pPr>
              <w:jc w:val="left"/>
              <w:cnfStyle w:val="000000100000" w:firstRow="0" w:lastRow="0" w:firstColumn="0" w:lastColumn="0" w:oddVBand="0" w:evenVBand="0" w:oddHBand="1" w:evenHBand="0" w:firstRowFirstColumn="0" w:firstRowLastColumn="0" w:lastRowFirstColumn="0" w:lastRowLastColumn="0"/>
              <w:rPr>
                <w:lang w:val="vi-VN"/>
              </w:rPr>
            </w:pPr>
            <w:r>
              <w:t>Hợp</w:t>
            </w:r>
            <w:r>
              <w:rPr>
                <w:lang w:val="vi-VN"/>
              </w:rPr>
              <w:t xml:space="preserve"> tác về các chủ đề mới </w:t>
            </w:r>
            <w:r w:rsidR="00DD76ED">
              <w:rPr>
                <w:lang w:val="vi-VN"/>
              </w:rPr>
              <w:t>nổi</w:t>
            </w:r>
          </w:p>
        </w:tc>
        <w:tc>
          <w:tcPr>
            <w:tcW w:w="7251" w:type="dxa"/>
          </w:tcPr>
          <w:p w14:paraId="29F116B9" w14:textId="4436F071" w:rsidR="001D67E2" w:rsidRPr="002C356C" w:rsidRDefault="002C356C" w:rsidP="007664A3">
            <w:pPr>
              <w:cnfStyle w:val="000000100000" w:firstRow="0" w:lastRow="0" w:firstColumn="0" w:lastColumn="0" w:oddVBand="0" w:evenVBand="0" w:oddHBand="1" w:evenHBand="0" w:firstRowFirstColumn="0" w:firstRowLastColumn="0" w:lastRowFirstColumn="0" w:lastRowLastColumn="0"/>
              <w:rPr>
                <w:lang w:val="vi-VN"/>
              </w:rPr>
            </w:pPr>
            <w:r>
              <w:t>Trí</w:t>
            </w:r>
            <w:r>
              <w:rPr>
                <w:lang w:val="vi-VN"/>
              </w:rPr>
              <w:t xml:space="preserve"> tuệ nhân tạo (</w:t>
            </w:r>
            <w:r>
              <w:t>AI</w:t>
            </w:r>
            <w:r>
              <w:rPr>
                <w:lang w:val="vi-VN"/>
              </w:rPr>
              <w:t>)</w:t>
            </w:r>
          </w:p>
        </w:tc>
      </w:tr>
      <w:tr w:rsidR="00DC5224" w:rsidRPr="004F1D15" w14:paraId="2948B0A8" w14:textId="77777777" w:rsidTr="00EF589E">
        <w:trPr>
          <w:jc w:val="center"/>
        </w:trPr>
        <w:tc>
          <w:tcPr>
            <w:cnfStyle w:val="001000000000" w:firstRow="0" w:lastRow="0" w:firstColumn="1" w:lastColumn="0" w:oddVBand="0" w:evenVBand="0" w:oddHBand="0" w:evenHBand="0" w:firstRowFirstColumn="0" w:firstRowLastColumn="0" w:lastRowFirstColumn="0" w:lastRowLastColumn="0"/>
            <w:tcW w:w="505" w:type="dxa"/>
            <w:vMerge/>
          </w:tcPr>
          <w:p w14:paraId="501B7996" w14:textId="77777777" w:rsidR="001D67E2" w:rsidRPr="004F1D15" w:rsidRDefault="001D67E2" w:rsidP="007664A3"/>
        </w:tc>
        <w:tc>
          <w:tcPr>
            <w:tcW w:w="3034" w:type="dxa"/>
            <w:vMerge/>
          </w:tcPr>
          <w:p w14:paraId="491462A8" w14:textId="77777777" w:rsidR="001D67E2" w:rsidRPr="004F1D15" w:rsidRDefault="001D67E2" w:rsidP="007664A3">
            <w:pPr>
              <w:cnfStyle w:val="000000000000" w:firstRow="0" w:lastRow="0" w:firstColumn="0" w:lastColumn="0" w:oddVBand="0" w:evenVBand="0" w:oddHBand="0" w:evenHBand="0" w:firstRowFirstColumn="0" w:firstRowLastColumn="0" w:lastRowFirstColumn="0" w:lastRowLastColumn="0"/>
            </w:pPr>
          </w:p>
        </w:tc>
        <w:tc>
          <w:tcPr>
            <w:tcW w:w="7251" w:type="dxa"/>
          </w:tcPr>
          <w:p w14:paraId="2E19A7D7" w14:textId="77777777" w:rsidR="001D67E2" w:rsidRPr="004F1D15" w:rsidRDefault="001D67E2" w:rsidP="007664A3">
            <w:pPr>
              <w:cnfStyle w:val="000000000000" w:firstRow="0" w:lastRow="0" w:firstColumn="0" w:lastColumn="0" w:oddVBand="0" w:evenVBand="0" w:oddHBand="0" w:evenHBand="0" w:firstRowFirstColumn="0" w:firstRowLastColumn="0" w:lastRowFirstColumn="0" w:lastRowLastColumn="0"/>
            </w:pPr>
            <w:r w:rsidRPr="004F1D15">
              <w:t xml:space="preserve">Blockchain </w:t>
            </w:r>
          </w:p>
        </w:tc>
      </w:tr>
      <w:tr w:rsidR="00DC5224" w:rsidRPr="004F1D15" w14:paraId="20F1F5C2" w14:textId="77777777" w:rsidTr="00EF58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5" w:type="dxa"/>
            <w:vMerge/>
          </w:tcPr>
          <w:p w14:paraId="64ADF6CB" w14:textId="77777777" w:rsidR="001D67E2" w:rsidRPr="004F1D15" w:rsidRDefault="001D67E2" w:rsidP="007664A3"/>
        </w:tc>
        <w:tc>
          <w:tcPr>
            <w:tcW w:w="3034" w:type="dxa"/>
            <w:vMerge/>
          </w:tcPr>
          <w:p w14:paraId="00E1BAD1" w14:textId="77777777" w:rsidR="001D67E2" w:rsidRPr="004F1D15" w:rsidRDefault="001D67E2" w:rsidP="007664A3">
            <w:pPr>
              <w:cnfStyle w:val="000000100000" w:firstRow="0" w:lastRow="0" w:firstColumn="0" w:lastColumn="0" w:oddVBand="0" w:evenVBand="0" w:oddHBand="1" w:evenHBand="0" w:firstRowFirstColumn="0" w:firstRowLastColumn="0" w:lastRowFirstColumn="0" w:lastRowLastColumn="0"/>
            </w:pPr>
          </w:p>
        </w:tc>
        <w:tc>
          <w:tcPr>
            <w:tcW w:w="7251" w:type="dxa"/>
          </w:tcPr>
          <w:p w14:paraId="6EC89B12" w14:textId="1B7BAD29" w:rsidR="001D67E2" w:rsidRPr="002C356C" w:rsidRDefault="002C356C" w:rsidP="007664A3">
            <w:pPr>
              <w:cnfStyle w:val="000000100000" w:firstRow="0" w:lastRow="0" w:firstColumn="0" w:lastColumn="0" w:oddVBand="0" w:evenVBand="0" w:oddHBand="1" w:evenHBand="0" w:firstRowFirstColumn="0" w:firstRowLastColumn="0" w:lastRowFirstColumn="0" w:lastRowLastColumn="0"/>
              <w:rPr>
                <w:lang w:val="vi-VN"/>
              </w:rPr>
            </w:pPr>
            <w:r>
              <w:rPr>
                <w:lang w:val="vi-VN"/>
              </w:rPr>
              <w:t xml:space="preserve">Điện toán đám mây </w:t>
            </w:r>
          </w:p>
        </w:tc>
      </w:tr>
    </w:tbl>
    <w:p w14:paraId="3E8BD2D3" w14:textId="4901120F" w:rsidR="004B5BD0" w:rsidRPr="004F1D15" w:rsidRDefault="007677A4" w:rsidP="007664A3">
      <w:pPr>
        <w:rPr>
          <w:i/>
          <w:sz w:val="20"/>
          <w:szCs w:val="20"/>
        </w:rPr>
      </w:pPr>
      <w:r>
        <w:rPr>
          <w:i/>
          <w:sz w:val="20"/>
          <w:szCs w:val="20"/>
        </w:rPr>
        <w:t>Nguồn</w:t>
      </w:r>
      <w:r w:rsidR="001D67E2" w:rsidRPr="004F1D15">
        <w:rPr>
          <w:i/>
          <w:sz w:val="20"/>
          <w:szCs w:val="20"/>
        </w:rPr>
        <w:t xml:space="preserve">: </w:t>
      </w:r>
      <w:r>
        <w:rPr>
          <w:i/>
          <w:sz w:val="20"/>
          <w:szCs w:val="20"/>
        </w:rPr>
        <w:t>Phân tích của Access Partnership</w:t>
      </w:r>
    </w:p>
    <w:p w14:paraId="225DDF47" w14:textId="77777777" w:rsidR="00D4688C" w:rsidRDefault="00D4688C">
      <w:pPr>
        <w:spacing w:line="259" w:lineRule="auto"/>
        <w:jc w:val="left"/>
        <w:rPr>
          <w:rFonts w:eastAsia="Arial" w:cs="Segoe UI"/>
          <w:color w:val="ED7D31" w:themeColor="accent2"/>
          <w:szCs w:val="36"/>
        </w:rPr>
      </w:pPr>
      <w:r>
        <w:br w:type="page"/>
      </w:r>
    </w:p>
    <w:p w14:paraId="779E8E80" w14:textId="73049537" w:rsidR="001D67E2" w:rsidRPr="004F1D15" w:rsidRDefault="00450E55" w:rsidP="007664A3">
      <w:pPr>
        <w:pStyle w:val="Heading2"/>
        <w:rPr>
          <w:lang w:val="en-GB"/>
        </w:rPr>
      </w:pPr>
      <w:r>
        <w:rPr>
          <w:lang w:val="en-GB"/>
        </w:rPr>
        <w:lastRenderedPageBreak/>
        <w:t>Đánh</w:t>
      </w:r>
      <w:r>
        <w:rPr>
          <w:lang w:val="vi-VN"/>
        </w:rPr>
        <w:t xml:space="preserve"> giá khoảng cách trong việc áp dụng </w:t>
      </w:r>
      <w:r w:rsidR="00F873B7">
        <w:rPr>
          <w:lang w:val="vi-VN"/>
        </w:rPr>
        <w:t>TCTMS</w:t>
      </w:r>
      <w:r>
        <w:rPr>
          <w:lang w:val="vi-VN"/>
        </w:rPr>
        <w:t xml:space="preserve"> trên toàn ASEAN </w:t>
      </w:r>
    </w:p>
    <w:p w14:paraId="18CDB0ED" w14:textId="59D4BEB0" w:rsidR="001D67E2" w:rsidRPr="00450E55" w:rsidRDefault="00450E55" w:rsidP="007664A3">
      <w:pPr>
        <w:rPr>
          <w:lang w:val="vi-VN"/>
        </w:rPr>
      </w:pPr>
      <w:r w:rsidRPr="00450E55">
        <w:rPr>
          <w:lang w:val="vi-VN"/>
        </w:rPr>
        <w:t>Phần này sẽ đánh giá tình trạng hiện tại của việc áp dụng tiêu chuẩn trong từng lĩnh vực dựa trên các khía cạnh sau:</w:t>
      </w:r>
    </w:p>
    <w:p w14:paraId="264EFA09" w14:textId="59E2A005" w:rsidR="00450E55" w:rsidRPr="004F1D15" w:rsidRDefault="00450E55" w:rsidP="00595FF2">
      <w:pPr>
        <w:pStyle w:val="ListParagraph"/>
        <w:numPr>
          <w:ilvl w:val="0"/>
          <w:numId w:val="5"/>
        </w:numPr>
        <w:rPr>
          <w:rFonts w:ascii="Arial" w:hAnsi="Arial"/>
          <w:lang w:val="en-GB"/>
        </w:rPr>
      </w:pPr>
      <w:r w:rsidRPr="00450E55">
        <w:rPr>
          <w:rFonts w:ascii="Arial" w:hAnsi="Arial"/>
          <w:b/>
          <w:bCs/>
          <w:lang w:val="en-GB"/>
        </w:rPr>
        <w:t>Trong phạm vi rộng hơn của khu vực thương mại số:</w:t>
      </w:r>
      <w:r w:rsidRPr="00450E55">
        <w:rPr>
          <w:rFonts w:ascii="Arial" w:hAnsi="Arial"/>
          <w:lang w:val="en-GB"/>
        </w:rPr>
        <w:t xml:space="preserve"> Đánh giá (a) mức độ quan trọng của lĩnh vực được xác định đối với thương mại số của ASEAN, (b) mức độ liên quan của các phân khu đối với thương mại số của ASEAN, và (c) tầm quan trọng của tiêu chuẩn trong khu vực thương mại số; và</w:t>
      </w:r>
    </w:p>
    <w:p w14:paraId="388B604E" w14:textId="416EE94A" w:rsidR="00450E55" w:rsidRPr="004F1D15" w:rsidRDefault="00450E55" w:rsidP="00595FF2">
      <w:pPr>
        <w:pStyle w:val="ListParagraph"/>
        <w:numPr>
          <w:ilvl w:val="0"/>
          <w:numId w:val="5"/>
        </w:numPr>
        <w:rPr>
          <w:rFonts w:ascii="Arial" w:hAnsi="Arial"/>
          <w:lang w:val="en-GB"/>
        </w:rPr>
      </w:pPr>
      <w:r w:rsidRPr="00450E55">
        <w:rPr>
          <w:rFonts w:ascii="Arial" w:hAnsi="Arial"/>
          <w:b/>
          <w:bCs/>
          <w:lang w:val="en-GB"/>
        </w:rPr>
        <w:t>Trong từng phân khu cụ thể (nếu áp dụng):</w:t>
      </w:r>
      <w:r w:rsidRPr="00450E55">
        <w:rPr>
          <w:rFonts w:ascii="Arial" w:hAnsi="Arial"/>
          <w:lang w:val="en-GB"/>
        </w:rPr>
        <w:t xml:space="preserve"> Xem xét (a) vai trò của tiêu chuẩn trong bối cảnh từng phân khu, (b) các tiêu chuẩn quốc tế hiện có, (c) tình trạng áp dụng tiêu chuẩn hiện tại của các nước thành viên ASEAN (AMS) và toàn khối ASEAN; và (d) mối liên hệ với các phân khu khác.</w:t>
      </w:r>
    </w:p>
    <w:p w14:paraId="0FE140AC" w14:textId="363C9413" w:rsidR="008D39F7" w:rsidRPr="004F1D15" w:rsidRDefault="00FB60A9" w:rsidP="007664A3">
      <w:pPr>
        <w:pStyle w:val="Heading3"/>
        <w:rPr>
          <w:lang w:val="en-GB"/>
        </w:rPr>
      </w:pPr>
      <w:r>
        <w:rPr>
          <w:lang w:val="en-GB"/>
        </w:rPr>
        <w:t>Logistisc</w:t>
      </w:r>
      <w:r>
        <w:rPr>
          <w:lang w:val="vi-VN"/>
        </w:rPr>
        <w:t xml:space="preserve"> và Giao </w:t>
      </w:r>
      <w:r w:rsidR="00516936">
        <w:rPr>
          <w:lang w:val="en-AU"/>
        </w:rPr>
        <w:t>nhận</w:t>
      </w:r>
      <w:r>
        <w:rPr>
          <w:lang w:val="vi-VN"/>
        </w:rPr>
        <w:t xml:space="preserve"> số </w:t>
      </w:r>
    </w:p>
    <w:p w14:paraId="349CEE16" w14:textId="06A76A32" w:rsidR="003D0E4D" w:rsidRPr="004F1D15" w:rsidRDefault="00FB60A9" w:rsidP="00595FF2">
      <w:pPr>
        <w:pStyle w:val="ListParagraph"/>
        <w:numPr>
          <w:ilvl w:val="0"/>
          <w:numId w:val="4"/>
        </w:numPr>
        <w:rPr>
          <w:rFonts w:ascii="Arial" w:hAnsi="Arial"/>
          <w:b/>
          <w:lang w:val="en-GB"/>
        </w:rPr>
      </w:pPr>
      <w:r>
        <w:rPr>
          <w:rFonts w:ascii="Arial" w:hAnsi="Arial"/>
          <w:b/>
          <w:lang w:val="en-GB"/>
        </w:rPr>
        <w:t>Tầm</w:t>
      </w:r>
      <w:r>
        <w:rPr>
          <w:rFonts w:ascii="Arial" w:hAnsi="Arial"/>
          <w:b/>
          <w:lang w:val="vi-VN"/>
        </w:rPr>
        <w:t xml:space="preserve"> quan trọng của lĩnh vực được xác định đối với thương mại số của ASEAN </w:t>
      </w:r>
    </w:p>
    <w:p w14:paraId="3BA71A9E" w14:textId="2552B6A8" w:rsidR="00C02A6C" w:rsidRPr="00C02A6C" w:rsidRDefault="00C02A6C" w:rsidP="00C02A6C">
      <w:pPr>
        <w:rPr>
          <w:rFonts w:eastAsia="Arial"/>
          <w:lang w:val="vi-VN"/>
        </w:rPr>
      </w:pPr>
      <w:r w:rsidRPr="00C02A6C">
        <w:rPr>
          <w:rFonts w:eastAsia="Arial"/>
          <w:lang w:val="vi-VN"/>
        </w:rPr>
        <w:t xml:space="preserve">ASEAN đã triển khai nhiều sáng kiến nhằm xây dựng một hệ sinh thái thương mại số mạnh mẽ, thể hiện qua </w:t>
      </w:r>
      <w:r w:rsidRPr="00C02A6C">
        <w:rPr>
          <w:rFonts w:eastAsia="Arial"/>
          <w:b/>
          <w:bCs/>
          <w:lang w:val="vi-VN"/>
        </w:rPr>
        <w:t>Cơ chế Một cửa ASEAN (ASW)</w:t>
      </w:r>
      <w:r w:rsidRPr="00C02A6C">
        <w:rPr>
          <w:rStyle w:val="FootnoteReference"/>
          <w:rFonts w:eastAsia="Times New Roman"/>
          <w:b/>
          <w:bCs/>
        </w:rPr>
        <w:footnoteReference w:id="64"/>
      </w:r>
      <w:r w:rsidRPr="00C02A6C">
        <w:rPr>
          <w:rFonts w:eastAsia="Arial"/>
          <w:b/>
          <w:bCs/>
          <w:lang w:val="vi-VN"/>
        </w:rPr>
        <w:t>,</w:t>
      </w:r>
      <w:r w:rsidRPr="00C02A6C">
        <w:rPr>
          <w:rFonts w:eastAsia="Arial"/>
          <w:lang w:val="vi-VN"/>
        </w:rPr>
        <w:t xml:space="preserve"> </w:t>
      </w:r>
      <w:r w:rsidRPr="00C02A6C">
        <w:rPr>
          <w:rFonts w:eastAsia="Arial"/>
          <w:b/>
          <w:bCs/>
          <w:lang w:val="vi-VN"/>
        </w:rPr>
        <w:t>Hiệp định Thương mại Điện tử ASEAN</w:t>
      </w:r>
      <w:r w:rsidRPr="00C02A6C">
        <w:rPr>
          <w:rFonts w:eastAsia="Arial"/>
          <w:lang w:val="vi-VN"/>
        </w:rPr>
        <w:t xml:space="preserve"> và Kế hoạch Hành động triển khai liên quan</w:t>
      </w:r>
      <w:r w:rsidRPr="004F1D15">
        <w:rPr>
          <w:rStyle w:val="FootnoteReference"/>
          <w:rFonts w:eastAsia="Times New Roman"/>
        </w:rPr>
        <w:footnoteReference w:id="65"/>
      </w:r>
      <w:r w:rsidRPr="00C02A6C">
        <w:rPr>
          <w:rFonts w:eastAsia="Arial"/>
          <w:lang w:val="vi-VN"/>
        </w:rPr>
        <w:t>. Các sáng kiến này nhấn mạnh tầm quan trọng của thương mại số xuyên biên giới liền mạch trong việc tăng cường tính cạnh tranh và thúc đẩy năng động kinh tế của khu vực.</w:t>
      </w:r>
      <w:r>
        <w:rPr>
          <w:rFonts w:eastAsia="Arial"/>
          <w:lang w:val="vi-VN"/>
        </w:rPr>
        <w:t xml:space="preserve"> </w:t>
      </w:r>
      <w:r w:rsidRPr="00C02A6C">
        <w:rPr>
          <w:rFonts w:eastAsia="Arial"/>
          <w:lang w:val="vi-VN"/>
        </w:rPr>
        <w:t>Đáng chú ý, Kế hoạch Hành động triển khai Hiệp định Thương mại Điện tử ASEAN đã đề ra các ưu tiên then chốt nhằm hỗ trợ các doanh nghiệp siêu nhỏ, nhỏ và vừa (MSMEs) tham gia thương mại và thương mại điện tử xuyên biên giới, thúc đẩy tăng trưởng bao trùm, thu hẹp khoảng cách phát triển và nâng cao tính minh bạch trong hệ sinh thái thương mại điện tử</w:t>
      </w:r>
      <w:r w:rsidR="003143CF" w:rsidRPr="004F1D15">
        <w:rPr>
          <w:rStyle w:val="FootnoteReference"/>
          <w:rFonts w:eastAsia="Times New Roman"/>
        </w:rPr>
        <w:footnoteReference w:id="66"/>
      </w:r>
      <w:r w:rsidRPr="00C02A6C">
        <w:rPr>
          <w:rFonts w:eastAsia="Arial"/>
          <w:lang w:val="vi-VN"/>
        </w:rPr>
        <w:t>.</w:t>
      </w:r>
      <w:r w:rsidR="003143CF">
        <w:rPr>
          <w:rFonts w:eastAsia="Arial"/>
          <w:lang w:val="vi-VN"/>
        </w:rPr>
        <w:t xml:space="preserve"> </w:t>
      </w:r>
      <w:r w:rsidR="003143CF" w:rsidRPr="003143CF">
        <w:rPr>
          <w:rFonts w:eastAsia="Arial"/>
          <w:lang w:val="vi-VN"/>
        </w:rPr>
        <w:t xml:space="preserve">Trong lĩnh vực logistics và giao hàng số trong thương mại số, ba phân khu quan trọng được xác định </w:t>
      </w:r>
      <w:r w:rsidR="003143CF">
        <w:rPr>
          <w:rFonts w:eastAsia="Arial"/>
          <w:lang w:val="vi-VN"/>
        </w:rPr>
        <w:t>-</w:t>
      </w:r>
      <w:r w:rsidR="003143CF" w:rsidRPr="003143CF">
        <w:rPr>
          <w:rFonts w:eastAsia="Arial"/>
          <w:lang w:val="vi-VN"/>
        </w:rPr>
        <w:t xml:space="preserve"> nơi tiêu chuẩn đóng vai trò thiết yếu </w:t>
      </w:r>
      <w:r w:rsidR="003143CF">
        <w:rPr>
          <w:rFonts w:eastAsia="Arial"/>
          <w:lang w:val="vi-VN"/>
        </w:rPr>
        <w:t>-</w:t>
      </w:r>
      <w:r w:rsidR="003143CF" w:rsidRPr="003143CF">
        <w:rPr>
          <w:rFonts w:eastAsia="Arial"/>
          <w:lang w:val="vi-VN"/>
        </w:rPr>
        <w:t xml:space="preserve"> gồm: (1) giao hàng chặng cuối (last mile delivery), (2) khung pháp lý hải quan (customs framework), và (3) đảm bảo giao dịch (transaction assurance).</w:t>
      </w:r>
    </w:p>
    <w:p w14:paraId="4F2C8507" w14:textId="4BA7DC68" w:rsidR="003D0E4D" w:rsidRPr="004F1D15" w:rsidRDefault="004F4FED" w:rsidP="00595FF2">
      <w:pPr>
        <w:pStyle w:val="ListParagraph"/>
        <w:numPr>
          <w:ilvl w:val="0"/>
          <w:numId w:val="4"/>
        </w:numPr>
        <w:rPr>
          <w:rFonts w:ascii="Arial" w:hAnsi="Arial"/>
          <w:b/>
          <w:lang w:val="en-GB"/>
        </w:rPr>
      </w:pPr>
      <w:r w:rsidRPr="004F4FED">
        <w:rPr>
          <w:rFonts w:ascii="Arial" w:hAnsi="Arial"/>
          <w:b/>
          <w:lang w:val="vi-VN"/>
        </w:rPr>
        <w:t>Mức độ liên quan của các phân khu đối với ASEAN (ưu tiên DTSCWG, ưu tiên DEFA, chương trình/nghị sự ASEAN)</w:t>
      </w:r>
    </w:p>
    <w:p w14:paraId="7A7B62EA" w14:textId="2B497A33" w:rsidR="00CC09E7" w:rsidRPr="00CC09E7" w:rsidRDefault="00CC09E7" w:rsidP="007664A3">
      <w:pPr>
        <w:rPr>
          <w:lang w:val="vi-VN"/>
        </w:rPr>
      </w:pPr>
      <w:r w:rsidRPr="00CC09E7">
        <w:rPr>
          <w:lang w:val="vi-VN"/>
        </w:rPr>
        <w:t xml:space="preserve">Giao hàng chặng cuối giữ vai trò then chốt trong việc nâng cao năng lực cạnh tranh của các doanh nghiệp địa phương trong ASEAN. Với sự đa dạng từ MSMEs đang phát triển đến các tập đoàn lớn, dịch vụ giao hàng đáng tin cậy và hiệu quả là yếu tố thiết yếu để bảo đảm hàng hóa đến nơi kịp thời, đặc biệt trong các lĩnh vực như y tế và nông nghiệp. Bên cạnh đó, sự bùng nổ của các nền tảng số và thương mại điện tử trong ASEAN đã làm gia tăng mạnh mẽ nhu cầu đối với dịch vụ giao hàng chặng </w:t>
      </w:r>
      <w:r w:rsidRPr="00CC09E7">
        <w:rPr>
          <w:lang w:val="vi-VN"/>
        </w:rPr>
        <w:lastRenderedPageBreak/>
        <w:t>cuối</w:t>
      </w:r>
      <w:r w:rsidRPr="004F1D15">
        <w:rPr>
          <w:rStyle w:val="FootnoteReference"/>
          <w:rFonts w:eastAsia="Times New Roman"/>
        </w:rPr>
        <w:footnoteReference w:id="67"/>
      </w:r>
      <w:r w:rsidRPr="00CC09E7">
        <w:rPr>
          <w:lang w:val="vi-VN"/>
        </w:rPr>
        <w:t>. Khi người tiêu dùng chuyển sang mua sắm trực tuyến, doanh nghiệp chịu áp lực ngày càng lớn phải giao hàng nhanh và hiệu quả. Dịch vụ giao hàng chặng cuối hiệu quả giúp đáp ứng kỳ vọng này, giảm chi phí vận chuyển và nâng cao hiệu quả logistics, từ đó hỗ trợ tăng trưởng liên tục của nền kinh tế số</w:t>
      </w:r>
      <w:r w:rsidRPr="004F1D15">
        <w:rPr>
          <w:rStyle w:val="FootnoteReference"/>
          <w:rFonts w:eastAsia="Times New Roman"/>
        </w:rPr>
        <w:footnoteReference w:id="68"/>
      </w:r>
      <w:r w:rsidRPr="00CC09E7">
        <w:rPr>
          <w:lang w:val="vi-VN"/>
        </w:rPr>
        <w:t>.</w:t>
      </w:r>
    </w:p>
    <w:p w14:paraId="2E464AA4" w14:textId="2AA4E8C8" w:rsidR="00CC09E7" w:rsidRDefault="00CC09E7" w:rsidP="007664A3">
      <w:pPr>
        <w:rPr>
          <w:lang w:val="vi-VN"/>
        </w:rPr>
      </w:pPr>
      <w:r w:rsidRPr="00CC09E7">
        <w:rPr>
          <w:lang w:val="vi-VN"/>
        </w:rPr>
        <w:t>Dựa trên thành công của Cơ chế Một cửa ASEAN (ASW)</w:t>
      </w:r>
      <w:r w:rsidRPr="00CC09E7">
        <w:rPr>
          <w:rStyle w:val="FooterChar"/>
          <w:rFonts w:eastAsia="Times New Roman"/>
        </w:rPr>
        <w:t xml:space="preserve"> </w:t>
      </w:r>
      <w:r w:rsidRPr="004F1D15">
        <w:rPr>
          <w:rStyle w:val="FootnoteReference"/>
          <w:rFonts w:eastAsia="Times New Roman"/>
        </w:rPr>
        <w:footnoteReference w:id="69"/>
      </w:r>
      <w:r w:rsidRPr="00CC09E7">
        <w:rPr>
          <w:lang w:val="vi-VN"/>
        </w:rPr>
        <w:t>, ASEAN có thể tiếp tục đẩy nhanh nỗ lực đơn giản hóa quy trình và khung pháp lý hải quan. Điều này bao gồm việc thúc đẩy hài hòa quy trình hải quan, triển khai mô hình đánh giá rủi ro đối với hàng TMĐT, và thiết lập các khung thời gian giải phóng hàng đối với lô hàng rủi ro thấp tại điểm xuất phát và điểm đến.</w:t>
      </w:r>
    </w:p>
    <w:p w14:paraId="13AC6372" w14:textId="15A76097" w:rsidR="00CC09E7" w:rsidRPr="00CC09E7" w:rsidRDefault="00CC09E7" w:rsidP="007664A3">
      <w:pPr>
        <w:rPr>
          <w:lang w:val="vi-VN"/>
        </w:rPr>
      </w:pPr>
      <w:r w:rsidRPr="00CC09E7">
        <w:rPr>
          <w:lang w:val="vi-VN"/>
        </w:rPr>
        <w:t xml:space="preserve">Cuối cùng, xây dựng lòng tin giữa người mua và người bán trong thị trường là điều thiết yếu để thúc đẩy tăng trưởng thị trường và hình thành một hệ sinh thái thương mại số bền vững. Đảm bảo giao dịch đối với các hoạt động TMĐT đặc biệt quan trọng, vì các giao dịch có thể diễn ra mà không có xác minh trực tiếp. Do đó, đang xuất hiện nhu cầu ngày càng lớn về một bộ tiêu chuẩn toàn diện cho đảm bảo giao dịch TMĐT, nhằm hỗ trợ các sáng kiến như </w:t>
      </w:r>
      <w:r w:rsidRPr="00610542">
        <w:rPr>
          <w:b/>
          <w:bCs/>
          <w:lang w:val="vi-VN"/>
        </w:rPr>
        <w:t>Chương trình Dấu tin cậy ASEAN</w:t>
      </w:r>
      <w:r w:rsidRPr="00CC09E7">
        <w:rPr>
          <w:lang w:val="vi-VN"/>
        </w:rPr>
        <w:t xml:space="preserve"> (ASEAN Trust Mark Scheme)  và </w:t>
      </w:r>
      <w:r w:rsidRPr="00610542">
        <w:rPr>
          <w:b/>
          <w:bCs/>
          <w:lang w:val="vi-VN"/>
        </w:rPr>
        <w:t>Hướng dẫn ASEAN về Giải quyết Tranh chấp Trực tuyến</w:t>
      </w:r>
      <w:r w:rsidRPr="00CC09E7">
        <w:rPr>
          <w:lang w:val="vi-VN"/>
        </w:rPr>
        <w:t xml:space="preserve"> (Online Dispute Resolution)</w:t>
      </w:r>
      <w:r w:rsidR="00610542" w:rsidRPr="004F1D15">
        <w:rPr>
          <w:rStyle w:val="FootnoteReference"/>
          <w:rFonts w:eastAsia="Times New Roman"/>
        </w:rPr>
        <w:footnoteReference w:id="70"/>
      </w:r>
      <w:r w:rsidRPr="00CC09E7">
        <w:rPr>
          <w:lang w:val="vi-VN"/>
        </w:rPr>
        <w:t>.</w:t>
      </w:r>
    </w:p>
    <w:p w14:paraId="2ACC7864" w14:textId="177CF561" w:rsidR="003D0E4D" w:rsidRPr="00687965" w:rsidRDefault="00A24304" w:rsidP="00FF6387">
      <w:pPr>
        <w:pStyle w:val="ListParagraph"/>
        <w:numPr>
          <w:ilvl w:val="0"/>
          <w:numId w:val="38"/>
        </w:numPr>
        <w:rPr>
          <w:rFonts w:ascii="Arial" w:hAnsi="Arial"/>
          <w:b/>
          <w:lang w:val="en-GB"/>
        </w:rPr>
      </w:pPr>
      <w:r>
        <w:rPr>
          <w:rFonts w:ascii="Arial" w:hAnsi="Arial"/>
          <w:b/>
          <w:lang w:val="en-GB"/>
        </w:rPr>
        <w:t>Tầm</w:t>
      </w:r>
      <w:r>
        <w:rPr>
          <w:rFonts w:ascii="Arial" w:hAnsi="Arial"/>
          <w:b/>
          <w:lang w:val="vi-VN"/>
        </w:rPr>
        <w:t xml:space="preserve"> quan trọng và vai trò của tiêu chuẩn trong lĩnh vực thương mại số đã xác định</w:t>
      </w:r>
    </w:p>
    <w:p w14:paraId="1622F692" w14:textId="5398D20A" w:rsidR="0025188F" w:rsidRPr="004F1D15" w:rsidRDefault="00A24304" w:rsidP="007664A3">
      <w:r w:rsidRPr="00A24304">
        <w:t>Tiêu chuẩn luôn là một phần quan trọng trong việc giảm rào cản kỹ thuật thương mại và giải quyết các vấn đề phi thuế quan. Các vấn đề phi thuế quan có thể bao gồm các thông số kỹ thuật sản phẩm khác nhau, các quy định về an toàn và chất lượng, cũng như sự tồn tại của các yêu cầu, bao gồm cả yêu cầu phê duyệt trước khi đưa sản phẩm ra thị trường. Trong khi tiêu chuẩn đã được áp dụng cho nhiều lĩnh vực thương mại truyền thống, số hóa các quy trình thương mại dọc theo chuỗi cung ứng và giao hàng chặng cuối mang đến những thách thức mới cần được hài hòa.</w:t>
      </w:r>
    </w:p>
    <w:p w14:paraId="15B9D17D" w14:textId="5E2556C2" w:rsidR="00A703AE" w:rsidRPr="00A24304" w:rsidRDefault="00A24304" w:rsidP="00B77745">
      <w:pPr>
        <w:rPr>
          <w:rFonts w:ascii="Segoe UI Light" w:eastAsia="Arial" w:hAnsi="Segoe UI Light"/>
          <w:i/>
          <w:color w:val="657C9C" w:themeColor="text2" w:themeTint="BF"/>
          <w:lang w:val="vi-VN"/>
        </w:rPr>
      </w:pPr>
      <w:r w:rsidRPr="00A24304">
        <w:rPr>
          <w:lang w:val="vi-VN"/>
        </w:rPr>
        <w:t>phân khu được xác định, gồm: (1) giao hàng chặng cuối (last mile delivery), (2) khung pháp lý hải quan (customs framework), và (3) đảm bảo giao dịch (transaction assurance) là những lĩnh vực mà các giải pháp số hóa hài hòa có thể tăng cường đáng kể khả năng tham gia thương mại số của cộng đồng kinh tế khu vực.</w:t>
      </w:r>
    </w:p>
    <w:p w14:paraId="4CD64919" w14:textId="2FD7511B" w:rsidR="00AB02C7" w:rsidRPr="004F1D15" w:rsidRDefault="004C4E7D" w:rsidP="00C82E40">
      <w:pPr>
        <w:pStyle w:val="Heading4"/>
        <w:rPr>
          <w:lang w:val="en-GB"/>
        </w:rPr>
      </w:pPr>
      <w:r>
        <w:rPr>
          <w:lang w:val="en-GB"/>
        </w:rPr>
        <w:t>Giao</w:t>
      </w:r>
      <w:r>
        <w:rPr>
          <w:lang w:val="vi-VN"/>
        </w:rPr>
        <w:t xml:space="preserve"> hàng chặng cuối </w:t>
      </w:r>
    </w:p>
    <w:p w14:paraId="53BF1754" w14:textId="190A886C" w:rsidR="00AB02C7" w:rsidRPr="004F1D15" w:rsidRDefault="004C4E7D" w:rsidP="00595FF2">
      <w:pPr>
        <w:pStyle w:val="ListParagraph"/>
        <w:numPr>
          <w:ilvl w:val="0"/>
          <w:numId w:val="6"/>
        </w:numPr>
        <w:rPr>
          <w:rFonts w:ascii="Arial" w:hAnsi="Arial"/>
          <w:b/>
          <w:lang w:val="en-GB"/>
        </w:rPr>
      </w:pPr>
      <w:r>
        <w:rPr>
          <w:rFonts w:ascii="Arial" w:hAnsi="Arial"/>
          <w:b/>
          <w:lang w:val="en-GB"/>
        </w:rPr>
        <w:t>Tầm</w:t>
      </w:r>
      <w:r>
        <w:rPr>
          <w:rFonts w:ascii="Arial" w:hAnsi="Arial"/>
          <w:b/>
          <w:lang w:val="vi-VN"/>
        </w:rPr>
        <w:t xml:space="preserve"> quan trọng của tiêu chuẩn trong phân khu này</w:t>
      </w:r>
      <w:r w:rsidR="00AB02C7" w:rsidRPr="004F1D15">
        <w:rPr>
          <w:rFonts w:ascii="Arial" w:hAnsi="Arial"/>
          <w:b/>
          <w:lang w:val="en-GB"/>
        </w:rPr>
        <w:t xml:space="preserve"> </w:t>
      </w:r>
    </w:p>
    <w:p w14:paraId="29BBCD4D" w14:textId="5E121AD5" w:rsidR="004C4E7D" w:rsidRPr="004C4E7D" w:rsidRDefault="004C4E7D" w:rsidP="007664A3">
      <w:pPr>
        <w:rPr>
          <w:rStyle w:val="ui-provider"/>
          <w:lang w:val="vi-VN"/>
        </w:rPr>
      </w:pPr>
      <w:r w:rsidRPr="004C4E7D">
        <w:rPr>
          <w:rStyle w:val="ui-provider"/>
          <w:lang w:val="vi-VN"/>
        </w:rPr>
        <w:t xml:space="preserve">Trong thời đại thương mại điện tử bùng nổ và các giao dịch trực tiếp đến người tiêu dùng (D2C) ngày càng phát triển, giao hàng chặng cuối trở thành động lực chính cho tăng trưởng kinh tế số của ASEAN. </w:t>
      </w:r>
      <w:r w:rsidRPr="004C4E7D">
        <w:rPr>
          <w:rStyle w:val="ui-provider"/>
          <w:lang w:val="vi-VN"/>
        </w:rPr>
        <w:lastRenderedPageBreak/>
        <w:t>Ví dụ, tại Indonesia, mua sắm trực tuyến được ước tính chiếm khoảng 60% tổng khối lượng bán hàng của cả nước</w:t>
      </w:r>
      <w:r w:rsidRPr="004F1D15">
        <w:rPr>
          <w:rStyle w:val="FootnoteReference"/>
        </w:rPr>
        <w:footnoteReference w:id="71"/>
      </w:r>
      <w:r w:rsidRPr="004C4E7D">
        <w:rPr>
          <w:rStyle w:val="ui-provider"/>
          <w:lang w:val="vi-VN"/>
        </w:rPr>
        <w:t>. Một hệ sinh thái giao hàng chặng cuối mạnh mẽ hỗ trợ khả năng chống chịu của chuỗi cung ứng, phù hợp với mục tiêu của Hiệp định Thương mại Điện tử ASEAN nhằm phát triển và tăng cường việc sử dụng thương mại điện tử</w:t>
      </w:r>
      <w:r w:rsidRPr="004F1D15">
        <w:rPr>
          <w:rStyle w:val="FootnoteReference"/>
        </w:rPr>
        <w:footnoteReference w:id="72"/>
      </w:r>
      <w:r w:rsidRPr="004C4E7D">
        <w:rPr>
          <w:rStyle w:val="ui-provider"/>
          <w:lang w:val="vi-VN"/>
        </w:rPr>
        <w:t>.</w:t>
      </w:r>
    </w:p>
    <w:p w14:paraId="4C181D11" w14:textId="0A206067" w:rsidR="006F70B9" w:rsidRPr="006F70B9" w:rsidRDefault="006F70B9" w:rsidP="006F70B9">
      <w:pPr>
        <w:rPr>
          <w:rStyle w:val="ui-provider"/>
          <w:lang w:val="vi-VN"/>
        </w:rPr>
      </w:pPr>
      <w:r w:rsidRPr="006F70B9">
        <w:rPr>
          <w:rStyle w:val="ui-provider"/>
          <w:lang w:val="vi-VN"/>
        </w:rPr>
        <w:t>Mặc dù thương mại điện tử được áp dụng nhanh chóng, ASEAN vẫn đối mặt với những thách thức đặc thù trong giao hàng chặng cuối do địa lý và dân số đa dạng. Tại Malaysia và Thái Lan, các nhà cung cấp dịch vụ logistics phát triển tốt và xếp hạng cao về chất lượng dịch vụ, nhưng vẫn gặp các vấn đề quan trọng trong giao hàng chặng cuối, đòi hỏi tối ưu hóa để nâng cao hiệu quả và sự hài lòng của khách hàng</w:t>
      </w:r>
      <w:r w:rsidRPr="004F1D15">
        <w:rPr>
          <w:rStyle w:val="FootnoteReference"/>
        </w:rPr>
        <w:footnoteReference w:id="73"/>
      </w:r>
      <w:r w:rsidRPr="006F70B9">
        <w:rPr>
          <w:rStyle w:val="ui-provider"/>
          <w:lang w:val="vi-VN"/>
        </w:rPr>
        <w:t>.</w:t>
      </w:r>
      <w:r>
        <w:rPr>
          <w:rStyle w:val="ui-provider"/>
          <w:lang w:val="vi-VN"/>
        </w:rPr>
        <w:t xml:space="preserve"> </w:t>
      </w:r>
      <w:r w:rsidRPr="006F70B9">
        <w:rPr>
          <w:rStyle w:val="ui-provider"/>
          <w:lang w:val="vi-VN"/>
        </w:rPr>
        <w:t>Ở Philippines và Việt Nam, các khu vực đô thị được hưởng lợi từ mạng lưới dày đặc các nhà cung cấp logistics quy mô nhỏ, đảm bảo dịch vụ giao hàng tương đối hiệu quả</w:t>
      </w:r>
      <w:r w:rsidRPr="004F1D15">
        <w:rPr>
          <w:rStyle w:val="FootnoteReference"/>
        </w:rPr>
        <w:footnoteReference w:id="74"/>
      </w:r>
      <w:r w:rsidRPr="006F70B9">
        <w:rPr>
          <w:rStyle w:val="ui-provider"/>
          <w:lang w:val="vi-VN"/>
        </w:rPr>
        <w:t>. Tuy nhiên, việc mở rộng dịch vụ đến các khu vực nông thôn gặp khó khăn do cơ sở hạ tầng kém phát triển và chi phí cao hơn liên quan đến các tuyến đường giao hàng dài.</w:t>
      </w:r>
      <w:r>
        <w:rPr>
          <w:rStyle w:val="ui-provider"/>
          <w:lang w:val="vi-VN"/>
        </w:rPr>
        <w:t xml:space="preserve"> </w:t>
      </w:r>
      <w:r w:rsidRPr="006F70B9">
        <w:rPr>
          <w:rStyle w:val="ui-provider"/>
          <w:lang w:val="vi-VN"/>
        </w:rPr>
        <w:t>Indonesia đối mặt với một thách thức logistics độc đáo. Quần đảo nước này gồm hơn 15.000 hòn đảo, nhưng chỉ khoảng 53% dân số sinh sống tại các khu vực đô thị</w:t>
      </w:r>
      <w:r w:rsidR="009274A6" w:rsidRPr="004F1D15">
        <w:rPr>
          <w:rStyle w:val="FootnoteReference"/>
        </w:rPr>
        <w:footnoteReference w:id="75"/>
      </w:r>
      <w:r w:rsidRPr="006F70B9">
        <w:rPr>
          <w:rStyle w:val="ui-provider"/>
          <w:lang w:val="vi-VN"/>
        </w:rPr>
        <w:t>. Phân bố địa lý này đặt ra những rào cản phức tạp cho việc giao hàng chặng cuối hiệu quả, đặc biệt là đảm bảo dịch vụ giao hàng kịp thời và tiết kiệm chi phí trên một khu vực phân mảnh như vậy.</w:t>
      </w:r>
    </w:p>
    <w:p w14:paraId="52277016" w14:textId="4496139F" w:rsidR="009274A6" w:rsidRPr="009274A6" w:rsidRDefault="009274A6" w:rsidP="009274A6">
      <w:pPr>
        <w:rPr>
          <w:rStyle w:val="ui-provider"/>
          <w:lang w:val="vi-VN"/>
        </w:rPr>
      </w:pPr>
      <w:r w:rsidRPr="009274A6">
        <w:rPr>
          <w:rStyle w:val="ui-provider"/>
          <w:lang w:val="vi-VN"/>
        </w:rPr>
        <w:t>Do đó, tiêu chuẩn giao hàng chặng cuối là yếu tố quan trọng để nâng cao hiệu quả, độ tin cậy và tính bền vững của hoạt động giao hàng, đồng thời giảm thiểu tắc nghẽn do hệ thống và tiêu chuẩn phân mảnh. Những tiêu chuẩn này thiết lập một khuôn khổ về tính nhất quán và chất lượng trong giai đoạn cuối cùng của quá trình giao hàng, bao gồm các yếu tố như thời gian giao hàng, xử lý kiện hàng, hệ thống theo dõi và giao tiếp với khách hàng. Tuân thủ các thực hành tiêu chuẩn hóa giúp các nhà cung cấp logistics tối ưu hóa hoạt động, giảm chi phí và nâng cao sự hài lòng của khách hàng</w:t>
      </w:r>
      <w:r w:rsidR="00CE0F84" w:rsidRPr="004F1D15">
        <w:rPr>
          <w:rStyle w:val="FootnoteReference"/>
        </w:rPr>
        <w:footnoteReference w:id="76"/>
      </w:r>
      <w:r w:rsidRPr="009274A6">
        <w:rPr>
          <w:rStyle w:val="ui-provider"/>
          <w:lang w:val="vi-VN"/>
        </w:rPr>
        <w:t>.</w:t>
      </w:r>
      <w:r>
        <w:rPr>
          <w:rStyle w:val="ui-provider"/>
          <w:lang w:val="vi-VN"/>
        </w:rPr>
        <w:t xml:space="preserve"> </w:t>
      </w:r>
      <w:r w:rsidRPr="009274A6">
        <w:rPr>
          <w:rStyle w:val="ui-provider"/>
          <w:lang w:val="vi-VN"/>
        </w:rPr>
        <w:t>Hơn nữa, các quy trình giao hàng chặng cuối tiêu chuẩn hóa thúc đẩy sự bền vững môi trường bằng cách giảm lượng nhiên liệu và khí thải không cần thiết thông qua việc tối ưu hóa lộ trình và sử dụng phương tiện</w:t>
      </w:r>
      <w:r w:rsidR="00CE0F84" w:rsidRPr="004F1D15">
        <w:rPr>
          <w:rStyle w:val="FootnoteReference"/>
        </w:rPr>
        <w:footnoteReference w:id="77"/>
      </w:r>
      <w:r w:rsidRPr="009274A6">
        <w:rPr>
          <w:rStyle w:val="ui-provider"/>
          <w:lang w:val="vi-VN"/>
        </w:rPr>
        <w:t>. Thêm vào đó, các tiêu chuẩn hài hòa thúc đẩy khả năng tương tác và hợp tác giữa các công ty logistics, nâng cao hiệu quả và tính kinh tế trong thương mại xuyên biên giới.</w:t>
      </w:r>
      <w:r>
        <w:rPr>
          <w:rStyle w:val="ui-provider"/>
          <w:lang w:val="vi-VN"/>
        </w:rPr>
        <w:t xml:space="preserve"> </w:t>
      </w:r>
      <w:r w:rsidRPr="009274A6">
        <w:rPr>
          <w:rStyle w:val="ui-provider"/>
          <w:lang w:val="vi-VN"/>
        </w:rPr>
        <w:t xml:space="preserve">Cuối cùng, việc nâng cao hiệu quả và mở rộng phạm vi dịch vụ giao hàng đến các khu vực xa xôi sẽ thúc đẩy phát triển bao trùm và công bằng. Điều này sẽ giúp một loạt sản phẩm rộng hơn tiếp cận các khu vực nông thôn, </w:t>
      </w:r>
      <w:r w:rsidRPr="009274A6">
        <w:rPr>
          <w:rStyle w:val="ui-provider"/>
          <w:lang w:val="vi-VN"/>
        </w:rPr>
        <w:lastRenderedPageBreak/>
        <w:t>đảm bảo rằng cộng đồng nông thôn có quyền tiếp cận các sản phẩm kịp thời và bình đẳng như người dân đô thị.</w:t>
      </w:r>
      <w:r>
        <w:rPr>
          <w:rStyle w:val="ui-provider"/>
          <w:lang w:val="vi-VN"/>
        </w:rPr>
        <w:t xml:space="preserve"> </w:t>
      </w:r>
      <w:r w:rsidRPr="009274A6">
        <w:rPr>
          <w:rStyle w:val="ui-provider"/>
          <w:lang w:val="vi-VN"/>
        </w:rPr>
        <w:t>Tổng thể, việc thiết lập và áp dụng tiêu chuẩn giao hàng chặng cuối trên toàn ASEAN là yếu tố then chốt để xây dựng một hệ sinh thái thương mại điện tử cạnh tranh và chống chịu.</w:t>
      </w:r>
    </w:p>
    <w:p w14:paraId="709BA7E5" w14:textId="492F765A" w:rsidR="00AB02C7" w:rsidRPr="004F1D15" w:rsidRDefault="00445574" w:rsidP="00BB622E">
      <w:pPr>
        <w:rPr>
          <w:b/>
        </w:rPr>
      </w:pPr>
      <w:r>
        <w:rPr>
          <w:b/>
        </w:rPr>
        <w:t>Những</w:t>
      </w:r>
      <w:r>
        <w:rPr>
          <w:b/>
          <w:lang w:val="vi-VN"/>
        </w:rPr>
        <w:t xml:space="preserve"> tiêu chuẩn quan trọng đối với lợi ích của</w:t>
      </w:r>
      <w:r w:rsidR="00AB02C7" w:rsidRPr="00BB622E">
        <w:rPr>
          <w:b/>
        </w:rPr>
        <w:t xml:space="preserve"> ASEAN </w:t>
      </w:r>
    </w:p>
    <w:p w14:paraId="667F2173" w14:textId="1DB0367D" w:rsidR="00445574" w:rsidRPr="00445574" w:rsidRDefault="00445574" w:rsidP="00445574">
      <w:pPr>
        <w:rPr>
          <w:lang w:val="vi-VN"/>
        </w:rPr>
      </w:pPr>
      <w:r w:rsidRPr="00445574">
        <w:rPr>
          <w:lang w:val="vi-VN"/>
        </w:rPr>
        <w:t>Trên phạm vi toàn cầu, các tiêu chuẩn về giao hàng chặng cuối vẫn còn non trẻ, với sự thiếu hụt chung về các tiêu chuẩn toàn diện. Điều này đặt ASEAN vào vị thế đặc biệt để dẫn dắt và ảnh hưởng đến sự phát triển của các tiêu chuẩn này. Các tiêu chuẩn hàng đầu trong giao hàng chặng cuối nên bao gồm các thành phần chính liên quan đến đóng gói, dán nhãn và trao đổi dữ liệu.</w:t>
      </w:r>
      <w:r>
        <w:rPr>
          <w:lang w:val="vi-VN"/>
        </w:rPr>
        <w:t xml:space="preserve"> </w:t>
      </w:r>
      <w:r w:rsidRPr="00445574">
        <w:rPr>
          <w:b/>
          <w:bCs/>
          <w:lang w:val="vi-VN"/>
        </w:rPr>
        <w:t xml:space="preserve">Technical Reference 105 (TR 105) </w:t>
      </w:r>
      <w:r w:rsidRPr="00445574">
        <w:rPr>
          <w:lang w:val="vi-VN"/>
        </w:rPr>
        <w:t>của Singapore</w:t>
      </w:r>
      <w:r w:rsidRPr="004F1D15">
        <w:rPr>
          <w:rStyle w:val="FootnoteReference"/>
          <w:rFonts w:eastAsia="Times New Roman"/>
        </w:rPr>
        <w:footnoteReference w:id="78"/>
      </w:r>
      <w:r w:rsidRPr="00445574">
        <w:rPr>
          <w:lang w:val="vi-VN"/>
        </w:rPr>
        <w:t xml:space="preserve"> nổi bật là một trong số ít các tiêu chuẩn trong lĩnh vực này, được phát triển để cải thiện trải nghiệm của người tiêu dùng cuối trong bốn lĩnh vực chính:</w:t>
      </w:r>
    </w:p>
    <w:p w14:paraId="747FA48D" w14:textId="60838C20" w:rsidR="00AC709C" w:rsidRPr="00AC709C" w:rsidRDefault="00AC709C" w:rsidP="00AC709C">
      <w:pPr>
        <w:pStyle w:val="ListParagraph"/>
        <w:numPr>
          <w:ilvl w:val="0"/>
          <w:numId w:val="7"/>
        </w:numPr>
        <w:rPr>
          <w:rFonts w:ascii="Arial" w:hAnsi="Arial"/>
          <w:lang w:val="en-GB"/>
        </w:rPr>
      </w:pPr>
      <w:r w:rsidRPr="00AC709C">
        <w:rPr>
          <w:rFonts w:ascii="Arial" w:hAnsi="Arial"/>
          <w:lang w:val="en-GB"/>
        </w:rPr>
        <w:t xml:space="preserve">Nâng cao năng suất của các dịch vụ giao hàng chặng cuối (LMDs) bằng cách tiêu chuẩn hóa hướng dẫn đóng gói và dán nhãn, giúp giảm tỷ lệ giao hàng thất bại và tối ưu hóa lịch trình lưu kho và giao </w:t>
      </w:r>
      <w:r>
        <w:rPr>
          <w:rFonts w:ascii="Arial" w:hAnsi="Arial"/>
          <w:lang w:val="en-GB"/>
        </w:rPr>
        <w:t>hàng</w:t>
      </w:r>
      <w:r>
        <w:rPr>
          <w:rFonts w:ascii="Arial" w:hAnsi="Arial"/>
          <w:lang w:val="vi-VN"/>
        </w:rPr>
        <w:t>.</w:t>
      </w:r>
    </w:p>
    <w:p w14:paraId="17E5DD27" w14:textId="5057F3AC" w:rsidR="00AC709C" w:rsidRPr="00AC709C" w:rsidRDefault="00AC709C" w:rsidP="00AC709C">
      <w:pPr>
        <w:pStyle w:val="ListParagraph"/>
        <w:numPr>
          <w:ilvl w:val="0"/>
          <w:numId w:val="7"/>
        </w:numPr>
        <w:rPr>
          <w:rFonts w:ascii="Arial" w:hAnsi="Arial"/>
          <w:lang w:val="en-GB"/>
        </w:rPr>
      </w:pPr>
      <w:r w:rsidRPr="00AC709C">
        <w:rPr>
          <w:rFonts w:ascii="Arial" w:hAnsi="Arial"/>
          <w:lang w:val="en-GB"/>
        </w:rPr>
        <w:t>Cho phép trao đổi dữ liệu và hài hòa hóa giữa các thị trường, người bán và nền tảng LSP để bảo vệ dữ liệu và giảm tần suất thất bại trong giao hàng cho người tiêu dùng cuối.</w:t>
      </w:r>
    </w:p>
    <w:p w14:paraId="0CC5A881" w14:textId="1A7B3743" w:rsidR="00AC709C" w:rsidRPr="00AC709C" w:rsidRDefault="00AC709C" w:rsidP="00AC709C">
      <w:pPr>
        <w:pStyle w:val="ListParagraph"/>
        <w:numPr>
          <w:ilvl w:val="0"/>
          <w:numId w:val="7"/>
        </w:numPr>
        <w:rPr>
          <w:rFonts w:ascii="Arial" w:hAnsi="Arial"/>
          <w:lang w:val="en-GB"/>
        </w:rPr>
      </w:pPr>
      <w:r w:rsidRPr="00AC709C">
        <w:rPr>
          <w:rFonts w:ascii="Arial" w:hAnsi="Arial"/>
          <w:lang w:val="en-GB"/>
        </w:rPr>
        <w:t>Đồng bộ hóa các bộ dữ liệu giữa thị trường và nền tảng LSP, đồng thời tiêu chuẩn hóa thông tin truyền đạt tới người tiêu dùng cuối. Điều này giúp người tiêu dùng theo dõi trạng thái gói hàng tốt hơn và liên lạc với các bên liên quan trong các điểm tiếp xúc quan trọng.</w:t>
      </w:r>
    </w:p>
    <w:p w14:paraId="6A2D1EBB" w14:textId="15DE136A" w:rsidR="00AC709C" w:rsidRPr="00516087" w:rsidRDefault="00AC709C" w:rsidP="00AC709C">
      <w:pPr>
        <w:pStyle w:val="ListParagraph"/>
        <w:numPr>
          <w:ilvl w:val="0"/>
          <w:numId w:val="7"/>
        </w:numPr>
        <w:rPr>
          <w:rFonts w:ascii="Arial" w:hAnsi="Arial"/>
          <w:lang w:val="en-GB"/>
        </w:rPr>
      </w:pPr>
      <w:r w:rsidRPr="00AC709C">
        <w:rPr>
          <w:rFonts w:ascii="Arial" w:hAnsi="Arial"/>
          <w:lang w:val="en-GB"/>
        </w:rPr>
        <w:t>Nâng cao các quy trình và thực hành vận hành trong LMDs thông qua các hướng dẫn về logistics giao hàng, hướng dẫn và quyền hạn trên các phương thức giao hàng chính. Điều này sẽ tạo điều kiện cho việc giao hàng không tiếp xúc (contactless) hiệu quả và đúng giờ hơn.</w:t>
      </w:r>
    </w:p>
    <w:p w14:paraId="3439B383" w14:textId="5096B1B2" w:rsidR="00AC709C" w:rsidRPr="00AC709C" w:rsidRDefault="00AC709C" w:rsidP="007664A3">
      <w:pPr>
        <w:rPr>
          <w:lang w:val="vi-VN"/>
        </w:rPr>
      </w:pPr>
      <w:r w:rsidRPr="00AC709C">
        <w:rPr>
          <w:lang w:val="vi-VN"/>
        </w:rPr>
        <w:t xml:space="preserve">Một tiêu chuẩn khác đáng chú ý trong lĩnh vực này là </w:t>
      </w:r>
      <w:r w:rsidRPr="00AC709C">
        <w:rPr>
          <w:b/>
          <w:bCs/>
          <w:lang w:val="vi-VN"/>
        </w:rPr>
        <w:t>Tiêu chuẩn dán nhãn GS1</w:t>
      </w:r>
      <w:r w:rsidRPr="00AC709C">
        <w:rPr>
          <w:lang w:val="vi-VN"/>
        </w:rPr>
        <w:t xml:space="preserve">, được nhấn mạnh </w:t>
      </w:r>
      <w:r w:rsidRPr="00AC709C">
        <w:rPr>
          <w:i/>
          <w:iCs/>
          <w:lang w:val="vi-VN"/>
        </w:rPr>
        <w:t>trong Kế hoạch Thực hiện Hiệp định Thương mại Điện tử ASEAN</w:t>
      </w:r>
      <w:r w:rsidRPr="00AC709C">
        <w:rPr>
          <w:rStyle w:val="FootnoteReference"/>
          <w:rFonts w:eastAsia="Times New Roman"/>
          <w:i/>
          <w:iCs/>
        </w:rPr>
        <w:footnoteReference w:id="79"/>
      </w:r>
      <w:r w:rsidRPr="00AC709C">
        <w:rPr>
          <w:i/>
          <w:iCs/>
          <w:lang w:val="vi-VN"/>
        </w:rPr>
        <w:t>.</w:t>
      </w:r>
      <w:r w:rsidRPr="00AC709C">
        <w:rPr>
          <w:lang w:val="vi-VN"/>
        </w:rPr>
        <w:t xml:space="preserve"> Tiêu chuẩn này bao gồm một bộ quy tắc và hướng dẫn nhằm làm cho các đơn vị logistics và hàng hóa thương mại có thể nhận dạng vật lý bằng mã vạch và RFID</w:t>
      </w:r>
      <w:r w:rsidRPr="004F1D15">
        <w:rPr>
          <w:rStyle w:val="FootnoteReference"/>
          <w:rFonts w:eastAsia="Times New Roman"/>
        </w:rPr>
        <w:footnoteReference w:id="80"/>
      </w:r>
      <w:r w:rsidRPr="00AC709C">
        <w:rPr>
          <w:lang w:val="vi-VN"/>
        </w:rPr>
        <w:t>.</w:t>
      </w:r>
    </w:p>
    <w:p w14:paraId="014A2BF2" w14:textId="04DA9E6C" w:rsidR="001507E5" w:rsidRPr="006E2FED" w:rsidRDefault="006E2FED" w:rsidP="007664A3">
      <w:pPr>
        <w:rPr>
          <w:lang w:val="vi-VN"/>
        </w:rPr>
      </w:pPr>
      <w:r w:rsidRPr="006E2FED">
        <w:rPr>
          <w:lang w:val="vi-VN"/>
        </w:rPr>
        <w:t>Các nước ASEAN có thể cân nhắc theo dõi chặt chẽ công việc đang diễn ra của Ủy ban Kinh tế Liên Hợp Quốc về Châu Âu (UNECE) liên quan đến khả năng truy xuất hàng hóa trong giao hàng chặng cuối</w:t>
      </w:r>
      <w:r>
        <w:rPr>
          <w:rStyle w:val="FootnoteReference"/>
        </w:rPr>
        <w:footnoteReference w:id="81"/>
      </w:r>
      <w:r w:rsidRPr="006E2FED">
        <w:rPr>
          <w:lang w:val="vi-VN"/>
        </w:rPr>
        <w:t>, có liên quan tới ISO/TC 154 Project Group 9.</w:t>
      </w:r>
    </w:p>
    <w:p w14:paraId="0B939E55" w14:textId="46779E20" w:rsidR="00040585" w:rsidRPr="006E2FED" w:rsidRDefault="006E2FED" w:rsidP="007664A3">
      <w:pPr>
        <w:rPr>
          <w:lang w:val="vi-VN"/>
        </w:rPr>
      </w:pPr>
      <w:r w:rsidRPr="006E2FED">
        <w:t>Các nước ASEAN cũng có thể xem xét hợp tác với Ủy ban Tiêu chuẩn Châu Âu (CEN), được EU ủy quyền thực hiện dự án Last Mile, trong việc phát triển các tiêu chuẩn giao hàng chặng cuối</w:t>
      </w:r>
      <w:r w:rsidR="00AB02C7" w:rsidRPr="004F1D15">
        <w:rPr>
          <w:rStyle w:val="FootnoteReference"/>
          <w:rFonts w:eastAsia="Times New Roman"/>
        </w:rPr>
        <w:footnoteReference w:id="82"/>
      </w:r>
      <w:r>
        <w:rPr>
          <w:lang w:val="vi-VN"/>
        </w:rPr>
        <w:t>.</w:t>
      </w:r>
    </w:p>
    <w:p w14:paraId="69A72281" w14:textId="515B2DC4" w:rsidR="00AB02C7" w:rsidRPr="00516087" w:rsidRDefault="006E2FED" w:rsidP="00595FF2">
      <w:pPr>
        <w:pStyle w:val="ListParagraph"/>
        <w:numPr>
          <w:ilvl w:val="0"/>
          <w:numId w:val="6"/>
        </w:numPr>
        <w:rPr>
          <w:rFonts w:ascii="Arial" w:hAnsi="Arial"/>
          <w:b/>
          <w:lang w:val="en-GB"/>
        </w:rPr>
      </w:pPr>
      <w:r w:rsidRPr="006E2FED">
        <w:rPr>
          <w:rFonts w:ascii="Arial" w:hAnsi="Arial"/>
          <w:b/>
          <w:lang w:val="vi-VN"/>
        </w:rPr>
        <w:lastRenderedPageBreak/>
        <w:t>Tình trạng hiện tại của việc áp dụng tiêu chuẩn tại ASEAN, bao gồm các nỗ lực đang diễn ra, kế hoạch sắp tới và các thách thức chính trong việc áp dụng tiêu chuẩn trên các nước ASEAN</w:t>
      </w:r>
    </w:p>
    <w:p w14:paraId="213EE819" w14:textId="6A33A294" w:rsidR="00451458" w:rsidRPr="0040143B" w:rsidRDefault="0040143B" w:rsidP="0040143B">
      <w:pPr>
        <w:rPr>
          <w:lang w:val="vi-VN"/>
        </w:rPr>
      </w:pPr>
      <w:r w:rsidRPr="0040143B">
        <w:rPr>
          <w:lang w:val="vi-VN"/>
        </w:rPr>
        <w:t>Một số nước ASEAN đã và đang phát triển khung pháp lý quốc gia cho giao hàng chặng cuối, bao gồm Hội đồng Tiêu chuẩn Singapore, Malaysia Digital Economy Corporation, và Bộ Thông tin và Truyền thông Indonesia. Singapore nổi bật là nước dẫn đầu trong lĩnh vực này với việc phát triển các tiêu chuẩn giao hàng chặng cuối đầu tiên vào năm 2016.</w:t>
      </w:r>
      <w:r>
        <w:rPr>
          <w:lang w:val="vi-VN"/>
        </w:rPr>
        <w:t xml:space="preserve"> </w:t>
      </w:r>
      <w:r w:rsidRPr="0040143B">
        <w:rPr>
          <w:lang w:val="vi-VN"/>
        </w:rPr>
        <w:t>Vào tháng 10 năm 2022, nhà cung cấp dịch vụ bưu chính của Singapore, Singpost, hợp tác với Hội đồng Tiêu chuẩn Singapore, đã giới thiệu một tiêu chuẩn mới cho giao hàng chặng cuối của bưu kiện, được biết đến với tên TR105</w:t>
      </w:r>
      <w:r w:rsidRPr="004F1D15">
        <w:rPr>
          <w:rStyle w:val="FootnoteReference"/>
          <w:rFonts w:eastAsia="Times New Roman"/>
        </w:rPr>
        <w:footnoteReference w:id="83"/>
      </w:r>
      <w:r w:rsidRPr="0040143B">
        <w:rPr>
          <w:lang w:val="vi-VN"/>
        </w:rPr>
        <w:t>. Tiêu chuẩn mới này cung cấp hướng dẫn cho ngành thương mại điện tử, bao gồm các nhà bán lẻ và nhà cung cấp logistics, nhằm tiêu chuẩn hóa các quy trình và thực hành trong các lĩnh vực chính, nâng cao hiệu quả vận hành và cải thiện trải nghiệm tổng thể của khách hàng thương mại điện tử.</w:t>
      </w:r>
    </w:p>
    <w:p w14:paraId="6111E797" w14:textId="7ED50F6C" w:rsidR="00C02AC2" w:rsidRPr="00C02AC2" w:rsidRDefault="00C02AC2" w:rsidP="00C02AC2">
      <w:pPr>
        <w:rPr>
          <w:lang w:val="vi-VN"/>
        </w:rPr>
      </w:pPr>
      <w:r w:rsidRPr="00C02AC2">
        <w:rPr>
          <w:lang w:val="vi-VN"/>
        </w:rPr>
        <w:t>Ngoài ASEAN, Liên minh Châu Âu (EU) đã bắt đầu một cuộc điều tra về cách phát triển các khuyến nghị cho giao hàng chặng cuối của bưu kiện, bao gồm thúc đẩy thay đổi quy định, cải thiện dán nhãn và hài hòa hệ thống cước phí bưu chính xuyên biên giới, cũng như kết hợp ID bưu kiện với nội dung bưu kiện</w:t>
      </w:r>
      <w:r w:rsidRPr="00073C0D">
        <w:rPr>
          <w:rStyle w:val="FootnoteReference"/>
        </w:rPr>
        <w:footnoteReference w:id="84"/>
      </w:r>
      <w:r w:rsidRPr="00C02AC2">
        <w:rPr>
          <w:lang w:val="vi-VN"/>
        </w:rPr>
        <w:t>.</w:t>
      </w:r>
      <w:r>
        <w:rPr>
          <w:lang w:val="vi-VN"/>
        </w:rPr>
        <w:t xml:space="preserve"> </w:t>
      </w:r>
      <w:r w:rsidRPr="00C02AC2">
        <w:rPr>
          <w:lang w:val="vi-VN"/>
        </w:rPr>
        <w:t>Chương trình Erasmus+ của EU cũng đồng tài trợ một báo cáo về Khuyến nghị Quy định cho Giao hàng Chặng cuối, đi sâu vào yêu cầu đào tạo cho các nhà vận chuyển</w:t>
      </w:r>
      <w:r w:rsidRPr="00073C0D">
        <w:rPr>
          <w:rStyle w:val="FootnoteReference"/>
        </w:rPr>
        <w:footnoteReference w:id="85"/>
      </w:r>
      <w:r w:rsidRPr="00C02AC2">
        <w:rPr>
          <w:lang w:val="vi-VN"/>
        </w:rPr>
        <w:t>. Báo cáo cung cấp các khuyến nghị ở cả cấp quốc gia và quốc tế để đưa đào tạo và chứng nhận giao hàng chặng cuối vào các nguyên tắc EC VET và Khung Chất lượng Châu Âu (EQF). Chứng nhận này nhằm có tính chuyển đổi giữa các quốc gia EU, nâng cao tác động và đơn giản hóa việc công nhận chứng chỉ cho các cá nhân di chuyển đến các quốc gia khác</w:t>
      </w:r>
      <w:r w:rsidRPr="00073C0D">
        <w:rPr>
          <w:rStyle w:val="FootnoteReference"/>
        </w:rPr>
        <w:footnoteReference w:id="86"/>
      </w:r>
      <w:r>
        <w:rPr>
          <w:lang w:val="vi-VN"/>
        </w:rPr>
        <w:t>.</w:t>
      </w:r>
    </w:p>
    <w:p w14:paraId="75D1B299" w14:textId="755A0828" w:rsidR="00AB02C7" w:rsidRPr="004F1D15" w:rsidRDefault="002354A1" w:rsidP="00595FF2">
      <w:pPr>
        <w:pStyle w:val="ListParagraph"/>
        <w:numPr>
          <w:ilvl w:val="0"/>
          <w:numId w:val="6"/>
        </w:numPr>
        <w:rPr>
          <w:rFonts w:ascii="Arial" w:hAnsi="Arial"/>
          <w:b/>
          <w:lang w:val="en-GB"/>
        </w:rPr>
      </w:pPr>
      <w:r w:rsidRPr="002354A1">
        <w:rPr>
          <w:rFonts w:ascii="Arial" w:hAnsi="Arial"/>
          <w:b/>
          <w:lang w:val="vi-VN"/>
        </w:rPr>
        <w:t>Liên kết với các tiểu lĩnh vực khác / Các cân nhắc khác</w:t>
      </w:r>
    </w:p>
    <w:p w14:paraId="1C31A5C4" w14:textId="77777777" w:rsidR="002354A1" w:rsidRDefault="002354A1" w:rsidP="002354A1">
      <w:pPr>
        <w:spacing w:before="240" w:after="240"/>
        <w:rPr>
          <w:rFonts w:eastAsia="Arial"/>
          <w:color w:val="000000" w:themeColor="text1"/>
          <w:lang w:val="vi-VN"/>
        </w:rPr>
      </w:pPr>
      <w:r w:rsidRPr="002354A1">
        <w:rPr>
          <w:rFonts w:eastAsia="Arial"/>
          <w:color w:val="000000" w:themeColor="text1"/>
          <w:lang w:val="vi-VN"/>
        </w:rPr>
        <w:t xml:space="preserve">Giao hàng chặng cuối đóng vai trò then chốt trong việc thúc đẩy các doanh nghiệp vi mô, nhỏ và vừa (MSMEs) tại ASEAN. Nó ảnh hưởng đáng kể đến khả năng cạnh tranh của các doanh nghiệp địa phương. Dịch vụ giao hàng đáng tin cậy và hiệu quả là thiết yếu để đảm bảo việc giao hàng kịp thời, đặc biệt trong các ngành như y tế và nông nghiệp, có tác động trực tiếp đến các cá nhân, bao gồm phụ nữ và các nhóm dễ bị tổn thương trong xã hội. ASEAN là nơi có hơn 70 triệu MSMEs, chiếm khoảng 98% tổng số doanh nghiệp trong khu vực. Những doanh nghiệp này đóng góp đáng kể vào việc tạo việc làm, GDP và xuất khẩu quốc gia. Số lượng nữ doanh nhân tại ASEAN liên tục tăng, với hơn 60 triệu phụ nữ điều hành doanh nghiệp trên toàn khu vực. Cả khu vực thành thị và nông thôn </w:t>
      </w:r>
      <w:r w:rsidRPr="002354A1">
        <w:rPr>
          <w:rFonts w:eastAsia="Arial"/>
          <w:color w:val="000000" w:themeColor="text1"/>
          <w:lang w:val="vi-VN"/>
        </w:rPr>
        <w:lastRenderedPageBreak/>
        <w:t>đều chứng kiến sự tăng trưởng đáng kể của các MSMEs do phụ nữ lãnh đạo, đóng vai trò quan trọng trong việc thúc đẩy tăng trưởng bao trùm và thu hẹp khoảng cách phát triển giới.</w:t>
      </w:r>
    </w:p>
    <w:p w14:paraId="75C8A2E3" w14:textId="4B65D1E2" w:rsidR="002354A1" w:rsidRDefault="002354A1" w:rsidP="002354A1">
      <w:pPr>
        <w:spacing w:before="240" w:after="240"/>
        <w:rPr>
          <w:rFonts w:eastAsia="Arial"/>
          <w:color w:val="000000" w:themeColor="text1"/>
          <w:lang w:val="vi-VN"/>
        </w:rPr>
      </w:pPr>
      <w:r w:rsidRPr="002354A1">
        <w:rPr>
          <w:rFonts w:eastAsia="Arial"/>
          <w:color w:val="000000" w:themeColor="text1"/>
          <w:lang w:val="vi-VN"/>
        </w:rPr>
        <w:t>Kế hoạch thực hiện Hiệp định Thương mại Điện tử ASEAN đã nêu bật các ưu tiên khu vực nhằm tạo điều kiện cho MSMEs tham gia vào thương mại xuyên biên giới và giao dịch thương mại điện tử. Người ta nhận thấy rằng số hóa đã mang lại lợi ích nhiều hơn cho các tập đoàn lớn so với MSMEs do khả năng và nguồn lực của họ để thích ứng với công nghệ và đổi mới. Tuy nhiên, các chính sách thương mại điện tử có tiềm năng thu hẹp khoảng cách phát triển bằng cách tạo ra cơ hội việc làm cho các nhóm dễ bị tổn thương, bao gồm phụ nữ, người dân nông thôn, cộng đồng bản địa và người khuyết tật với vai trò là chủ doanh nghiệp hoặc người lao động. Điều đáng mừng là có xu hướng toàn cầu trong việc nâng cao sự tham gia vào thương mại điện tử của các cá nhân bị thiệt thòi, xu hướng này cũng đang gia tăng tại ASEAN.</w:t>
      </w:r>
    </w:p>
    <w:p w14:paraId="2039FEB3" w14:textId="35186002" w:rsidR="757E4669" w:rsidRPr="002354A1" w:rsidRDefault="002354A1" w:rsidP="002354A1">
      <w:pPr>
        <w:spacing w:before="240" w:after="240"/>
        <w:rPr>
          <w:rFonts w:eastAsia="Arial"/>
          <w:color w:val="000000" w:themeColor="text1"/>
          <w:lang w:val="vi-VN"/>
        </w:rPr>
      </w:pPr>
      <w:r w:rsidRPr="002354A1">
        <w:rPr>
          <w:rFonts w:eastAsia="Arial"/>
          <w:color w:val="000000" w:themeColor="text1"/>
          <w:lang w:val="vi-VN"/>
        </w:rPr>
        <w:t xml:space="preserve">Mặc dù ASEAN là một trong những nền kinh tế phát triển nhanh nhất trên thế giới, việc áp dụng Hệ thống Thương mại Điện tử (Digital Trade Systems – DTS) bởi MSMEs trong khu vực vẫn còn hạn chế và phân mảnh. Tuy nhiên, các sáng kiến như </w:t>
      </w:r>
      <w:r w:rsidR="00924C64">
        <w:rPr>
          <w:rFonts w:eastAsia="Arial"/>
          <w:color w:val="000000" w:themeColor="text1"/>
          <w:lang w:val="vi-VN"/>
        </w:rPr>
        <w:t>Kế hoạch tổng thể số ASEAN 2025</w:t>
      </w:r>
      <w:r w:rsidRPr="002354A1">
        <w:rPr>
          <w:rFonts w:eastAsia="Arial"/>
          <w:color w:val="000000" w:themeColor="text1"/>
          <w:lang w:val="vi-VN"/>
        </w:rPr>
        <w:t xml:space="preserve"> và Chiến lược Hợp tác An ninh mạng ASEAN 2021-2025 nhấn mạnh tính bao trùm bằng cách trao quyền cho phụ nữ và các nhóm bị thiệt thòi thông qua các chính sách và công cụ thương mại điện tử. ASEAN đã triển khai các sáng kiến nhằm tăng cường sự tham gia của phụ nữ trong thương mại điện tử bằng cách cung cấp quyền truy cập rộng hơn vào các nền tảng dịch vụ tài chính toàn diện và mạng lưới doanh nghiệp, chẳng hạn như Sáng kiến Tiêu chuẩn Thương mại Điện tử ASEAN-Úc. Điều này đặc biệt quan trọng đối với các MSMEs do phụ nữ và nhóm thiểu số lãnh đạo, vì họ thường gặp rào cản khi tiếp cận các hệ thống tài chính truyền thống. Việc triển khai Hệ thống Thương mại Điện tử cho MSMEs sẽ mang lại nhiều lợi ích, bao gồm thúc đẩy GDP, nâng cao bình đẳng giới và tăng cường bao trùm xã hội, phù hợp với chương trình Cộng đồng Kinh tế ASEAN 2025 và những năm tiếp theo.</w:t>
      </w:r>
    </w:p>
    <w:p w14:paraId="3FF08EF2" w14:textId="5AACA5D3" w:rsidR="00AB02C7" w:rsidRPr="004F1D15" w:rsidRDefault="004C3A42" w:rsidP="00C82E40">
      <w:pPr>
        <w:pStyle w:val="Heading4"/>
        <w:rPr>
          <w:lang w:val="en-GB"/>
        </w:rPr>
      </w:pPr>
      <w:r>
        <w:rPr>
          <w:lang w:val="en-GB"/>
        </w:rPr>
        <w:t>Khung</w:t>
      </w:r>
      <w:r>
        <w:rPr>
          <w:lang w:val="vi-VN"/>
        </w:rPr>
        <w:t xml:space="preserve"> pháp lý Hải quan</w:t>
      </w:r>
    </w:p>
    <w:p w14:paraId="0AA8A166" w14:textId="450F45A0" w:rsidR="00AB02C7" w:rsidRPr="004F1D15" w:rsidRDefault="007C3491" w:rsidP="00595FF2">
      <w:pPr>
        <w:pStyle w:val="ListParagraph"/>
        <w:numPr>
          <w:ilvl w:val="0"/>
          <w:numId w:val="9"/>
        </w:numPr>
        <w:rPr>
          <w:rFonts w:ascii="Arial" w:hAnsi="Arial"/>
          <w:b/>
          <w:lang w:val="en-GB"/>
        </w:rPr>
      </w:pPr>
      <w:r>
        <w:rPr>
          <w:rFonts w:ascii="Arial" w:hAnsi="Arial"/>
          <w:b/>
          <w:lang w:val="en-GB"/>
        </w:rPr>
        <w:t>Tầm</w:t>
      </w:r>
      <w:r>
        <w:rPr>
          <w:rFonts w:ascii="Arial" w:hAnsi="Arial"/>
          <w:b/>
          <w:lang w:val="vi-VN"/>
        </w:rPr>
        <w:t xml:space="preserve"> quan trọng của các tiêu chuẩn trong tiểu lĩnh vực này </w:t>
      </w:r>
    </w:p>
    <w:p w14:paraId="001CB420" w14:textId="67EE33A9" w:rsidR="00F15C7E" w:rsidRPr="00F15C7E" w:rsidRDefault="00F15C7E" w:rsidP="007664A3">
      <w:pPr>
        <w:rPr>
          <w:lang w:val="vi-VN"/>
        </w:rPr>
      </w:pPr>
      <w:r w:rsidRPr="00F15C7E">
        <w:rPr>
          <w:lang w:val="vi-VN"/>
        </w:rPr>
        <w:t>ASEAN đã cam kết mạnh mẽ để các quốc gia thành viên (AMS) đơn giản hóa và hài hòa các thủ tục hải quan, bắt nguồn từ Hiệp định Hải quan ASEAN ký năm 1997</w:t>
      </w:r>
      <w:r w:rsidRPr="004F1D15">
        <w:rPr>
          <w:rStyle w:val="FootnoteReference"/>
          <w:rFonts w:eastAsia="Times New Roman"/>
        </w:rPr>
        <w:footnoteReference w:id="87"/>
      </w:r>
      <w:r w:rsidRPr="00F15C7E">
        <w:rPr>
          <w:lang w:val="vi-VN"/>
        </w:rPr>
        <w:t xml:space="preserve">. Mặc dù đã đạt được tiến bộ đáng kể trong việc giảm các rào cản thương mại và hải quan, vẫn tồn tại sự khác biệt lớn về thời gian xử lý thủ tục hải quan. Với sự phát triển nhanh chóng của công nghệ và các nền tảng </w:t>
      </w:r>
      <w:r w:rsidR="00616696">
        <w:rPr>
          <w:lang w:val="vi-VN"/>
        </w:rPr>
        <w:t>số</w:t>
      </w:r>
      <w:r w:rsidRPr="00F15C7E">
        <w:rPr>
          <w:lang w:val="vi-VN"/>
        </w:rPr>
        <w:t xml:space="preserve"> cho phép nhiều giao dịch vượt ra ngoài thương mại doanh nghiệp với doanh nghiệp (B2B) theo lô và số lượng lớn, các AMS có thể hưởng lợi đáng kể từ việc tích hợp và đơn giản hóa hơn nữa các quy trình và khung pháp lý hải quan. Ví dụ, </w:t>
      </w:r>
      <w:r w:rsidRPr="00F15C7E">
        <w:rPr>
          <w:b/>
          <w:bCs/>
          <w:lang w:val="vi-VN"/>
        </w:rPr>
        <w:t>Hiệp định Đối tác Kinh tế Toàn diện Khu vực (RCEP)</w:t>
      </w:r>
      <w:r w:rsidRPr="00F15C7E">
        <w:rPr>
          <w:lang w:val="vi-VN"/>
        </w:rPr>
        <w:t xml:space="preserve"> nhấn mạnh tầm quan trọng của việc đơn giản hóa thủ tục hải quan cho việc thông quan các lô hàng có giá trị thấp</w:t>
      </w:r>
      <w:r w:rsidRPr="004F1D15">
        <w:rPr>
          <w:rStyle w:val="FootnoteReference"/>
          <w:rFonts w:eastAsia="Times New Roman"/>
        </w:rPr>
        <w:footnoteReference w:id="88"/>
      </w:r>
      <w:r w:rsidRPr="00F15C7E">
        <w:rPr>
          <w:lang w:val="vi-VN"/>
        </w:rPr>
        <w:t>.</w:t>
      </w:r>
    </w:p>
    <w:p w14:paraId="295A4E03" w14:textId="065A597A" w:rsidR="00F15C7E" w:rsidRPr="00F15C7E" w:rsidRDefault="00F15C7E" w:rsidP="007664A3">
      <w:pPr>
        <w:rPr>
          <w:lang w:val="vi-VN"/>
        </w:rPr>
      </w:pPr>
      <w:r w:rsidRPr="00F15C7E">
        <w:rPr>
          <w:lang w:val="vi-VN"/>
        </w:rPr>
        <w:lastRenderedPageBreak/>
        <w:t>Các tiêu chuẩn quốc tế, chẳng hạn như những tiêu chuẩn do Tổ chức Hải quan Thế giới (WCO) thiết lập, đóng vai trò then chốt trong việc đơn giản hóa quy trình hải quan trong ASEAN nhờ một số lợi ích chính. Các tiêu chuẩn hải quan cung cấp một bộ hướng dẫn và thực hành đồng nhất mà tất cả các quốc gia thành viên có thể áp dụng, giúp giảm đáng kể độ phức tạp và sự biến đổi của các thủ tục hải quan tại các biên giới khác nhau. Việc tiêu chuẩn hóa này tạo điều kiện cho thương mại xuyên biên giới diễn ra suôn sẻ và nhanh chóng, điều quan trọng đối với một khu vực có hệ thống pháp lý đa dạng. Ngoài ra, các tiêu chuẩn hải quan giúp tăng cường tính minh bạch và khả năng dự đoán trong hoạt động hải quan, nâng cao niềm tin của doanh nghiệp vào khung thương mại của khu vực</w:t>
      </w:r>
      <w:r w:rsidR="00A02CE2" w:rsidRPr="004F1D15">
        <w:rPr>
          <w:rStyle w:val="FootnoteReference"/>
          <w:rFonts w:eastAsia="Times New Roman"/>
        </w:rPr>
        <w:footnoteReference w:id="89"/>
      </w:r>
      <w:r w:rsidRPr="00F15C7E">
        <w:rPr>
          <w:lang w:val="vi-VN"/>
        </w:rPr>
        <w:t>. Bằng việc áp dụng các tiêu chuẩn quốc tế này, các quốc gia ASEAN cũng có thể đảm bảo thực hiện các thực tiễn tốt nhất được công nhận toàn cầu trong xử lý hải quan, phù hợp với việc ngày càng nhấn mạnh sự hội nhập thương mại trong các hiệp định thương mại. Tổng thể, việc áp dụng các tiêu chuẩn hải quan của các quốc gia ASEAN hỗ trợ thương mại hiệu quả hơn, đóng góp vào hội nhập kinh tế và thúc đẩy khả năng cạnh tranh của khu vực trên thị trường toàn cầu.</w:t>
      </w:r>
    </w:p>
    <w:p w14:paraId="63F1C4B1" w14:textId="36BCA024" w:rsidR="00AB02C7" w:rsidRPr="004F1D15" w:rsidRDefault="00A02CE2" w:rsidP="00595FF2">
      <w:pPr>
        <w:pStyle w:val="ListParagraph"/>
        <w:numPr>
          <w:ilvl w:val="0"/>
          <w:numId w:val="9"/>
        </w:numPr>
        <w:rPr>
          <w:rFonts w:ascii="Arial" w:hAnsi="Arial"/>
          <w:b/>
          <w:lang w:val="en-GB"/>
        </w:rPr>
      </w:pPr>
      <w:r>
        <w:rPr>
          <w:rFonts w:ascii="Arial" w:hAnsi="Arial"/>
          <w:b/>
          <w:lang w:val="vi-VN"/>
        </w:rPr>
        <w:t xml:space="preserve">Các tiêu chuẩn quốc tế quan trọng đối với ASEAN </w:t>
      </w:r>
    </w:p>
    <w:p w14:paraId="3A05C6C5" w14:textId="046CC3B8" w:rsidR="00BD169D" w:rsidRPr="00BD169D" w:rsidRDefault="00BD169D" w:rsidP="007664A3">
      <w:pPr>
        <w:rPr>
          <w:rStyle w:val="FootnoteReference"/>
          <w:vertAlign w:val="baseline"/>
          <w:lang w:val="vi-VN"/>
        </w:rPr>
      </w:pPr>
      <w:r w:rsidRPr="00BD169D">
        <w:rPr>
          <w:lang w:val="vi-VN"/>
        </w:rPr>
        <w:t>Khung Tiêu chuẩn SAFE của WCO (SAFE Framework of Standards to Secure and Facilitate Global Trade), thường gọi là Khung SAFE của WCO, là một bộ tiêu chuẩn nhằm nâng cao an ninh và tạo thuận lợi cho thương mại quốc tế</w:t>
      </w:r>
      <w:r w:rsidRPr="004F1D15">
        <w:rPr>
          <w:rStyle w:val="FootnoteReference"/>
          <w:rFonts w:eastAsia="Times New Roman"/>
        </w:rPr>
        <w:footnoteReference w:id="90"/>
      </w:r>
      <w:r w:rsidRPr="00BD169D">
        <w:rPr>
          <w:lang w:val="vi-VN"/>
        </w:rPr>
        <w:t>. Được WCO thiết lập năm 2005, khung này nhằm bảo đảm và tạo thuận lợi cho chuỗi cung ứng thương mại toàn cầu một cách hiệu quả. Khung SAFE tìm cách tiêu chuẩn hóa các quy trình hải quan giữa các quốc gia thành viên, giúp giảm tắc nghẽn và đơn giản hóa quy trình cho thương mại quốc tế. Điều này bao gồm việc sử dụng một bộ dữ liệu chung trong truyền tải điện tử thông tin giữa các cơ quan hải quan</w:t>
      </w:r>
      <w:r w:rsidRPr="004F1D15">
        <w:rPr>
          <w:rStyle w:val="FootnoteReference"/>
          <w:rFonts w:eastAsia="Times New Roman"/>
        </w:rPr>
        <w:footnoteReference w:id="91"/>
      </w:r>
      <w:r w:rsidRPr="00BD169D">
        <w:rPr>
          <w:lang w:val="vi-VN"/>
        </w:rPr>
        <w:t>.</w:t>
      </w:r>
    </w:p>
    <w:p w14:paraId="0FA52F04" w14:textId="799E37D5" w:rsidR="00ED76E9" w:rsidRPr="00ED76E9" w:rsidRDefault="00ED76E9" w:rsidP="007664A3">
      <w:pPr>
        <w:rPr>
          <w:lang w:val="vi-VN"/>
        </w:rPr>
      </w:pPr>
      <w:r w:rsidRPr="00ED76E9">
        <w:rPr>
          <w:lang w:val="vi-VN"/>
        </w:rPr>
        <w:t xml:space="preserve">Một đặc điểm quan trọng của Khung SAFE là </w:t>
      </w:r>
      <w:r w:rsidRPr="00ED76E9">
        <w:rPr>
          <w:b/>
          <w:bCs/>
          <w:lang w:val="vi-VN"/>
        </w:rPr>
        <w:t xml:space="preserve">Chương trình Doanh nghiệp Kinh tế Được Ủy quyền </w:t>
      </w:r>
      <w:r w:rsidRPr="00ED76E9">
        <w:rPr>
          <w:lang w:val="vi-VN"/>
        </w:rPr>
        <w:t>(AEO – Authorized Economic Operator), chứng nhận doanh nghiệp tuân thủ các tiêu chuẩn an ninh của WCO hoặc tương đương. Các doanh nghiệp được chứng nhận AEO được coi là các nhà thương mại an toàn và được hưởng các lợi ích như giảm số lần kiểm tra và quy trình thông quan nhanh hơn</w:t>
      </w:r>
      <w:r w:rsidRPr="00D53D68">
        <w:rPr>
          <w:rStyle w:val="FootnoteReference"/>
          <w:rFonts w:eastAsia="Times New Roman"/>
        </w:rPr>
        <w:footnoteReference w:id="92"/>
      </w:r>
      <w:r w:rsidRPr="00ED76E9">
        <w:rPr>
          <w:lang w:val="vi-VN"/>
        </w:rPr>
        <w:t>.</w:t>
      </w:r>
    </w:p>
    <w:p w14:paraId="6B337CAF" w14:textId="3304FCAE" w:rsidR="00AB02C7" w:rsidRPr="00D53D68" w:rsidRDefault="00F44A07" w:rsidP="00595FF2">
      <w:pPr>
        <w:pStyle w:val="ListParagraph"/>
        <w:numPr>
          <w:ilvl w:val="0"/>
          <w:numId w:val="9"/>
        </w:numPr>
        <w:rPr>
          <w:rFonts w:ascii="Arial" w:hAnsi="Arial"/>
          <w:b/>
          <w:lang w:val="en-GB"/>
        </w:rPr>
      </w:pPr>
      <w:r w:rsidRPr="00F44A07">
        <w:rPr>
          <w:rFonts w:ascii="Arial" w:hAnsi="Arial"/>
          <w:b/>
          <w:lang w:val="vi-VN"/>
        </w:rPr>
        <w:t>Tình trạng hiện tại của việc áp dụng tiêu chuẩn trong ASEAN, bao gồm các nỗ lực đang triển khai, kế hoạch sắp tới và các thách thức chính trong việc áp dụng tiêu chuẩn tại AMS và ASEAN</w:t>
      </w:r>
    </w:p>
    <w:p w14:paraId="7D8819B9" w14:textId="5F9F3538" w:rsidR="00F44A07" w:rsidRPr="00F44A07" w:rsidRDefault="00F44A07" w:rsidP="00C133E6">
      <w:pPr>
        <w:rPr>
          <w:lang w:val="vi-VN"/>
        </w:rPr>
      </w:pPr>
      <w:r w:rsidRPr="00F44A07">
        <w:rPr>
          <w:lang w:val="vi-VN"/>
        </w:rPr>
        <w:t xml:space="preserve">Một sáng kiến quan trọng của ASEAN là Cửa sổ Một cửa ASEAN (ASEAN Single Window – ASW). ASW được phát triển lần đầu năm 2005 như một phần của Bản đồ Chiến lược Cộng đồng Kinh tế ASEAN nhằm thúc đẩy và tạo điều kiện cho việc trao đổi điện tử các tài liệu thương mại xuyên biên </w:t>
      </w:r>
      <w:r w:rsidRPr="00F44A07">
        <w:rPr>
          <w:lang w:val="vi-VN"/>
        </w:rPr>
        <w:lastRenderedPageBreak/>
        <w:t>giới giữa các AMS thông qua tích hợp các Cửa sổ Một cửa Quốc gia (NSW) của các AMS</w:t>
      </w:r>
      <w:r w:rsidRPr="00D53D68">
        <w:rPr>
          <w:rStyle w:val="FootnoteReference"/>
        </w:rPr>
        <w:footnoteReference w:id="93"/>
      </w:r>
      <w:r w:rsidRPr="00F44A07">
        <w:rPr>
          <w:lang w:val="vi-VN"/>
        </w:rPr>
        <w:t>. ASW dựa trên Mô hình Dữ liệu WCO (WCO Data Model), là nền tảng dữ liệu cho trao đổi dữ liệu xuyên biên giới, đặc biệt phục vụ triển khai các hệ thống Một cửa</w:t>
      </w:r>
      <w:r w:rsidRPr="004F1D15">
        <w:rPr>
          <w:rStyle w:val="FootnoteReference"/>
        </w:rPr>
        <w:footnoteReference w:id="94"/>
      </w:r>
      <w:r w:rsidRPr="00F44A07">
        <w:rPr>
          <w:lang w:val="vi-VN"/>
        </w:rPr>
        <w:t>. Tương tự Mô hình Dữ liệu WCO, ASW gồm sáu khối xây dựng, mỗi khối tuân theo các tiêu chuẩn cụ thể được các cơ quan có thẩm quyền khuyến nghị.</w:t>
      </w:r>
    </w:p>
    <w:p w14:paraId="51722B0A" w14:textId="716F1D1D" w:rsidR="00544A57" w:rsidRPr="004E1B9C" w:rsidRDefault="004E1B9C" w:rsidP="00B959F3">
      <w:pPr>
        <w:jc w:val="left"/>
        <w:rPr>
          <w:b/>
          <w:lang w:val="vi-VN"/>
        </w:rPr>
      </w:pPr>
      <w:r>
        <w:t>Bảng</w:t>
      </w:r>
      <w:r>
        <w:rPr>
          <w:lang w:val="vi-VN"/>
        </w:rPr>
        <w:t xml:space="preserve"> dưới đây trình bày các tiêu chuẩn thuộc từng khối xây dựng:</w:t>
      </w:r>
      <w:r w:rsidR="00544A57" w:rsidRPr="004F1D15">
        <w:br/>
      </w:r>
      <w:r>
        <w:rPr>
          <w:b/>
          <w:bCs/>
        </w:rPr>
        <w:t>Bảng</w:t>
      </w:r>
      <w:r w:rsidR="00A630A4" w:rsidRPr="004F1D15">
        <w:rPr>
          <w:b/>
          <w:bCs/>
        </w:rPr>
        <w:t xml:space="preserve"> </w:t>
      </w:r>
      <w:r w:rsidR="00295520">
        <w:rPr>
          <w:b/>
          <w:bCs/>
        </w:rPr>
        <w:t>5</w:t>
      </w:r>
      <w:r w:rsidR="00A630A4" w:rsidRPr="004F1D15">
        <w:rPr>
          <w:b/>
          <w:bCs/>
        </w:rPr>
        <w:t xml:space="preserve">. </w:t>
      </w:r>
      <w:r>
        <w:rPr>
          <w:b/>
          <w:bCs/>
        </w:rPr>
        <w:t>Các</w:t>
      </w:r>
      <w:r>
        <w:rPr>
          <w:b/>
          <w:bCs/>
          <w:lang w:val="vi-VN"/>
        </w:rPr>
        <w:t xml:space="preserve"> Khối Xây dựng và Tiêu chuẩn của Cửa sổ Một</w:t>
      </w:r>
      <w:r w:rsidR="00A046AD">
        <w:rPr>
          <w:b/>
          <w:bCs/>
          <w:lang w:val="vi-VN"/>
        </w:rPr>
        <w:t xml:space="preserve"> cửa</w:t>
      </w:r>
      <w:r>
        <w:rPr>
          <w:b/>
          <w:bCs/>
          <w:lang w:val="vi-VN"/>
        </w:rPr>
        <w:t xml:space="preserve"> ASEAN (ASW)</w:t>
      </w:r>
    </w:p>
    <w:tbl>
      <w:tblPr>
        <w:tblStyle w:val="TableGrid"/>
        <w:tblW w:w="0" w:type="auto"/>
        <w:tblLook w:val="04A0" w:firstRow="1" w:lastRow="0" w:firstColumn="1" w:lastColumn="0" w:noHBand="0" w:noVBand="1"/>
      </w:tblPr>
      <w:tblGrid>
        <w:gridCol w:w="4495"/>
        <w:gridCol w:w="5940"/>
      </w:tblGrid>
      <w:tr w:rsidR="00544A57" w:rsidRPr="004F1D15" w14:paraId="393EA243" w14:textId="77777777" w:rsidTr="0015148F">
        <w:tc>
          <w:tcPr>
            <w:tcW w:w="4495" w:type="dxa"/>
            <w:shd w:val="clear" w:color="auto" w:fill="002060"/>
          </w:tcPr>
          <w:p w14:paraId="70A34798" w14:textId="5A407578" w:rsidR="00544A57" w:rsidRPr="00A046AD" w:rsidRDefault="00A046AD" w:rsidP="0015148F">
            <w:pPr>
              <w:jc w:val="center"/>
              <w:rPr>
                <w:b/>
                <w:color w:val="FFFFFF" w:themeColor="background1"/>
                <w:lang w:val="vi-VN"/>
              </w:rPr>
            </w:pPr>
            <w:r>
              <w:rPr>
                <w:b/>
                <w:color w:val="FFFFFF" w:themeColor="background1"/>
              </w:rPr>
              <w:t>Khối</w:t>
            </w:r>
            <w:r>
              <w:rPr>
                <w:b/>
                <w:color w:val="FFFFFF" w:themeColor="background1"/>
                <w:lang w:val="vi-VN"/>
              </w:rPr>
              <w:t xml:space="preserve"> Xây dựng</w:t>
            </w:r>
          </w:p>
        </w:tc>
        <w:tc>
          <w:tcPr>
            <w:tcW w:w="5940" w:type="dxa"/>
            <w:shd w:val="clear" w:color="auto" w:fill="002060"/>
            <w:vAlign w:val="bottom"/>
          </w:tcPr>
          <w:p w14:paraId="42FE84EF" w14:textId="20D4415D" w:rsidR="00544A57" w:rsidRPr="00A046AD" w:rsidRDefault="00A046AD" w:rsidP="0015148F">
            <w:pPr>
              <w:jc w:val="center"/>
              <w:rPr>
                <w:b/>
                <w:color w:val="FFFFFF" w:themeColor="background1"/>
                <w:lang w:val="vi-VN"/>
              </w:rPr>
            </w:pPr>
            <w:r>
              <w:rPr>
                <w:b/>
                <w:color w:val="FFFFFF" w:themeColor="background1"/>
              </w:rPr>
              <w:t>Tiêu</w:t>
            </w:r>
            <w:r>
              <w:rPr>
                <w:b/>
                <w:color w:val="FFFFFF" w:themeColor="background1"/>
                <w:lang w:val="vi-VN"/>
              </w:rPr>
              <w:t xml:space="preserve"> chuẩn</w:t>
            </w:r>
          </w:p>
        </w:tc>
      </w:tr>
      <w:tr w:rsidR="00544A57" w:rsidRPr="004F1D15" w14:paraId="3CC82EA7" w14:textId="77777777" w:rsidTr="004125CE">
        <w:tc>
          <w:tcPr>
            <w:tcW w:w="4495" w:type="dxa"/>
          </w:tcPr>
          <w:p w14:paraId="32E3AB39" w14:textId="36207A96" w:rsidR="00544A57" w:rsidRPr="00A046AD" w:rsidRDefault="00A046AD" w:rsidP="007664A3">
            <w:pPr>
              <w:rPr>
                <w:lang w:val="vi-VN"/>
              </w:rPr>
            </w:pPr>
            <w:r>
              <w:t>Mô</w:t>
            </w:r>
            <w:r>
              <w:rPr>
                <w:lang w:val="vi-VN"/>
              </w:rPr>
              <w:t xml:space="preserve"> hình Quy trình Kinh doanh </w:t>
            </w:r>
          </w:p>
        </w:tc>
        <w:tc>
          <w:tcPr>
            <w:tcW w:w="5940" w:type="dxa"/>
          </w:tcPr>
          <w:p w14:paraId="632C7D1A" w14:textId="3AD55F8C" w:rsidR="00544A57" w:rsidRPr="004F1D15" w:rsidRDefault="00FB781A" w:rsidP="007664A3">
            <w:r>
              <w:t>Phương</w:t>
            </w:r>
            <w:r>
              <w:rPr>
                <w:lang w:val="vi-VN"/>
              </w:rPr>
              <w:t xml:space="preserve"> pháp Mô hình hóa </w:t>
            </w:r>
            <w:r w:rsidR="00544A57" w:rsidRPr="004F1D15">
              <w:t>UN/CEFACT (UMM)</w:t>
            </w:r>
          </w:p>
        </w:tc>
      </w:tr>
      <w:tr w:rsidR="00544A57" w:rsidRPr="004F1D15" w14:paraId="1E10AE43" w14:textId="77777777" w:rsidTr="004125CE">
        <w:tc>
          <w:tcPr>
            <w:tcW w:w="4495" w:type="dxa"/>
          </w:tcPr>
          <w:p w14:paraId="66B29F32" w14:textId="497DBF3C" w:rsidR="00544A57" w:rsidRPr="00A046AD" w:rsidRDefault="00A046AD" w:rsidP="007664A3">
            <w:pPr>
              <w:rPr>
                <w:lang w:val="vi-VN"/>
              </w:rPr>
            </w:pPr>
            <w:r>
              <w:rPr>
                <w:lang w:val="vi-VN"/>
              </w:rPr>
              <w:t xml:space="preserve">Bộ Dữ liệu Hài Hòa </w:t>
            </w:r>
          </w:p>
        </w:tc>
        <w:tc>
          <w:tcPr>
            <w:tcW w:w="5940" w:type="dxa"/>
          </w:tcPr>
          <w:p w14:paraId="6D923BE5" w14:textId="1DC4CB96" w:rsidR="00544A57" w:rsidRPr="00913628" w:rsidRDefault="00913628" w:rsidP="007664A3">
            <w:pPr>
              <w:rPr>
                <w:lang w:val="vi-VN"/>
              </w:rPr>
            </w:pPr>
            <w:r>
              <w:t>Thư</w:t>
            </w:r>
            <w:r>
              <w:rPr>
                <w:lang w:val="vi-VN"/>
              </w:rPr>
              <w:t xml:space="preserve"> mục các Yếu tố Dữ liệu Thương mại Liên Hợp Quốc </w:t>
            </w:r>
          </w:p>
        </w:tc>
      </w:tr>
      <w:tr w:rsidR="00544A57" w:rsidRPr="004F1D15" w14:paraId="22317E66" w14:textId="77777777" w:rsidTr="004125CE">
        <w:tc>
          <w:tcPr>
            <w:tcW w:w="4495" w:type="dxa"/>
          </w:tcPr>
          <w:p w14:paraId="00FA13BD" w14:textId="5AF4B91D" w:rsidR="00544A57" w:rsidRPr="006B31A8" w:rsidRDefault="006B31A8" w:rsidP="007664A3">
            <w:pPr>
              <w:rPr>
                <w:lang w:val="vi-VN"/>
              </w:rPr>
            </w:pPr>
            <w:r>
              <w:rPr>
                <w:lang w:val="vi-VN"/>
              </w:rPr>
              <w:t xml:space="preserve">Mô hình Thông tin </w:t>
            </w:r>
          </w:p>
        </w:tc>
        <w:tc>
          <w:tcPr>
            <w:tcW w:w="5940" w:type="dxa"/>
          </w:tcPr>
          <w:p w14:paraId="14D3F382" w14:textId="6539F6E3" w:rsidR="00544A57" w:rsidRPr="001E4B22" w:rsidRDefault="001E4B22" w:rsidP="007664A3">
            <w:pPr>
              <w:rPr>
                <w:lang w:val="vi-VN"/>
              </w:rPr>
            </w:pPr>
            <w:r>
              <w:t>Ngôn</w:t>
            </w:r>
            <w:r>
              <w:rPr>
                <w:lang w:val="vi-VN"/>
              </w:rPr>
              <w:t xml:space="preserve"> ngữ Mô hình Hợp nhất</w:t>
            </w:r>
          </w:p>
        </w:tc>
      </w:tr>
      <w:tr w:rsidR="00544A57" w:rsidRPr="004F1D15" w14:paraId="3641FDE4" w14:textId="77777777" w:rsidTr="004125CE">
        <w:tc>
          <w:tcPr>
            <w:tcW w:w="4495" w:type="dxa"/>
          </w:tcPr>
          <w:p w14:paraId="5FCAC88F" w14:textId="72CD1222" w:rsidR="00544A57" w:rsidRPr="006B31A8" w:rsidRDefault="006B31A8" w:rsidP="007664A3">
            <w:pPr>
              <w:rPr>
                <w:lang w:val="vi-VN"/>
              </w:rPr>
            </w:pPr>
            <w:r>
              <w:rPr>
                <w:lang w:val="vi-VN"/>
              </w:rPr>
              <w:t xml:space="preserve">Tiêu chuẩn Mã Quốc tế </w:t>
            </w:r>
          </w:p>
        </w:tc>
        <w:tc>
          <w:tcPr>
            <w:tcW w:w="5940" w:type="dxa"/>
          </w:tcPr>
          <w:p w14:paraId="017D12AC" w14:textId="78F88B45" w:rsidR="00544A57" w:rsidRPr="004F1D15" w:rsidRDefault="001E4B22" w:rsidP="007664A3">
            <w:r>
              <w:t>Nhiều</w:t>
            </w:r>
            <w:r>
              <w:rPr>
                <w:lang w:val="vi-VN"/>
              </w:rPr>
              <w:t xml:space="preserve"> tiêu chuẩn, phụ thuộc vào khuyến nghị của các cơ quan tương ứng. Hầu hết các tiêu chuẩn được bao gồm trong Bộ Công cụ Tiêu chuẩn cho Thương mại không giấy tờ xuyên biên giới</w:t>
            </w:r>
            <w:r w:rsidR="00F55012" w:rsidRPr="004F1D15">
              <w:rPr>
                <w:rStyle w:val="FootnoteReference"/>
              </w:rPr>
              <w:footnoteReference w:id="95"/>
            </w:r>
          </w:p>
        </w:tc>
      </w:tr>
      <w:tr w:rsidR="00544A57" w:rsidRPr="004F1D15" w14:paraId="7232FC33" w14:textId="77777777" w:rsidTr="004125CE">
        <w:tc>
          <w:tcPr>
            <w:tcW w:w="4495" w:type="dxa"/>
          </w:tcPr>
          <w:p w14:paraId="3068738E" w14:textId="0DCAE2E2" w:rsidR="00544A57" w:rsidRPr="006B31A8" w:rsidRDefault="006B31A8" w:rsidP="007664A3">
            <w:pPr>
              <w:rPr>
                <w:lang w:val="vi-VN"/>
              </w:rPr>
            </w:pPr>
            <w:r>
              <w:rPr>
                <w:lang w:val="vi-VN"/>
              </w:rPr>
              <w:t>Hướng dẫn triển khai thông điệp</w:t>
            </w:r>
          </w:p>
        </w:tc>
        <w:tc>
          <w:tcPr>
            <w:tcW w:w="5940" w:type="dxa"/>
          </w:tcPr>
          <w:p w14:paraId="3225E0EF" w14:textId="6E023AC1" w:rsidR="00544A57" w:rsidRPr="004F1D15" w:rsidRDefault="003150B7" w:rsidP="007664A3">
            <w:r>
              <w:rPr>
                <w:lang w:val="vi-VN"/>
              </w:rPr>
              <w:t xml:space="preserve">Nhiều tiêu chuẩn, chủ sở hữu tài liệu xác định định dạng của tài liệu điện tử. Hầu hết các tiêu chuẩn được bao gồm trong Bộ Công cụ Tiêu chuẩn cho Thương mại không giấy tờ xuyên biên </w:t>
            </w:r>
            <w:r w:rsidR="004356F4">
              <w:rPr>
                <w:lang w:val="vi-VN"/>
              </w:rPr>
              <w:t>giới</w:t>
            </w:r>
            <w:r w:rsidR="00AB07D9" w:rsidRPr="00073C0D">
              <w:rPr>
                <w:rStyle w:val="FootnoteReference"/>
              </w:rPr>
              <w:footnoteReference w:id="96"/>
            </w:r>
          </w:p>
        </w:tc>
      </w:tr>
      <w:tr w:rsidR="00544A57" w:rsidRPr="004F1D15" w14:paraId="7788B33C" w14:textId="77777777" w:rsidTr="004125CE">
        <w:tc>
          <w:tcPr>
            <w:tcW w:w="4495" w:type="dxa"/>
          </w:tcPr>
          <w:p w14:paraId="183D7AE8" w14:textId="54927569" w:rsidR="00544A57" w:rsidRPr="006B31A8" w:rsidRDefault="006B31A8" w:rsidP="007664A3">
            <w:pPr>
              <w:rPr>
                <w:lang w:val="vi-VN"/>
              </w:rPr>
            </w:pPr>
            <w:r>
              <w:rPr>
                <w:lang w:val="vi-VN"/>
              </w:rPr>
              <w:t xml:space="preserve">Thông điệp Điện </w:t>
            </w:r>
            <w:r w:rsidR="00FB781A">
              <w:rPr>
                <w:lang w:val="vi-VN"/>
              </w:rPr>
              <w:t>tử</w:t>
            </w:r>
          </w:p>
        </w:tc>
        <w:tc>
          <w:tcPr>
            <w:tcW w:w="5940" w:type="dxa"/>
          </w:tcPr>
          <w:p w14:paraId="09A0C3EB" w14:textId="4E43E727" w:rsidR="00544A57" w:rsidRPr="004F1D15" w:rsidRDefault="00544A57" w:rsidP="007664A3">
            <w:r w:rsidRPr="004F1D15">
              <w:t>XML/JSON</w:t>
            </w:r>
          </w:p>
        </w:tc>
      </w:tr>
    </w:tbl>
    <w:p w14:paraId="37D8B4D8" w14:textId="280ED3D6" w:rsidR="00A630A4" w:rsidRPr="004F1D15" w:rsidRDefault="004356F4" w:rsidP="00A630A4">
      <w:pPr>
        <w:rPr>
          <w:rFonts w:eastAsia="Quattrocento Sans"/>
          <w:i/>
          <w:sz w:val="20"/>
          <w:szCs w:val="20"/>
        </w:rPr>
      </w:pPr>
      <w:r>
        <w:rPr>
          <w:rFonts w:eastAsia="Quattrocento Sans"/>
          <w:i/>
          <w:sz w:val="20"/>
          <w:szCs w:val="20"/>
        </w:rPr>
        <w:t>Nguồn</w:t>
      </w:r>
      <w:r>
        <w:rPr>
          <w:rFonts w:eastAsia="Quattrocento Sans"/>
          <w:i/>
          <w:sz w:val="20"/>
          <w:szCs w:val="20"/>
          <w:lang w:val="vi-VN"/>
        </w:rPr>
        <w:t xml:space="preserve">: </w:t>
      </w:r>
      <w:r w:rsidR="00924C64">
        <w:rPr>
          <w:rFonts w:eastAsia="Quattrocento Sans"/>
          <w:i/>
          <w:sz w:val="20"/>
          <w:szCs w:val="20"/>
          <w:lang w:val="vi-VN"/>
        </w:rPr>
        <w:t>Thông tin do Ban Thư ký ASEAN cung cấp</w:t>
      </w:r>
      <w:r w:rsidR="001A16D7">
        <w:rPr>
          <w:i/>
          <w:sz w:val="20"/>
          <w:szCs w:val="20"/>
        </w:rPr>
        <w:t xml:space="preserve"> (2024)</w:t>
      </w:r>
    </w:p>
    <w:p w14:paraId="3748B236" w14:textId="4DE8689E" w:rsidR="004551E5" w:rsidRDefault="004551E5" w:rsidP="007664A3">
      <w:pPr>
        <w:rPr>
          <w:lang w:val="vi-VN"/>
        </w:rPr>
      </w:pPr>
      <w:r w:rsidRPr="004551E5">
        <w:t xml:space="preserve">Vào năm 2019, tất cả các AMS đã triển khai truyền tải đầy đủ biểu mẫu điện tử D (electronic form D) theo </w:t>
      </w:r>
      <w:r w:rsidRPr="004551E5">
        <w:rPr>
          <w:b/>
          <w:bCs/>
        </w:rPr>
        <w:t>Hiệp định Thương mại Hàng hóa ASEAN (e-ATIGA).</w:t>
      </w:r>
      <w:r w:rsidRPr="004F1D15">
        <w:rPr>
          <w:rStyle w:val="FootnoteReference"/>
        </w:rPr>
        <w:footnoteReference w:id="97"/>
      </w:r>
      <w:r w:rsidRPr="004551E5">
        <w:t xml:space="preserve"> Năm 2020, việc trao đổi điện tử Tài liệu Khai báo Hải quan ASEAN (ACDD – ASEAN Customs Declaration Document) được thêm vào ASW. Hiện nay, việc trao đổi điện tử này đã được triển khai tại tám AMS, bao gồm Brunei, Campuchia, Indonesia, Malaysia, Myanmar, Philippines, Thái Lan và Việt Nam.</w:t>
      </w:r>
      <w:r>
        <w:rPr>
          <w:rStyle w:val="FootnoteReference"/>
        </w:rPr>
        <w:footnoteReference w:id="98"/>
      </w:r>
      <w:r w:rsidRPr="004551E5">
        <w:t xml:space="preserve"> ASW đang được mở rộng để hỗ trợ nhiều loại tài liệu liên quan đến thương mại điện tử hơn, chẳng hạn như chứng nhận thực vật điện tử (e-Phyto) và chứng nhận sức khỏe động vật điện tử (e-AH).</w:t>
      </w:r>
      <w:r w:rsidRPr="004F1D15">
        <w:rPr>
          <w:rStyle w:val="FootnoteReference"/>
        </w:rPr>
        <w:footnoteReference w:id="99"/>
      </w:r>
    </w:p>
    <w:p w14:paraId="78E202C3" w14:textId="5AB060F5" w:rsidR="00AB02C7" w:rsidRPr="004F1D15" w:rsidRDefault="00C11A05" w:rsidP="00595FF2">
      <w:pPr>
        <w:pStyle w:val="ListParagraph"/>
        <w:numPr>
          <w:ilvl w:val="0"/>
          <w:numId w:val="9"/>
        </w:numPr>
        <w:rPr>
          <w:rFonts w:ascii="Arial" w:hAnsi="Arial"/>
          <w:b/>
          <w:lang w:val="en-GB"/>
        </w:rPr>
      </w:pPr>
      <w:r w:rsidRPr="00C11A05">
        <w:rPr>
          <w:rFonts w:ascii="Arial" w:hAnsi="Arial"/>
          <w:b/>
          <w:lang w:val="vi-VN"/>
        </w:rPr>
        <w:lastRenderedPageBreak/>
        <w:t>Liên kết với các tiểu lĩnh vực khác / Các cân nhắc khác</w:t>
      </w:r>
    </w:p>
    <w:p w14:paraId="1190FD76" w14:textId="108615CE" w:rsidR="00AB02C7" w:rsidRPr="00C11A05" w:rsidRDefault="00C11A05" w:rsidP="007664A3">
      <w:pPr>
        <w:rPr>
          <w:lang w:val="vi-VN"/>
        </w:rPr>
      </w:pPr>
      <w:r w:rsidRPr="00C11A05">
        <w:rPr>
          <w:lang w:val="vi-VN"/>
        </w:rPr>
        <w:t>Tiêu chuẩn hải quan thuộc phạm vi của Ủy ban Điều phối Hải quan ASEAN (CCC – ASEAN Coordinating Committee on Customs) và các Nhóm công tác Hải quan, và việc phát triển đang tiến triển thuận lợi. Tuy nhiên, vẫn có thể tồn tại các lĩnh vực cần điều phối thêm về tiêu chuẩn tài liệu với các tiểu lĩnh vực khác được xác định trong Lộ trình này, bao gồm thương mại không giấy tờ và tiêu chuẩn đảm bảo giao dịch.</w:t>
      </w:r>
    </w:p>
    <w:p w14:paraId="700D259D" w14:textId="63A4A706" w:rsidR="00AB02C7" w:rsidRPr="004F1D15" w:rsidRDefault="00C11A05" w:rsidP="00C82E40">
      <w:pPr>
        <w:pStyle w:val="Heading4"/>
        <w:rPr>
          <w:lang w:val="en-GB"/>
        </w:rPr>
      </w:pPr>
      <w:r>
        <w:rPr>
          <w:lang w:val="en-GB"/>
        </w:rPr>
        <w:t>Đảm</w:t>
      </w:r>
      <w:r>
        <w:rPr>
          <w:lang w:val="vi-VN"/>
        </w:rPr>
        <w:t xml:space="preserve"> bảo giao dịch </w:t>
      </w:r>
    </w:p>
    <w:p w14:paraId="4368E1FC" w14:textId="65B01CB3" w:rsidR="00AB02C7" w:rsidRPr="004F1D15" w:rsidRDefault="00F95EFC" w:rsidP="00595FF2">
      <w:pPr>
        <w:pStyle w:val="ListParagraph"/>
        <w:numPr>
          <w:ilvl w:val="0"/>
          <w:numId w:val="8"/>
        </w:numPr>
        <w:rPr>
          <w:rFonts w:ascii="Arial" w:hAnsi="Arial"/>
          <w:b/>
          <w:lang w:val="en-GB"/>
        </w:rPr>
      </w:pPr>
      <w:r>
        <w:rPr>
          <w:rFonts w:ascii="Arial" w:hAnsi="Arial"/>
          <w:b/>
          <w:lang w:val="vi-VN"/>
        </w:rPr>
        <w:t>Tầm quan trọng của các tiêu chuẩn trong tiểu lĩnh vực này</w:t>
      </w:r>
    </w:p>
    <w:p w14:paraId="29B25465" w14:textId="30A6427F" w:rsidR="00AB02C7" w:rsidRPr="00F95EFC" w:rsidRDefault="00F95EFC" w:rsidP="007664A3">
      <w:pPr>
        <w:rPr>
          <w:lang w:val="vi-VN"/>
        </w:rPr>
      </w:pPr>
      <w:r w:rsidRPr="00F95EFC">
        <w:t>Đảm bảo giao dịch trong thương mại điện tử đề cập đến các quy trình và công nghệ nhằm đảm bảo an ninh, tính toàn vẹn và độ tin cậy của các giao dịch thực hiện trực tuyến. Điều này bao gồm mọi khía cạnh từ lúc người tiêu dùng bắt đầu tương tác với nền tảng thương mại điện tử đến khi hoàn tất giao dịch, bao gồm cả dịch vụ và hỗ trợ sau mua hàng.</w:t>
      </w:r>
    </w:p>
    <w:p w14:paraId="395C63FC" w14:textId="289DBA3C" w:rsidR="00AB02C7" w:rsidRPr="004F1D15" w:rsidRDefault="00D42BD5" w:rsidP="00D42BD5">
      <w:r>
        <w:t>Tiêu chuẩn quốc tế về đảm bảo giao dịch là vô cùng quan trọng đối với thương mại điện tử, cung cấp một khuôn khổ đảm bảo các giao dịch an toàn và đáng tin cậy. Các tiêu chuẩn này tạo sự tự tin cho người tiêu dùng bằng cách yêu cầu tuân thủ các thực hành bảo mật được công nhận và bảo vệ tính toàn vẹn của giao dịch cũng như dữ liệu khách hàng thông qua các biện pháp như mã hóa và các giao thức xác thực. Bằng cách thiết lập các chuẩn mực về bảo mật, các tiêu chuẩn này giảm thiểu rủi ro gian lận và vi phạm dữ liệu, những vấn đề quan trọng trong giao dịch số.</w:t>
      </w:r>
      <w:r>
        <w:rPr>
          <w:lang w:val="vi-VN"/>
        </w:rPr>
        <w:t xml:space="preserve"> </w:t>
      </w:r>
      <w:r>
        <w:t xml:space="preserve">Ngoài ra, tiêu chuẩn quốc tế còn tạo thuận lợi cho thương mại xuyên biên giới. Các tiêu chuẩn này giúp đơn giản hóa hoạt động bằng cách giảm bớt các phức tạp liên quan đến việc điều chỉnh trong môi trường pháp lý đa dạng, từ đó nâng cao hiệu quả tổng thể và giảm chi phí vận hành. Các tiêu chuẩn quốc tế này cuối cùng là cần thiết để thúc đẩy một hệ sinh thái thương mại điện tử an toàn, hiệu quả và hội nhập toàn cầu, phù hợp với các sáng kiến hiện tại của ASEAN như Hiệp định Thương mại Điện tử ASEAN, Chương trình Công tác Thương mại Điện tử ASEAN 2017-2021, và Hướng dẫn ASEAN về Trách nhiệm &amp; Nghĩa vụ của Nhà cung cấp </w:t>
      </w:r>
      <w:r w:rsidR="007B0916">
        <w:t>Chợ điện tử (</w:t>
      </w:r>
      <w:r>
        <w:t>E-marketplace</w:t>
      </w:r>
      <w:r w:rsidR="007B0916">
        <w:t>)</w:t>
      </w:r>
      <w:r>
        <w:t>.</w:t>
      </w:r>
      <w:r w:rsidR="00AB02C7" w:rsidRPr="004F1D15">
        <w:rPr>
          <w:rStyle w:val="FootnoteReference"/>
          <w:rFonts w:eastAsia="Times New Roman"/>
        </w:rPr>
        <w:footnoteReference w:id="100"/>
      </w:r>
    </w:p>
    <w:p w14:paraId="2874845A" w14:textId="3B26CC94" w:rsidR="00AB02C7" w:rsidRPr="004F1D15" w:rsidRDefault="00D42BD5" w:rsidP="00595FF2">
      <w:pPr>
        <w:pStyle w:val="ListParagraph"/>
        <w:numPr>
          <w:ilvl w:val="0"/>
          <w:numId w:val="8"/>
        </w:numPr>
        <w:rPr>
          <w:rFonts w:ascii="Arial" w:hAnsi="Arial"/>
          <w:b/>
          <w:lang w:val="en-GB"/>
        </w:rPr>
      </w:pPr>
      <w:r>
        <w:rPr>
          <w:rFonts w:ascii="Arial" w:hAnsi="Arial"/>
          <w:b/>
          <w:lang w:val="en-GB"/>
        </w:rPr>
        <w:t>Các</w:t>
      </w:r>
      <w:r>
        <w:rPr>
          <w:rFonts w:ascii="Arial" w:hAnsi="Arial"/>
          <w:b/>
          <w:lang w:val="vi-VN"/>
        </w:rPr>
        <w:t xml:space="preserve"> tiêu chuẩn quốc tế quan trọng đối với</w:t>
      </w:r>
      <w:r w:rsidR="00AB02C7" w:rsidRPr="004F1D15">
        <w:rPr>
          <w:rFonts w:ascii="Arial" w:hAnsi="Arial"/>
          <w:b/>
          <w:lang w:val="en-GB"/>
        </w:rPr>
        <w:t xml:space="preserve"> ASEAN </w:t>
      </w:r>
    </w:p>
    <w:p w14:paraId="19064751" w14:textId="24BF0C05" w:rsidR="00AB02C7" w:rsidRPr="004C6127" w:rsidRDefault="00D42BD5" w:rsidP="007664A3">
      <w:pPr>
        <w:rPr>
          <w:lang w:val="vi-VN"/>
        </w:rPr>
      </w:pPr>
      <w:r w:rsidRPr="00D42BD5">
        <w:rPr>
          <w:lang w:val="vi-VN"/>
        </w:rPr>
        <w:t>Hiện có một số tiêu chuẩn quan trọng được ban hành bởi ISO/TC 321 – Đảm bảo giao dịch trong Thương mại điện tử, một ủy ban kỹ thuật được thành lập để tập trung chuẩn hóa các quy trình nhằm đảm bảo giao dịch trong thương mại điện tử. Công việc của TC 321 đặc biệt quan trọng khi thương mại điện tử tiếp tục mở rộng toàn cầu, đem theo nhiều thách thức gia tăng liên quan đến bảo mật giao dịch, sự tin tưởng của khách hàng, và tính toàn vẹn của giao dịch.</w:t>
      </w:r>
      <w:r w:rsidR="00682981">
        <w:rPr>
          <w:lang w:val="vi-VN"/>
        </w:rPr>
        <w:t xml:space="preserve"> </w:t>
      </w:r>
      <w:r w:rsidR="00682981" w:rsidRPr="00682981">
        <w:rPr>
          <w:lang w:val="vi-VN"/>
        </w:rPr>
        <w:t>Các tiêu chuẩn liên quan đang được phát triển dưới ISO/TC321 và phù hợp với ASEAN bao gồm:</w:t>
      </w:r>
      <w:r w:rsidR="00682981">
        <w:rPr>
          <w:lang w:val="vi-VN"/>
        </w:rPr>
        <w:t xml:space="preserve"> </w:t>
      </w:r>
      <w:r w:rsidR="00682981" w:rsidRPr="00682981">
        <w:rPr>
          <w:b/>
          <w:bCs/>
          <w:lang w:val="vi-VN"/>
        </w:rPr>
        <w:t>ISO/DIS 32122</w:t>
      </w:r>
      <w:r w:rsidR="00682981" w:rsidRPr="00682981">
        <w:rPr>
          <w:lang w:val="vi-VN"/>
        </w:rPr>
        <w:t xml:space="preserve"> – Đảm bảo giao dịch trong thương mại điện tử: Hướng dẫn cung cấp dịch vụ giải quyết tranh chấp trực </w:t>
      </w:r>
      <w:r w:rsidR="00682981">
        <w:rPr>
          <w:lang w:val="vi-VN"/>
        </w:rPr>
        <w:t xml:space="preserve">tuyến, </w:t>
      </w:r>
      <w:r w:rsidR="00682981" w:rsidRPr="00682981">
        <w:rPr>
          <w:b/>
          <w:bCs/>
          <w:lang w:val="vi-VN"/>
        </w:rPr>
        <w:t>ISO/AWI TR 32121</w:t>
      </w:r>
      <w:r w:rsidR="00682981" w:rsidRPr="00682981">
        <w:rPr>
          <w:lang w:val="vi-VN"/>
        </w:rPr>
        <w:t xml:space="preserve"> – Đảm bảo giao dịch trong thương mại điện tử: Thực hành phát triển điều khoản sử dụng cho nền tảng B2C thương mại điện </w:t>
      </w:r>
      <w:r w:rsidR="00682981">
        <w:rPr>
          <w:lang w:val="vi-VN"/>
        </w:rPr>
        <w:t xml:space="preserve">tử, </w:t>
      </w:r>
      <w:r w:rsidR="00682981" w:rsidRPr="00682981">
        <w:rPr>
          <w:b/>
          <w:bCs/>
          <w:lang w:val="vi-VN"/>
        </w:rPr>
        <w:t>ISO/FDIS 32120</w:t>
      </w:r>
      <w:r w:rsidR="00682981" w:rsidRPr="00682981">
        <w:rPr>
          <w:lang w:val="vi-VN"/>
        </w:rPr>
        <w:t xml:space="preserve"> – Đảm bảo giao dịch trong thương mại điện tử: </w:t>
      </w:r>
      <w:r w:rsidR="00682981" w:rsidRPr="00682981">
        <w:rPr>
          <w:lang w:val="vi-VN"/>
        </w:rPr>
        <w:lastRenderedPageBreak/>
        <w:t>Hướng dẫn chia sẻ thông tin truy xuất nguồn gốc chất lượng hàng hóa trong chuỗi cung ứng thương mại điện tử</w:t>
      </w:r>
      <w:r w:rsidR="00AB02C7" w:rsidRPr="004F1D15">
        <w:t>.</w:t>
      </w:r>
      <w:r w:rsidR="00AB02C7" w:rsidRPr="004F1D15">
        <w:rPr>
          <w:rStyle w:val="FootnoteReference"/>
          <w:rFonts w:eastAsia="Times New Roman"/>
        </w:rPr>
        <w:footnoteReference w:id="101"/>
      </w:r>
    </w:p>
    <w:p w14:paraId="20EAA101" w14:textId="29BFB0A1" w:rsidR="00AB02C7" w:rsidRPr="00516087" w:rsidRDefault="004C6127" w:rsidP="00595FF2">
      <w:pPr>
        <w:pStyle w:val="ListParagraph"/>
        <w:numPr>
          <w:ilvl w:val="0"/>
          <w:numId w:val="8"/>
        </w:numPr>
        <w:rPr>
          <w:rFonts w:ascii="Arial" w:hAnsi="Arial"/>
          <w:b/>
          <w:lang w:val="en-GB"/>
        </w:rPr>
      </w:pPr>
      <w:r>
        <w:rPr>
          <w:rFonts w:ascii="Arial" w:hAnsi="Arial"/>
          <w:b/>
          <w:lang w:val="vi-VN"/>
        </w:rPr>
        <w:t xml:space="preserve">Tình trạng hiện tại của việc áp dụng tiêu chuẩn tại ASEAN, bao gồm các nỗ lực đang triển khai, kế hoạch sắp tới và cá thách thức chính trong việc áp dụng tiêu chuẩn tại các AMS và ASEAN </w:t>
      </w:r>
    </w:p>
    <w:p w14:paraId="642F6E24" w14:textId="42F80B3A" w:rsidR="00AB02C7" w:rsidRPr="004F1D15" w:rsidRDefault="00423A85" w:rsidP="007664A3">
      <w:r w:rsidRPr="00423A85">
        <w:rPr>
          <w:lang w:val="vi-VN"/>
        </w:rPr>
        <w:t>Mặc dù thông tin về việc áp dụng các tiêu chuẩn ISO nêu trên còn hạn chế, một số AMS đã tham gia ISO TC/321, với Singapore là thành viên tham gia, và Indonesia, Malaysia và Philippines là thành viên quan sát.</w:t>
      </w:r>
      <w:r w:rsidR="00AB02C7" w:rsidRPr="004F1D15">
        <w:rPr>
          <w:rStyle w:val="FootnoteReference"/>
          <w:rFonts w:eastAsia="Times New Roman"/>
        </w:rPr>
        <w:footnoteReference w:id="102"/>
      </w:r>
      <w:r w:rsidR="00AB02C7" w:rsidRPr="004F1D15">
        <w:t xml:space="preserve"> </w:t>
      </w:r>
    </w:p>
    <w:p w14:paraId="6C30244E" w14:textId="69E66A77" w:rsidR="00F1157D" w:rsidRDefault="00736E75" w:rsidP="007664A3">
      <w:pPr>
        <w:rPr>
          <w:lang w:val="vi-VN"/>
        </w:rPr>
      </w:pPr>
      <w:r w:rsidRPr="00736E75">
        <w:t xml:space="preserve">Vì các tiêu chuẩn đảm bảo giao dịch vẫn đang trong quá trình phát triển, chúng hiện chưa được đưa vào </w:t>
      </w:r>
      <w:r w:rsidRPr="00736E75">
        <w:rPr>
          <w:i/>
          <w:iCs/>
        </w:rPr>
        <w:t>Chương trình Công tác Thực hiện Hiệp định Thương mại Điện tử ASEAN</w:t>
      </w:r>
      <w:r w:rsidRPr="004F1D15">
        <w:rPr>
          <w:rStyle w:val="FootnoteReference"/>
          <w:rFonts w:eastAsia="Times New Roman"/>
        </w:rPr>
        <w:footnoteReference w:id="103"/>
      </w:r>
      <w:r w:rsidRPr="00736E75">
        <w:t>. Trong bối cảnh này, các AMS sẽ được lợi từ việc tham gia tích cực và thiết lập chương trình trong việc phát triển tiêu chuẩn thương mại điện tử, với mục tiêu cuối cùng là áp dụng và hài hòa, đảm bảo lợi ích của khu vực được đại diện.</w:t>
      </w:r>
    </w:p>
    <w:p w14:paraId="4E5463E9" w14:textId="28740F42" w:rsidR="00736E75" w:rsidRPr="00736E75" w:rsidRDefault="00736E75" w:rsidP="007664A3">
      <w:pPr>
        <w:rPr>
          <w:lang w:val="vi-VN"/>
        </w:rPr>
      </w:pPr>
      <w:r w:rsidRPr="00736E75">
        <w:rPr>
          <w:lang w:val="vi-VN"/>
        </w:rPr>
        <w:t xml:space="preserve">Ngoài ASEAN, EU đã thiết lập quy định eIDAS, cung cấp khuôn khổ cho xác thực danh tính số và dịch vụ tin cậy để tạo thuận lợi cho các giao dịch xuyên biên giới an toàn. Mục tiêu là xây dựng niềm tin trong các tương tác điện tử và thúc đẩy dịch vụ </w:t>
      </w:r>
      <w:r w:rsidR="00616696">
        <w:rPr>
          <w:lang w:val="vi-VN"/>
        </w:rPr>
        <w:t>số</w:t>
      </w:r>
      <w:r w:rsidRPr="00736E75">
        <w:rPr>
          <w:lang w:val="vi-VN"/>
        </w:rPr>
        <w:t xml:space="preserve"> liền mạch trên toàn EU.</w:t>
      </w:r>
      <w:r w:rsidRPr="00073C0D">
        <w:rPr>
          <w:rStyle w:val="FootnoteReference"/>
        </w:rPr>
        <w:footnoteReference w:id="104"/>
      </w:r>
      <w:r w:rsidRPr="00736E75">
        <w:rPr>
          <w:lang w:val="vi-VN"/>
        </w:rPr>
        <w:t xml:space="preserve"> Quy định về nhận dạng điện tử và dịch vụ tin cậy đánh dấu một bước tiến quan trọng trong việc thiết lập môi trường pháp lý có dự đoán trước. Mục tiêu chính là xây dựng niềm tin trong các giao dịch điện tử xuyên biên giới, đồng thời nâng cao hiệu quả của các dịch vụ trực tuyến và nền tảng thương mại điện tử, tập trung vào nhà cung cấp dịch vụ nhận dạng điện tử (eID) và dịch vụ tin cậy. Quy định này nhằm loại bỏ các rào cản cản trở việc sử dụng liền mạch dịch vụ tin cậy và eID giữa các quốc gia thành viên EU.</w:t>
      </w:r>
      <w:r w:rsidRPr="00073C0D">
        <w:rPr>
          <w:rStyle w:val="FootnoteReference"/>
        </w:rPr>
        <w:footnoteReference w:id="105"/>
      </w:r>
    </w:p>
    <w:p w14:paraId="67101AAD" w14:textId="2ED9C484" w:rsidR="00AB02C7" w:rsidRPr="004F1D15" w:rsidRDefault="00272D70" w:rsidP="00595FF2">
      <w:pPr>
        <w:pStyle w:val="ListParagraph"/>
        <w:numPr>
          <w:ilvl w:val="0"/>
          <w:numId w:val="8"/>
        </w:numPr>
        <w:rPr>
          <w:rFonts w:ascii="Arial" w:hAnsi="Arial"/>
          <w:b/>
          <w:lang w:val="en-GB"/>
        </w:rPr>
      </w:pPr>
      <w:r w:rsidRPr="00272D70">
        <w:rPr>
          <w:rFonts w:ascii="Arial" w:hAnsi="Arial"/>
          <w:b/>
          <w:lang w:val="vi-VN"/>
        </w:rPr>
        <w:t>Liên kết với các tiểu lĩnh vực khác / Các cân nhắc khác</w:t>
      </w:r>
    </w:p>
    <w:p w14:paraId="18BA3D00" w14:textId="643D78AE" w:rsidR="00272D70" w:rsidRPr="00272D70" w:rsidRDefault="00272D70" w:rsidP="00350A24">
      <w:pPr>
        <w:rPr>
          <w:lang w:val="vi-VN"/>
        </w:rPr>
      </w:pPr>
      <w:r w:rsidRPr="00272D70">
        <w:rPr>
          <w:lang w:val="vi-VN"/>
        </w:rPr>
        <w:t>Tiểu lĩnh vực này thuộc phạm vi của Ủy ban Điều phối Thương mại Điện tử và Kinh tế Số ASEAN (ACCED – ASEAN Coordinating Committee on Electronic Commerce and Digital Economy). Do tầm quan trọng then chốt của an toàn thanh toán và tính toàn vẹn giao dịch trong thương mại điện tử, TC321 đã nhấn mạnh nhu cầu hợp tác với ISO/TC 68 (Dịch vụ Tài chính), ISO/IEC/JTC1/SC 27 (Kỹ thuật An ninh CNTT), và các ủy ban kỹ thuật (TC) liên quan khác khi cần thiết</w:t>
      </w:r>
      <w:r w:rsidRPr="004F1D15">
        <w:rPr>
          <w:rStyle w:val="FootnoteReference"/>
          <w:rFonts w:eastAsia="Times New Roman"/>
        </w:rPr>
        <w:footnoteReference w:id="106"/>
      </w:r>
      <w:r w:rsidRPr="00272D70">
        <w:rPr>
          <w:lang w:val="vi-VN"/>
        </w:rPr>
        <w:t xml:space="preserve">. Phù hợp với mục tiêu </w:t>
      </w:r>
      <w:r w:rsidRPr="00272D70">
        <w:rPr>
          <w:lang w:val="vi-VN"/>
        </w:rPr>
        <w:lastRenderedPageBreak/>
        <w:t>này, các phát triển trong tiểu lĩnh vực cũng nên cân nhắc tăng cường phối hợp với các phát triển ở các tiểu lĩnh vực khác, bao gồm Thanh toán và An ninh mạng (Cybersecurity).</w:t>
      </w:r>
    </w:p>
    <w:p w14:paraId="09ABC9C8" w14:textId="01B52307" w:rsidR="00056193" w:rsidRPr="004F1D15" w:rsidRDefault="005C3D84" w:rsidP="007664A3">
      <w:pPr>
        <w:pStyle w:val="Heading3"/>
        <w:rPr>
          <w:lang w:val="en-GB"/>
        </w:rPr>
      </w:pPr>
      <w:r>
        <w:rPr>
          <w:lang w:val="en-GB"/>
        </w:rPr>
        <w:t>Giao</w:t>
      </w:r>
      <w:r>
        <w:rPr>
          <w:lang w:val="vi-VN"/>
        </w:rPr>
        <w:t xml:space="preserve"> dịch số</w:t>
      </w:r>
    </w:p>
    <w:p w14:paraId="1E68BC60" w14:textId="4C2428FB" w:rsidR="00056193" w:rsidRPr="004F1D15" w:rsidRDefault="005C3D84" w:rsidP="00C82E40">
      <w:pPr>
        <w:pStyle w:val="ListParagraph"/>
        <w:numPr>
          <w:ilvl w:val="0"/>
          <w:numId w:val="21"/>
        </w:numPr>
        <w:rPr>
          <w:rFonts w:ascii="Arial" w:hAnsi="Arial"/>
          <w:b/>
          <w:lang w:val="en-GB"/>
        </w:rPr>
      </w:pPr>
      <w:r>
        <w:rPr>
          <w:rFonts w:ascii="Arial" w:hAnsi="Arial"/>
          <w:b/>
          <w:lang w:val="en-GB"/>
        </w:rPr>
        <w:t>Ý</w:t>
      </w:r>
      <w:r>
        <w:rPr>
          <w:rFonts w:ascii="Arial" w:hAnsi="Arial"/>
          <w:b/>
          <w:lang w:val="vi-VN"/>
        </w:rPr>
        <w:t xml:space="preserve"> nghĩa của lĩnh vực được xác định đối với thương mại số của ASEAN </w:t>
      </w:r>
    </w:p>
    <w:p w14:paraId="509388A5" w14:textId="7BBEA3A3" w:rsidR="002C2530" w:rsidRPr="004F1D15" w:rsidRDefault="005C3D84" w:rsidP="007664A3">
      <w:r w:rsidRPr="005C3D84">
        <w:t>Trong những năm gần đây, ASEAN chứng kiến sự tăng trưởng đáng kể của các giao dịch thanh toán số, với tổng giá trị thanh toán số tại sáu nền kinh tế lớn nhất ASEAN đạt 806 tỷ USD vào năm 2022, và dự kiến tăng lên 1,2 nghìn tỷ USD vào năm 2025.</w:t>
      </w:r>
      <w:r w:rsidR="002C2530" w:rsidRPr="004F1D15">
        <w:rPr>
          <w:rStyle w:val="FootnoteReference"/>
          <w:rFonts w:eastAsia="Times New Roman"/>
        </w:rPr>
        <w:footnoteReference w:id="107"/>
      </w:r>
      <w:r w:rsidR="002C2530" w:rsidRPr="004F1D15">
        <w:t xml:space="preserve"> </w:t>
      </w:r>
    </w:p>
    <w:p w14:paraId="757A973D" w14:textId="24C08B05" w:rsidR="00FD4E1B" w:rsidRPr="004F1D15" w:rsidRDefault="005C3D84" w:rsidP="007664A3">
      <w:r w:rsidRPr="005C3D84">
        <w:t>Ngoài vai trò thúc đẩy thương mại số của ASEAN và củng cố hội nhập khu vực, hệ thống thanh toán còn thiết yếu để tạo điều kiện cho các giao dịch số xuyên biên giới và đa loại tiền tệ. Các giao dịch số này là nền tảng cho thương mại số ASEAN, thiết lập ASEAN như một trung tâm năng động cho thương mại số, từ đó trở thành xương sống cho sức sống kinh tế và năng lực cạnh tranh của khu vực.</w:t>
      </w:r>
    </w:p>
    <w:p w14:paraId="54726EA0" w14:textId="34C63411" w:rsidR="005607CA" w:rsidRPr="005607CA" w:rsidRDefault="005607CA" w:rsidP="007664A3">
      <w:pPr>
        <w:rPr>
          <w:rFonts w:eastAsia="Arial"/>
          <w:lang w:val="vi-VN"/>
        </w:rPr>
      </w:pPr>
      <w:r w:rsidRPr="005607CA">
        <w:rPr>
          <w:rFonts w:eastAsia="Arial"/>
          <w:lang w:val="vi-VN"/>
        </w:rPr>
        <w:t>Điều này làm tăng tầm quan trọng của giao dịch thương mại điện tử xuyên biên giới liền mạch, cho phép doanh nghiệp mở rộng phạm vi hoạt động, tạo thuận lợi cho thương mại trong khu vực với ma sát tối thiểu. Để hỗ trợ điều này, hóa đơn điện tử (e-invoicing) giúp tinh giản quy trình hành chính, nâng cao minh bạch, giảm rủi ro gian lận, và làm cho các giao dịch diễn ra mượt mà và nhanh chóng hơn. Tăng cường các cơ chế giao dịch số này có thể củng cố hệ sinh thái thương mại số của ASEAN. Cụ thể, nó có thể:</w:t>
      </w:r>
      <w:r>
        <w:rPr>
          <w:rFonts w:eastAsia="Arial"/>
          <w:lang w:val="vi-VN"/>
        </w:rPr>
        <w:t xml:space="preserve"> </w:t>
      </w:r>
      <w:r w:rsidRPr="005607CA">
        <w:rPr>
          <w:rFonts w:eastAsia="Arial"/>
          <w:lang w:val="vi-VN"/>
        </w:rPr>
        <w:t xml:space="preserve">Giảm rào cản thương mại thông qua việc giảm rào cản gia nhập cho MSMEs (Doanh nghiệp nhỏ và vừa) để cạnh tranh mà không phải tuân thủ nhiều tiêu chuẩn riêng lẻ cho từng thị trường </w:t>
      </w:r>
      <w:r>
        <w:rPr>
          <w:rFonts w:eastAsia="Arial"/>
          <w:lang w:val="vi-VN"/>
        </w:rPr>
        <w:t xml:space="preserve">ASEAN; </w:t>
      </w:r>
      <w:r w:rsidRPr="005607CA">
        <w:rPr>
          <w:rFonts w:eastAsia="Arial"/>
          <w:lang w:val="vi-VN"/>
        </w:rPr>
        <w:t xml:space="preserve">Cải thiện giao tiếp và tự động hóa bằng cách tăng tốc độ và hiệu quả thông qua giảm phân </w:t>
      </w:r>
      <w:r>
        <w:rPr>
          <w:rFonts w:eastAsia="Arial"/>
          <w:lang w:val="vi-VN"/>
        </w:rPr>
        <w:t>mảnh; Thu hẹp khaonrg cách phát triển; Duy trì lợi ích cạnh tranh của ASEAN trên thị trường toàn cầu.</w:t>
      </w:r>
    </w:p>
    <w:p w14:paraId="706DC62A" w14:textId="4C2E1F23" w:rsidR="00056193" w:rsidRPr="004F1D15" w:rsidRDefault="00442DF7" w:rsidP="00C82E40">
      <w:pPr>
        <w:pStyle w:val="ListParagraph"/>
        <w:numPr>
          <w:ilvl w:val="0"/>
          <w:numId w:val="21"/>
        </w:numPr>
        <w:rPr>
          <w:rFonts w:ascii="Arial" w:hAnsi="Arial"/>
          <w:b/>
          <w:lang w:val="en-GB"/>
        </w:rPr>
      </w:pPr>
      <w:r w:rsidRPr="00442DF7">
        <w:rPr>
          <w:rFonts w:ascii="Arial" w:hAnsi="Arial"/>
          <w:b/>
          <w:lang w:val="vi-VN"/>
        </w:rPr>
        <w:t>Mức độ liên quan của các tiểu lĩnh vực đối với ASEAN: (ưu tiên DTSCWG, ưu tiên DEFA, chương trình/hiệp định ASEAN)</w:t>
      </w:r>
    </w:p>
    <w:p w14:paraId="66DABDAF" w14:textId="0B6F5A47" w:rsidR="00822BD5" w:rsidRPr="004F1D15" w:rsidRDefault="00442DF7" w:rsidP="007664A3">
      <w:r w:rsidRPr="00442DF7">
        <w:rPr>
          <w:lang w:val="vi-VN"/>
        </w:rPr>
        <w:t>Thương mại điện tử xuyên biên giới ngày càng trở thành chủ đề phổ biến trong các hiệp định thương mại và cơ chế hội nhập kinh tế khu vực, khi các quốc gia tinh giản quy trình thương mại, nâng cao tiếp cận thị trường, và tăng cường quan hệ kinh tế quốc tế. Nhiều nghiên cứu ASEAN đã xác định lợi ích đáng kể mà thương mại điện tử mang lại cho ASEAN. Theo ước tính của Boston Consulting Group, nền kinh tế số ASEAN dự kiến tăng gấp ba lần vào cuối thập kỷ thông qua việc áp dụng tự nhiên công nghệ số, từ khoảng 300 tỷ USD lên gần 1 nghìn tỷ USD vào năm 2030</w:t>
      </w:r>
      <w:r w:rsidRPr="004F1D15">
        <w:rPr>
          <w:rStyle w:val="FootnoteReference"/>
          <w:rFonts w:eastAsia="Times New Roman"/>
        </w:rPr>
        <w:footnoteReference w:id="108"/>
      </w:r>
      <w:r w:rsidRPr="00442DF7">
        <w:rPr>
          <w:lang w:val="vi-VN"/>
        </w:rPr>
        <w:t>. Hơn nữa, các quy tắc tiến bộ trong DEFA sẽ tăng gấp đôi giá trị đóng góp này, mở khóa 2 nghìn tỷ USD cho nền kinh tế số ASEAN.</w:t>
      </w:r>
      <w:r w:rsidR="00070FFD" w:rsidRPr="004F1D15">
        <w:rPr>
          <w:rStyle w:val="FootnoteReference"/>
          <w:rFonts w:eastAsia="Times New Roman"/>
        </w:rPr>
        <w:footnoteReference w:id="109"/>
      </w:r>
      <w:r w:rsidR="00070FFD" w:rsidRPr="004F1D15">
        <w:t xml:space="preserve"> </w:t>
      </w:r>
    </w:p>
    <w:p w14:paraId="421C8F8E" w14:textId="7DC4F3DC" w:rsidR="00442DF7" w:rsidRPr="00442DF7" w:rsidRDefault="00442DF7" w:rsidP="007664A3">
      <w:pPr>
        <w:rPr>
          <w:lang w:val="vi-VN"/>
        </w:rPr>
      </w:pPr>
      <w:r w:rsidRPr="00442DF7">
        <w:rPr>
          <w:lang w:val="vi-VN"/>
        </w:rPr>
        <w:t xml:space="preserve">Tầm quan trọng của hóa đơn điện tử (e-invoicing) đối với ASEAN và phát triển thương mại số cũng được nhấn mạnh ở nhiều khía cạnh. Trong DTSCWG, </w:t>
      </w:r>
      <w:r w:rsidR="006F703C">
        <w:rPr>
          <w:lang w:val="vi-VN"/>
        </w:rPr>
        <w:t>hóa đơn điện tử</w:t>
      </w:r>
      <w:r w:rsidRPr="00442DF7">
        <w:rPr>
          <w:lang w:val="vi-VN"/>
        </w:rPr>
        <w:t xml:space="preserve"> được coi là tiểu trụ cột quan </w:t>
      </w:r>
      <w:r w:rsidRPr="00442DF7">
        <w:rPr>
          <w:lang w:val="vi-VN"/>
        </w:rPr>
        <w:lastRenderedPageBreak/>
        <w:t xml:space="preserve">trọng </w:t>
      </w:r>
      <w:r w:rsidR="007B0916">
        <w:rPr>
          <w:lang w:val="en-AU"/>
        </w:rPr>
        <w:t xml:space="preserve">của </w:t>
      </w:r>
      <w:r w:rsidRPr="00442DF7">
        <w:rPr>
          <w:i/>
          <w:iCs/>
          <w:lang w:val="vi-VN"/>
        </w:rPr>
        <w:t>“</w:t>
      </w:r>
      <w:r w:rsidR="007B0916">
        <w:rPr>
          <w:i/>
          <w:iCs/>
          <w:lang w:val="en-AU"/>
        </w:rPr>
        <w:t>Tạo thuận lợi cho giao dịch số (</w:t>
      </w:r>
      <w:r w:rsidRPr="00442DF7">
        <w:rPr>
          <w:i/>
          <w:iCs/>
          <w:lang w:val="vi-VN"/>
        </w:rPr>
        <w:t>Facilitating Digital Transactions</w:t>
      </w:r>
      <w:r w:rsidR="007B0916">
        <w:rPr>
          <w:i/>
          <w:iCs/>
          <w:lang w:val="en-AU"/>
        </w:rPr>
        <w:t>)</w:t>
      </w:r>
      <w:r w:rsidRPr="00442DF7">
        <w:rPr>
          <w:i/>
          <w:iCs/>
          <w:lang w:val="vi-VN"/>
        </w:rPr>
        <w:t>”</w:t>
      </w:r>
      <w:r w:rsidRPr="00442DF7">
        <w:rPr>
          <w:rStyle w:val="FootnoteReference"/>
          <w:rFonts w:eastAsia="Times New Roman"/>
          <w:i/>
          <w:iCs/>
        </w:rPr>
        <w:footnoteReference w:id="110"/>
      </w:r>
      <w:r w:rsidRPr="00442DF7">
        <w:rPr>
          <w:i/>
          <w:iCs/>
          <w:lang w:val="vi-VN"/>
        </w:rPr>
        <w:t>.</w:t>
      </w:r>
      <w:r w:rsidRPr="00442DF7">
        <w:rPr>
          <w:lang w:val="vi-VN"/>
        </w:rPr>
        <w:t xml:space="preserve"> Thông qua Sáng kiến DTS, nhiều công việc quan trọng bao gồm nghiên cứu và các hoạt động xây dựng năng lực đã được triển khai nhằm nâng cao nhận thức và hỗ trợ áp dụng rộng rãi trong các AMS. DTSCWG cũng đã ủy quyền một nghiên cứu về bối cảnh áp dụng </w:t>
      </w:r>
      <w:r w:rsidR="006F703C">
        <w:rPr>
          <w:lang w:val="vi-VN"/>
        </w:rPr>
        <w:t>hóa đơn điện tử</w:t>
      </w:r>
      <w:r w:rsidRPr="00442DF7">
        <w:rPr>
          <w:lang w:val="vi-VN"/>
        </w:rPr>
        <w:t xml:space="preserve"> tại ASEAN, được IMDA Singapore hỗ trợ vào năm 2022.</w:t>
      </w:r>
      <w:r w:rsidRPr="004F1D15">
        <w:rPr>
          <w:rStyle w:val="FootnoteReference"/>
          <w:rFonts w:eastAsia="Times New Roman"/>
        </w:rPr>
        <w:footnoteReference w:id="111"/>
      </w:r>
    </w:p>
    <w:p w14:paraId="58E2868E" w14:textId="33931E7E" w:rsidR="00460A81" w:rsidRPr="00460A81" w:rsidRDefault="00460A81" w:rsidP="007664A3">
      <w:pPr>
        <w:rPr>
          <w:lang w:val="vi-VN"/>
        </w:rPr>
      </w:pPr>
      <w:r w:rsidRPr="00460A81">
        <w:rPr>
          <w:lang w:val="vi-VN"/>
        </w:rPr>
        <w:t xml:space="preserve">Ngoài ra, Nghiên cứu DEFA khuyến nghị áp dụng tiêu chuẩn và các biện pháp tương thích cho </w:t>
      </w:r>
      <w:r w:rsidR="006F703C">
        <w:rPr>
          <w:lang w:val="vi-VN"/>
        </w:rPr>
        <w:t>hóa đơn điện tử</w:t>
      </w:r>
      <w:r w:rsidRPr="00460A81">
        <w:rPr>
          <w:lang w:val="vi-VN"/>
        </w:rPr>
        <w:t xml:space="preserve">, với đề cập cụ thể đến khung </w:t>
      </w:r>
      <w:r w:rsidRPr="00460A81">
        <w:rPr>
          <w:b/>
          <w:bCs/>
          <w:lang w:val="vi-VN"/>
        </w:rPr>
        <w:t>PEPPOL</w:t>
      </w:r>
      <w:r w:rsidRPr="004F1D15">
        <w:rPr>
          <w:rStyle w:val="FootnoteReference"/>
          <w:rFonts w:eastAsia="Times New Roman"/>
        </w:rPr>
        <w:footnoteReference w:id="112"/>
      </w:r>
      <w:r w:rsidRPr="00460A81">
        <w:rPr>
          <w:lang w:val="vi-VN"/>
        </w:rPr>
        <w:t xml:space="preserve">. Có mức độ quan tâm cao trong việc xây dựng năng lực về </w:t>
      </w:r>
      <w:r w:rsidR="006F703C">
        <w:rPr>
          <w:lang w:val="vi-VN"/>
        </w:rPr>
        <w:t>hóa đơn điện tử</w:t>
      </w:r>
      <w:r w:rsidRPr="00460A81">
        <w:rPr>
          <w:lang w:val="vi-VN"/>
        </w:rPr>
        <w:t xml:space="preserve"> thông qua các cuộc đàm phán DEFA.</w:t>
      </w:r>
    </w:p>
    <w:p w14:paraId="6FD3F395" w14:textId="19254841" w:rsidR="00ED6913" w:rsidRPr="004F1D15" w:rsidRDefault="00460A81" w:rsidP="007664A3">
      <w:r w:rsidRPr="00460A81">
        <w:t>Cuối cùng, hệ thống thanh toán đóng vai trò cắt ngang (cross-cutting) trong việc tạo điều kiện cho các giao dịch số, từ đó thúc đẩy thương mại số ASEAN và tăng cường hội nhập khu vực. Khi ASEAN trở thành trung tâm thương mại số năng động, hệ thống thanh toán hiệu quả là cần thiết để tạo điều kiện cho các giao dịch xuyên biên giới và đa tiền tệ. Hơn nữa, khi ASEAN hướng tới hội nhập kinh tế sâu hơn, các hệ thống thanh toán tương thích là then chốt để thúc đẩy thương mại và đầu tư xuyên biên giới, đồng thời tăng tốc phát triển thương mại số trong khu vực.</w:t>
      </w:r>
      <w:r w:rsidR="00ED6913" w:rsidRPr="004F1D15">
        <w:rPr>
          <w:rStyle w:val="FootnoteReference"/>
          <w:rFonts w:eastAsia="Times New Roman"/>
        </w:rPr>
        <w:footnoteReference w:id="113"/>
      </w:r>
      <w:r w:rsidR="00ED6913" w:rsidRPr="004F1D15">
        <w:t xml:space="preserve"> </w:t>
      </w:r>
    </w:p>
    <w:p w14:paraId="4D575F84" w14:textId="5A9F2C4B" w:rsidR="00056193" w:rsidRPr="00460A81" w:rsidRDefault="00056193" w:rsidP="007664A3">
      <w:pPr>
        <w:rPr>
          <w:rFonts w:eastAsia="Arial"/>
          <w:b/>
          <w:color w:val="000000"/>
          <w:lang w:val="vi-VN"/>
        </w:rPr>
      </w:pPr>
      <w:r w:rsidRPr="004F1D15">
        <w:rPr>
          <w:b/>
        </w:rPr>
        <w:t>3.</w:t>
      </w:r>
      <w:r w:rsidR="00460A81">
        <w:rPr>
          <w:rFonts w:eastAsia="Arial"/>
          <w:b/>
          <w:color w:val="000000"/>
          <w:lang w:val="vi-VN"/>
        </w:rPr>
        <w:t xml:space="preserve"> Tầm quan trọng và vai trò của tiêu chuẩn trong lĩnh vực thương mại số đã xác định </w:t>
      </w:r>
    </w:p>
    <w:p w14:paraId="78BBF017" w14:textId="239D25E5" w:rsidR="00D90293" w:rsidRPr="00D90293" w:rsidRDefault="00D90293" w:rsidP="007664A3">
      <w:pPr>
        <w:rPr>
          <w:lang w:val="vi-VN"/>
        </w:rPr>
      </w:pPr>
      <w:r w:rsidRPr="00D90293">
        <w:rPr>
          <w:lang w:val="vi-VN"/>
        </w:rPr>
        <w:t>Tiêu chuẩn đóng vai trò quan trọng trong việc tạo điều kiện cho giao dịch số, giúp giải quyết sự khác biệt về yêu cầu pháp lý và các giao thức bảo mật. Các tiêu chuẩn này đảm bảo tương thích, an ninh và hiệu quả giữa các nền tảng và khu vực pháp lý khác nhau. Khi thương mại số tiếp tục tăng trưởng, hài hòa tiêu chuẩn càng trở nên quan trọng để quản lý phức tạp của thương mại điện tử xuyên biên giới, thanh toán số và hóa đơn điện tử.</w:t>
      </w:r>
      <w:r>
        <w:rPr>
          <w:lang w:val="vi-VN"/>
        </w:rPr>
        <w:t xml:space="preserve"> </w:t>
      </w:r>
      <w:r w:rsidRPr="00D90293">
        <w:rPr>
          <w:lang w:val="vi-VN"/>
        </w:rPr>
        <w:t>Thiết lập các tiêu chuẩn đồng nhất cho giao dịch số không chỉ nâng cao sự tin cậy mà còn giảm chi phí và tinh giản quy trình, giúp giao dịch số diễn ra mượt mà và an toàn hơn.</w:t>
      </w:r>
      <w:r>
        <w:rPr>
          <w:lang w:val="vi-VN"/>
        </w:rPr>
        <w:t xml:space="preserve"> Trong các tiểu lĩnh vực này, gồm (1) Thương mại điện tử xuyên biên giới, (2) Hóa đơn điện tử, và (3) Thanh toán, các tiêu chuẩn số được hài hòa có thể tăng cường niềm tin cho doanh nghiệp và người tiêu dùng, tạo ra một môi trường thuận lợi, nơi tất cả các bên đều có sự chắc chắn và tự tin để tham gia vào thương mại số.</w:t>
      </w:r>
    </w:p>
    <w:p w14:paraId="2BCE677A" w14:textId="1483EB43" w:rsidR="001D67E2" w:rsidRPr="004F1D15" w:rsidRDefault="006D1B54" w:rsidP="00C82E40">
      <w:pPr>
        <w:pStyle w:val="Heading4"/>
        <w:rPr>
          <w:lang w:val="en-GB"/>
        </w:rPr>
      </w:pPr>
      <w:r>
        <w:rPr>
          <w:lang w:val="vi-VN"/>
        </w:rPr>
        <w:t xml:space="preserve">Thương mại điện tử xuyên biên giới </w:t>
      </w:r>
    </w:p>
    <w:p w14:paraId="71FD594C" w14:textId="076BC980" w:rsidR="00F05046" w:rsidRPr="004F1D15" w:rsidRDefault="009C3A47" w:rsidP="00C82E40">
      <w:pPr>
        <w:pStyle w:val="ListParagraph"/>
        <w:numPr>
          <w:ilvl w:val="0"/>
          <w:numId w:val="22"/>
        </w:numPr>
        <w:rPr>
          <w:rFonts w:ascii="Arial" w:hAnsi="Arial"/>
          <w:b/>
          <w:lang w:val="en-GB"/>
        </w:rPr>
      </w:pPr>
      <w:r w:rsidRPr="009C3A47">
        <w:rPr>
          <w:rFonts w:ascii="Arial" w:hAnsi="Arial"/>
          <w:b/>
          <w:lang w:val="vi-VN"/>
        </w:rPr>
        <w:t>Tại sao tiêu chuẩn quan trọng đối với tiểu lĩnh vực này (ví dụ: nhu cầu, lợi ích đối với thương mại số, lợi ích đối với khu vực, v.v.)</w:t>
      </w:r>
    </w:p>
    <w:p w14:paraId="0DD7D190" w14:textId="218D9FF4" w:rsidR="00A23D72" w:rsidRPr="009C3A47" w:rsidRDefault="009C3A47" w:rsidP="007664A3">
      <w:pPr>
        <w:rPr>
          <w:lang w:val="vi-VN"/>
        </w:rPr>
      </w:pPr>
      <w:r w:rsidRPr="009C3A47">
        <w:t>Các tiêu chuẩn quốc tế đóng vai trò then chốt trong việc thúc đẩy triển khai thương mại bằng cách bảo đảm tính nhất quán, độ tin cậy và khả năng tương tác trong thương mại điện tử xuyên biên giới. Những tiêu chuẩn này thiết lập các giao thức và khuôn khổ chung, cho phép doanh nghiệp và người tiêu dùng tương tác liền mạch với nhau.</w:t>
      </w:r>
    </w:p>
    <w:p w14:paraId="069C4766" w14:textId="6754C9EA" w:rsidR="00F05046" w:rsidRPr="004F1D15" w:rsidRDefault="009C3A47" w:rsidP="00C82E40">
      <w:pPr>
        <w:pStyle w:val="ListParagraph"/>
        <w:numPr>
          <w:ilvl w:val="0"/>
          <w:numId w:val="22"/>
        </w:numPr>
        <w:rPr>
          <w:rFonts w:ascii="Arial" w:hAnsi="Arial"/>
          <w:b/>
          <w:lang w:val="en-GB"/>
        </w:rPr>
      </w:pPr>
      <w:r w:rsidRPr="009C3A47">
        <w:rPr>
          <w:rFonts w:ascii="Arial" w:hAnsi="Arial"/>
          <w:b/>
          <w:lang w:val="en-GB"/>
        </w:rPr>
        <w:lastRenderedPageBreak/>
        <w:t>Các tiêu chuẩn quốc tế quan trọng đối với ASEAN</w:t>
      </w:r>
    </w:p>
    <w:p w14:paraId="3F4A516F" w14:textId="4F417A73" w:rsidR="000805BB" w:rsidRPr="004F1D15" w:rsidRDefault="009C3A47" w:rsidP="007664A3">
      <w:r w:rsidRPr="005A5AEC">
        <w:rPr>
          <w:b/>
          <w:bCs/>
        </w:rPr>
        <w:t>Luật mẫu của UNCITRAL về Thương mại điện tử (MLEC)</w:t>
      </w:r>
      <w:r w:rsidRPr="009C3A47">
        <w:t xml:space="preserve"> được ban hành năm 1996 nhằm tạo thuận lợi cho thương mại quốc tế bằng cách công nhận và cho phép sử dụng thông điệp điện tử trong giao dịch thương mại. Mục tiêu chính là cung cấp cho cơ quan lập pháp quốc gia một mô hình để hiện đại hóa và hài hòa hóa pháp luật về xử lý hồ sơ điện tử và chữ ký điện tử, từ đó thúc đẩy tính hợp lệ và hiệu lực pháp lý của hình thức điện tử so với tài liệu giấy truyền thống</w:t>
      </w:r>
      <w:r w:rsidRPr="004F1D15">
        <w:rPr>
          <w:rStyle w:val="FootnoteReference"/>
          <w:rFonts w:eastAsia="Times New Roman"/>
        </w:rPr>
        <w:footnoteReference w:id="114"/>
      </w:r>
      <w:r w:rsidRPr="009C3A47">
        <w:t>. Do thời gian áp dụng dài, hầu hết các quốc gia đã áp dụng các tiêu chuẩn này, nhưng việc triển khai toàn diện vẫn có thể đang diễn ra.</w:t>
      </w:r>
    </w:p>
    <w:p w14:paraId="0247894E" w14:textId="236306D3" w:rsidR="005A5AEC" w:rsidRPr="005A5AEC" w:rsidRDefault="005A5AEC" w:rsidP="007664A3">
      <w:pPr>
        <w:rPr>
          <w:lang w:val="vi-VN"/>
        </w:rPr>
      </w:pPr>
      <w:r w:rsidRPr="005A5AEC">
        <w:rPr>
          <w:b/>
          <w:bCs/>
          <w:lang w:val="vi-VN"/>
        </w:rPr>
        <w:t xml:space="preserve">Luật mẫu về Hồ sơ điện tử chuyển nhượng (MLETR) </w:t>
      </w:r>
      <w:r w:rsidRPr="005A5AEC">
        <w:rPr>
          <w:lang w:val="vi-VN"/>
        </w:rPr>
        <w:t>được UNCITRAL ban hành năm 2017 nhằm cung cấp cơ sở pháp lý cho việc sử dụng hồ sơ điện tử chuyển nhượng trong nước và xuyên biên giới. Luật này trao cho hồ sơ điện tử sự công nhận tương đương với các chứng từ chuyển nhượng trên giấy, như vận đơn, kỳ phiếu và séc</w:t>
      </w:r>
      <w:r w:rsidRPr="004F1D15">
        <w:rPr>
          <w:rStyle w:val="FootnoteReference"/>
          <w:rFonts w:eastAsia="Times New Roman"/>
        </w:rPr>
        <w:footnoteReference w:id="115"/>
      </w:r>
      <w:r w:rsidRPr="005A5AEC">
        <w:rPr>
          <w:lang w:val="vi-VN"/>
        </w:rPr>
        <w:t>. Sự công nhận này rất quan trọng để thúc đẩy số hóa chứng từ thương mại, góp phần tinh giản đáng kể các quy trình thương mại.</w:t>
      </w:r>
      <w:r>
        <w:rPr>
          <w:lang w:val="vi-VN"/>
        </w:rPr>
        <w:t xml:space="preserve"> </w:t>
      </w:r>
      <w:r w:rsidRPr="005A5AEC">
        <w:rPr>
          <w:lang w:val="vi-VN"/>
        </w:rPr>
        <w:t>MLETR được thiết kế theo hướng trung lập về công nghệ, nghĩa là không quy định công nghệ hay quy trình cụ thể. Điều này cho phép các quốc gia và doanh nghiệp triển khai theo cách phù hợp với hệ thống pháp lý và năng lực công nghệ của mình. Việc áp dụng MLETR toàn diện giúp chuyển đổi từ chứng từ giấy sang chứng từ điện tử, mang lại tiết kiệm chi phí đáng kể liên quan đến in ấn, lưu trữ và vận chuyển, đồng thời tăng tốc độ giao dịch, mang lại lợi ích cho tất cả các bên tham gia thương mại.</w:t>
      </w:r>
    </w:p>
    <w:p w14:paraId="18472D42" w14:textId="696F941A" w:rsidR="00F05046" w:rsidRPr="00516087" w:rsidRDefault="00DA3805" w:rsidP="00C82E40">
      <w:pPr>
        <w:pStyle w:val="ListParagraph"/>
        <w:numPr>
          <w:ilvl w:val="0"/>
          <w:numId w:val="22"/>
        </w:numPr>
        <w:rPr>
          <w:rFonts w:ascii="Arial" w:hAnsi="Arial"/>
          <w:b/>
          <w:lang w:val="en-GB"/>
        </w:rPr>
      </w:pPr>
      <w:r w:rsidRPr="00DA3805">
        <w:rPr>
          <w:rFonts w:ascii="Arial" w:hAnsi="Arial"/>
          <w:b/>
          <w:lang w:val="vi-VN"/>
        </w:rPr>
        <w:t>Tình hình áp dụng tiêu chuẩn tại ASEAN, bao gồm các nỗ lực đang được triển khai, kế hoạch sắp tới và thách thức trong việc áp dụng tiêu chuẩn giữa các quốc gia thành viên ASEAN (AMS) và toàn ASEAN</w:t>
      </w:r>
    </w:p>
    <w:p w14:paraId="10648844" w14:textId="1E43FF9F" w:rsidR="000805BB" w:rsidRPr="00DA3805" w:rsidRDefault="00DA3805" w:rsidP="007664A3">
      <w:pPr>
        <w:rPr>
          <w:lang w:val="vi-VN"/>
        </w:rPr>
      </w:pPr>
      <w:r w:rsidRPr="00DA3805">
        <w:rPr>
          <w:lang w:val="vi-VN"/>
        </w:rPr>
        <w:t xml:space="preserve">Đa số các quốc gia thành viên ASEAN </w:t>
      </w:r>
      <w:r>
        <w:rPr>
          <w:lang w:val="vi-VN"/>
        </w:rPr>
        <w:t>-</w:t>
      </w:r>
      <w:r w:rsidRPr="00DA3805">
        <w:rPr>
          <w:lang w:val="vi-VN"/>
        </w:rPr>
        <w:t xml:space="preserve"> tám trên mười quốc gia đã tích hợp Luật mẫu UNCITRAL về Thương mại điện tử vào khuôn khổ pháp lý quốc gia của mình, theo các khuyến nghị và đánh giá của UNCITRAL. Indonesia và Myanmar là hai ngoại lệ.</w:t>
      </w:r>
    </w:p>
    <w:p w14:paraId="1B3EF582" w14:textId="0D29FB11" w:rsidR="00DA3805" w:rsidRPr="00DA3805" w:rsidRDefault="00DA3805" w:rsidP="007664A3">
      <w:pPr>
        <w:rPr>
          <w:lang w:val="vi-VN"/>
        </w:rPr>
      </w:pPr>
      <w:r w:rsidRPr="00DA3805">
        <w:rPr>
          <w:lang w:val="vi-VN"/>
        </w:rPr>
        <w:t xml:space="preserve">Tại Indonesia, khuôn khổ pháp lý cho giao dịch điện tử được quy định trong </w:t>
      </w:r>
      <w:r w:rsidRPr="00CB4B10">
        <w:rPr>
          <w:i/>
          <w:iCs/>
          <w:lang w:val="vi-VN"/>
        </w:rPr>
        <w:t>Luật số 11 năm 2008</w:t>
      </w:r>
      <w:r w:rsidRPr="00DA3805">
        <w:rPr>
          <w:lang w:val="vi-VN"/>
        </w:rPr>
        <w:t xml:space="preserve"> (Luật Thông tin và Giao dịch Điện tử), thiết lập cơ sở pháp lý cho chữ ký điện tử, hồ sơ điện tử và các khía cạnh khác của thương mại số.</w:t>
      </w:r>
      <w:r>
        <w:rPr>
          <w:lang w:val="vi-VN"/>
        </w:rPr>
        <w:t xml:space="preserve"> </w:t>
      </w:r>
      <w:r w:rsidRPr="00DA3805">
        <w:rPr>
          <w:lang w:val="vi-VN"/>
        </w:rPr>
        <w:t xml:space="preserve">Tương tự, Myanmar đã ban hành </w:t>
      </w:r>
      <w:r w:rsidRPr="00CB4B10">
        <w:rPr>
          <w:i/>
          <w:iCs/>
          <w:lang w:val="vi-VN"/>
        </w:rPr>
        <w:t>Luật Giao dịch Điện tử</w:t>
      </w:r>
      <w:r w:rsidRPr="00DA3805">
        <w:rPr>
          <w:lang w:val="vi-VN"/>
        </w:rPr>
        <w:t>, được cập nhật vào các năm 2004, 2014 và gần đây nhất là 2021. Luật này cũng công nhận tính hợp lệ của hồ sơ điện tử và chữ ký điện tử, tạo điều kiện cho thương mại điện tử.</w:t>
      </w:r>
      <w:r w:rsidRPr="004F1D15">
        <w:rPr>
          <w:rStyle w:val="FootnoteReference"/>
          <w:rFonts w:eastAsia="Times New Roman"/>
        </w:rPr>
        <w:footnoteReference w:id="116"/>
      </w:r>
      <w:r>
        <w:rPr>
          <w:lang w:val="vi-VN"/>
        </w:rPr>
        <w:t xml:space="preserve"> </w:t>
      </w:r>
      <w:r w:rsidRPr="00DA3805">
        <w:rPr>
          <w:lang w:val="vi-VN"/>
        </w:rPr>
        <w:t>Mặc dù cả Indonesia và Myanmar đều công nhận tính hợp pháp của giao dịch điện tử, vẫn có thể tồn tại những điểm chưa thống nhất, cần điều chỉnh để thúc đẩy hài hòa hóa trong ASEAN.</w:t>
      </w:r>
    </w:p>
    <w:p w14:paraId="61DE361A" w14:textId="7F2FB9F1" w:rsidR="00CB4B10" w:rsidRPr="00CB4B10" w:rsidRDefault="00CB4B10" w:rsidP="007664A3">
      <w:pPr>
        <w:rPr>
          <w:rFonts w:eastAsia="Calibri"/>
          <w:lang w:val="vi-VN"/>
        </w:rPr>
      </w:pPr>
      <w:r w:rsidRPr="00CB4B10">
        <w:rPr>
          <w:rFonts w:eastAsia="Calibri"/>
          <w:lang w:val="vi-VN"/>
        </w:rPr>
        <w:t xml:space="preserve">Ngược lại, do tiêu chuẩn mới được ban hành gần đây, việc áp dụng UNCITRAL MLETR còn hạn chế, với chỉ Singapore đã chính thức áp dụng. Nhu cầu áp dụng MLETR rất cao trên toàn cầu, bao gồm cả </w:t>
      </w:r>
      <w:r w:rsidRPr="00CB4B10">
        <w:rPr>
          <w:rFonts w:eastAsia="Calibri"/>
          <w:lang w:val="vi-VN"/>
        </w:rPr>
        <w:lastRenderedPageBreak/>
        <w:t>nỗ lực của các quốc gia G7 trong việc phát triển tài liệu hướng dẫn, đánh giá tính khả thi, và xem xét khả năng áp dụng. Tuy vậy, Singapore là quốc gia duy nhất đi đầu trong thực thi.</w:t>
      </w:r>
      <w:r w:rsidRPr="004F1D15">
        <w:rPr>
          <w:rStyle w:val="FootnoteReference"/>
          <w:rFonts w:eastAsia="Times New Roman"/>
        </w:rPr>
        <w:footnoteReference w:id="117"/>
      </w:r>
      <w:r>
        <w:rPr>
          <w:rFonts w:eastAsia="Calibri"/>
          <w:lang w:val="vi-VN"/>
        </w:rPr>
        <w:t xml:space="preserve"> </w:t>
      </w:r>
      <w:r w:rsidRPr="00CB4B10">
        <w:rPr>
          <w:rFonts w:eastAsia="Calibri"/>
          <w:lang w:val="vi-VN"/>
        </w:rPr>
        <w:t>Dù vậy, MLETR được kỳ vọng sẽ trở thành tiêu chuẩn quan trọng trong tương lai, như nêu trong Nghiên cứu về DEFA của ASEAN</w:t>
      </w:r>
      <w:r w:rsidRPr="004F1D15">
        <w:rPr>
          <w:rStyle w:val="FootnoteReference"/>
        </w:rPr>
        <w:footnoteReference w:id="118"/>
      </w:r>
      <w:r w:rsidRPr="00CB4B10">
        <w:rPr>
          <w:rFonts w:eastAsia="Calibri"/>
          <w:lang w:val="vi-VN"/>
        </w:rPr>
        <w:t>, và có khả năng trở thành một điều khoản đáng chú ý trong các đàm phán FTA trong dài hạn, tương tự như việc lồng ghép Luật mẫu về Thương mại điện tử trong RCEP.</w:t>
      </w:r>
    </w:p>
    <w:p w14:paraId="0FD6B351" w14:textId="1F214BAD" w:rsidR="00F05046" w:rsidRPr="004F1D15" w:rsidRDefault="00151B77" w:rsidP="00C82E40">
      <w:pPr>
        <w:pStyle w:val="ListParagraph"/>
        <w:numPr>
          <w:ilvl w:val="0"/>
          <w:numId w:val="22"/>
        </w:numPr>
        <w:rPr>
          <w:rFonts w:ascii="Arial" w:hAnsi="Arial"/>
          <w:b/>
          <w:lang w:val="en-GB"/>
        </w:rPr>
      </w:pPr>
      <w:r w:rsidRPr="00151B77">
        <w:rPr>
          <w:rFonts w:ascii="Arial" w:hAnsi="Arial"/>
          <w:b/>
          <w:lang w:val="vi-VN"/>
        </w:rPr>
        <w:t>Liên kết với các tiểu lĩnh vực khác / Các cân nhắc khác</w:t>
      </w:r>
    </w:p>
    <w:p w14:paraId="273EEC0D" w14:textId="468B36B2" w:rsidR="00AD1EDF" w:rsidRPr="004F1D15" w:rsidRDefault="00151B77" w:rsidP="007664A3">
      <w:r w:rsidRPr="00151B77">
        <w:t>Tiểu lĩnh vực này thuộc phạm vi của Ủy ban Điều phối Thương mại Điện tử ASEAN (ACCEC). Các phát triển trong tiểu lĩnh vực này cũng nên tăng cường phối hợp với các tiểu lĩnh vực khác, bao gồm Thanh toán (Payments) và An ninh mạng (Cybersecurity).</w:t>
      </w:r>
    </w:p>
    <w:p w14:paraId="11B9BDAE" w14:textId="1F746E4A" w:rsidR="000805BB" w:rsidRPr="004F1D15" w:rsidRDefault="00151B77" w:rsidP="007664A3">
      <w:r w:rsidRPr="00151B77">
        <w:rPr>
          <w:lang w:val="vi-VN"/>
        </w:rPr>
        <w:t>Trong trung và dài hạn, UNCITRAL MLETR cũng sẽ trở thành nền tảng cho việc áp dụng blockchain và công nghệ sổ cái phân tán (DLT) trong khuôn khổ thương mại số và quy trình chuỗi cung ứng, vì MLETR bao gồm các nội dung liên quan đến quyền riêng tư, chữ ký điện tử và khả năng xác minh.</w:t>
      </w:r>
      <w:r w:rsidR="000805BB" w:rsidRPr="004F1D15">
        <w:rPr>
          <w:rStyle w:val="FootnoteReference"/>
          <w:rFonts w:eastAsia="Times New Roman"/>
        </w:rPr>
        <w:footnoteReference w:id="119"/>
      </w:r>
      <w:r w:rsidR="000805BB" w:rsidRPr="004F1D15">
        <w:t xml:space="preserve"> </w:t>
      </w:r>
    </w:p>
    <w:p w14:paraId="7CB7BAE9" w14:textId="3D402441" w:rsidR="004C5992" w:rsidRPr="004F1D15" w:rsidRDefault="00A3186A" w:rsidP="00C82E40">
      <w:pPr>
        <w:pStyle w:val="Heading4"/>
        <w:rPr>
          <w:lang w:val="en-GB"/>
        </w:rPr>
      </w:pPr>
      <w:r>
        <w:rPr>
          <w:lang w:val="en-GB"/>
        </w:rPr>
        <w:t>Hóa</w:t>
      </w:r>
      <w:r>
        <w:rPr>
          <w:lang w:val="vi-VN"/>
        </w:rPr>
        <w:t xml:space="preserve"> đơn điện tử</w:t>
      </w:r>
    </w:p>
    <w:p w14:paraId="754ED29D" w14:textId="7A93FDD0" w:rsidR="00071887" w:rsidRPr="004F1D15" w:rsidRDefault="00A3186A" w:rsidP="00C82E40">
      <w:pPr>
        <w:pStyle w:val="ListParagraph"/>
        <w:numPr>
          <w:ilvl w:val="0"/>
          <w:numId w:val="23"/>
        </w:numPr>
        <w:rPr>
          <w:rFonts w:ascii="Arial" w:hAnsi="Arial"/>
          <w:b/>
          <w:lang w:val="en-GB"/>
        </w:rPr>
      </w:pPr>
      <w:r w:rsidRPr="00A3186A">
        <w:rPr>
          <w:rFonts w:ascii="Arial" w:hAnsi="Arial"/>
          <w:b/>
          <w:lang w:val="vi-VN"/>
        </w:rPr>
        <w:t>Tại sao tiêu chuẩn quan trọng đối với tiểu lĩnh vực này (ví dụ: nhu cầu, lợi ích đối với thương mại số, lợi ích đối với khu vực, v.v.)</w:t>
      </w:r>
    </w:p>
    <w:p w14:paraId="4B3C38D4" w14:textId="24ECD6E3" w:rsidR="00A3186A" w:rsidRDefault="00A3186A" w:rsidP="007664A3">
      <w:pPr>
        <w:rPr>
          <w:lang w:val="vi-VN"/>
        </w:rPr>
      </w:pPr>
      <w:r w:rsidRPr="00A3186A">
        <w:rPr>
          <w:lang w:val="vi-VN"/>
        </w:rPr>
        <w:t xml:space="preserve">Việc áp dụng các tiêu chuẩn hóa đơn điện tử được quốc tế công nhận giữ vai trò then chốt trong định hình hệ sinh thái </w:t>
      </w:r>
      <w:r w:rsidR="0063482F">
        <w:rPr>
          <w:lang w:val="vi-VN"/>
        </w:rPr>
        <w:t>hóa đơn điện tử</w:t>
      </w:r>
      <w:r w:rsidRPr="00A3186A">
        <w:rPr>
          <w:lang w:val="vi-VN"/>
        </w:rPr>
        <w:t xml:space="preserve"> trong khu vực ASEAN. Các tiêu chuẩn này đóng vai trò quan trọng trong việc xác lập yêu cầu chung, thông số kỹ thuật, hướng dẫn hoặc đặc tính của hệ thống hóa đơn điện tử.</w:t>
      </w:r>
      <w:r>
        <w:rPr>
          <w:lang w:val="vi-VN"/>
        </w:rPr>
        <w:t xml:space="preserve"> </w:t>
      </w:r>
      <w:r w:rsidRPr="00A3186A">
        <w:rPr>
          <w:lang w:val="vi-VN"/>
        </w:rPr>
        <w:t xml:space="preserve">Bằng cách đồng bộ và hài hòa các yêu cầu kỹ thuật đa dạng, các tiêu chuẩn giúp tăng khả năng tương tác giữa các hệ thống </w:t>
      </w:r>
      <w:r w:rsidR="0063482F">
        <w:rPr>
          <w:lang w:val="vi-VN"/>
        </w:rPr>
        <w:t>hóa đơn điện tử</w:t>
      </w:r>
      <w:r w:rsidRPr="00A3186A">
        <w:rPr>
          <w:lang w:val="vi-VN"/>
        </w:rPr>
        <w:t xml:space="preserve"> khác nhau, từ đó thúc đẩy thương mại xuyên biên giới.</w:t>
      </w:r>
    </w:p>
    <w:p w14:paraId="254482D7" w14:textId="26B750FF" w:rsidR="00A3186A" w:rsidRPr="00A3186A" w:rsidRDefault="00A3186A" w:rsidP="007664A3">
      <w:pPr>
        <w:rPr>
          <w:lang w:val="vi-VN"/>
        </w:rPr>
      </w:pPr>
      <w:r w:rsidRPr="00A3186A">
        <w:rPr>
          <w:lang w:val="vi-VN"/>
        </w:rPr>
        <w:t xml:space="preserve">Ngoài ra, việc tuân thủ các tiêu chuẩn </w:t>
      </w:r>
      <w:r w:rsidR="006F703C">
        <w:rPr>
          <w:lang w:val="vi-VN"/>
        </w:rPr>
        <w:t>hóa đơn điện tử</w:t>
      </w:r>
      <w:r w:rsidRPr="00A3186A">
        <w:rPr>
          <w:lang w:val="vi-VN"/>
        </w:rPr>
        <w:t xml:space="preserve"> cũng tăng cường niềm tin, bảo đảm hệ thống đáp ứng các yêu cầu về an toàn và độ tin cậy – một yếu tố thiết yếu đối với doanh nghiệp và các bên liên quan trong việc củng cố sự tin tưởng vào hệ thống hóa đơn điện tử.</w:t>
      </w:r>
    </w:p>
    <w:p w14:paraId="794BCBAE" w14:textId="21195482" w:rsidR="004C5992" w:rsidRPr="004F1D15" w:rsidRDefault="00CD3997" w:rsidP="00C82E40">
      <w:pPr>
        <w:pStyle w:val="ListParagraph"/>
        <w:numPr>
          <w:ilvl w:val="0"/>
          <w:numId w:val="23"/>
        </w:numPr>
        <w:rPr>
          <w:rFonts w:ascii="Arial" w:hAnsi="Arial"/>
          <w:b/>
          <w:lang w:val="en-GB"/>
        </w:rPr>
      </w:pPr>
      <w:r w:rsidRPr="00CD3997">
        <w:rPr>
          <w:rFonts w:ascii="Arial" w:hAnsi="Arial"/>
          <w:b/>
          <w:lang w:val="vi-VN"/>
        </w:rPr>
        <w:t>Các tiêu chuẩn quốc tế quan trọng đối với ASEAN</w:t>
      </w:r>
    </w:p>
    <w:p w14:paraId="47DCB9F8" w14:textId="7B0CF0E1" w:rsidR="003D0B74" w:rsidRPr="003D0B74" w:rsidRDefault="003D0B74" w:rsidP="003D0B74">
      <w:pPr>
        <w:rPr>
          <w:lang w:val="vi-VN"/>
        </w:rPr>
      </w:pPr>
      <w:r w:rsidRPr="003D0B74">
        <w:rPr>
          <w:lang w:val="vi-VN"/>
        </w:rPr>
        <w:t xml:space="preserve">Một tiêu chuẩn </w:t>
      </w:r>
      <w:r w:rsidR="006F703C">
        <w:rPr>
          <w:lang w:val="vi-VN"/>
        </w:rPr>
        <w:t>hóa đơn điện tử</w:t>
      </w:r>
      <w:r w:rsidRPr="003D0B74">
        <w:rPr>
          <w:lang w:val="vi-VN"/>
        </w:rPr>
        <w:t xml:space="preserve"> nổi bật là PEPPOL (Pan-European Public Procurement On-Line) – được khởi xướng và tài trợ bởi Ủy ban châu Âu và các thành viên liên minh PEPPOL. Ra mắt năm 2008, PEPPOL thiết lập các thông số chuẩn hóa về hạ tầng và kỹ thuật cho việc trao đổi chứng từ mua sắm – bao gồm hóa đơn điện tử – giữa doanh nghiệp và chính phủ trên toàn châu Âu</w:t>
      </w:r>
      <w:r w:rsidRPr="004F1D15">
        <w:rPr>
          <w:rStyle w:val="FootnoteReference"/>
        </w:rPr>
        <w:footnoteReference w:id="120"/>
      </w:r>
      <w:r w:rsidRPr="003D0B74">
        <w:rPr>
          <w:lang w:val="vi-VN"/>
        </w:rPr>
        <w:t>.</w:t>
      </w:r>
      <w:r>
        <w:rPr>
          <w:lang w:val="vi-VN"/>
        </w:rPr>
        <w:t xml:space="preserve"> </w:t>
      </w:r>
      <w:r w:rsidRPr="003D0B74">
        <w:rPr>
          <w:lang w:val="vi-VN"/>
        </w:rPr>
        <w:t>Tiêu chuẩn chung này cho phép người dùng chọn nền tảng kế toán yêu thích của mình, đồng thời vẫn có thể gửi – nhận hóa đơn với đối tác sử dụng nền tảng khác.</w:t>
      </w:r>
      <w:r>
        <w:rPr>
          <w:lang w:val="vi-VN"/>
        </w:rPr>
        <w:t xml:space="preserve"> </w:t>
      </w:r>
      <w:r w:rsidRPr="003D0B74">
        <w:rPr>
          <w:lang w:val="vi-VN"/>
        </w:rPr>
        <w:t xml:space="preserve">Chứng từ được trao đổi thông qua </w:t>
      </w:r>
      <w:r w:rsidR="00852DEA">
        <w:rPr>
          <w:lang w:val="vi-VN"/>
        </w:rPr>
        <w:t>Điểm truy cập</w:t>
      </w:r>
      <w:r w:rsidRPr="003D0B74">
        <w:rPr>
          <w:lang w:val="vi-VN"/>
        </w:rPr>
        <w:t xml:space="preserve"> </w:t>
      </w:r>
      <w:r w:rsidRPr="003D0B74">
        <w:rPr>
          <w:lang w:val="vi-VN"/>
        </w:rPr>
        <w:lastRenderedPageBreak/>
        <w:t xml:space="preserve">(Điểm truy cập), hoạt động như cổng kết nối vào mạng PEPPOL. Các </w:t>
      </w:r>
      <w:r w:rsidR="00852DEA">
        <w:rPr>
          <w:lang w:val="vi-VN"/>
        </w:rPr>
        <w:t>Điểm truy cập</w:t>
      </w:r>
      <w:r w:rsidRPr="003D0B74">
        <w:rPr>
          <w:lang w:val="vi-VN"/>
        </w:rPr>
        <w:t xml:space="preserve"> chịu trách nhiệm chuyển đổi hóa đơn từ nhiều định dạng về định dạng chuẩn, rồi gửi sang Access Point của bên nhận qua mạng PEPPOL.</w:t>
      </w:r>
    </w:p>
    <w:p w14:paraId="0F122CA1" w14:textId="24AEBA18" w:rsidR="003D0B74" w:rsidRPr="003D0B74" w:rsidRDefault="003D0B74" w:rsidP="003D0B74">
      <w:pPr>
        <w:rPr>
          <w:lang w:val="vi-VN"/>
        </w:rPr>
      </w:pPr>
      <w:r w:rsidRPr="003D0B74">
        <w:rPr>
          <w:lang w:val="vi-VN"/>
        </w:rPr>
        <w:t xml:space="preserve">Ngoài PEPPOL, </w:t>
      </w:r>
      <w:r w:rsidRPr="009E3527">
        <w:rPr>
          <w:b/>
          <w:bCs/>
          <w:lang w:val="vi-VN"/>
        </w:rPr>
        <w:t xml:space="preserve">các tiêu chuẩn </w:t>
      </w:r>
      <w:r w:rsidR="006F703C">
        <w:rPr>
          <w:b/>
          <w:bCs/>
          <w:lang w:val="vi-VN"/>
        </w:rPr>
        <w:t>hóa đơn điện tử</w:t>
      </w:r>
      <w:r w:rsidRPr="009E3527">
        <w:rPr>
          <w:b/>
          <w:bCs/>
          <w:lang w:val="vi-VN"/>
        </w:rPr>
        <w:t xml:space="preserve"> của UN/CEFACT (Trung tâm Liên Hợp Quốc về Tạo thuận lợi Thương mại và Kinh doanh Điện tử)</w:t>
      </w:r>
      <w:r w:rsidRPr="003D0B74">
        <w:rPr>
          <w:lang w:val="vi-VN"/>
        </w:rPr>
        <w:t xml:space="preserve"> cũng có vai trò quan trọng, bao gồm </w:t>
      </w:r>
      <w:r w:rsidRPr="009E3527">
        <w:rPr>
          <w:b/>
          <w:bCs/>
          <w:lang w:val="vi-VN"/>
        </w:rPr>
        <w:t>Cross-Industry Invoice (CII) và e-Business Standard</w:t>
      </w:r>
      <w:r w:rsidRPr="003D0B74">
        <w:rPr>
          <w:lang w:val="vi-VN"/>
        </w:rPr>
        <w:t>.</w:t>
      </w:r>
      <w:r>
        <w:rPr>
          <w:lang w:val="vi-VN"/>
        </w:rPr>
        <w:t xml:space="preserve"> </w:t>
      </w:r>
      <w:r w:rsidRPr="003D0B74">
        <w:rPr>
          <w:lang w:val="vi-VN"/>
        </w:rPr>
        <w:t>Các tiêu chuẩn này phù hợp với mô hình dữ liệu tham chiếu chuỗi cung ứng xuyên ngành toàn cầu. Riêng UN/CEFACT CII có thể sử dụng trong mọi ngành và mọi loại hàng hóa, và đã được lựa chọn năm 2016 là một trong hai tiêu chuẩn bắt buộc cho mua sắm công tại EU</w:t>
      </w:r>
      <w:r>
        <w:rPr>
          <w:rStyle w:val="FootnoteReference"/>
        </w:rPr>
        <w:footnoteReference w:id="121"/>
      </w:r>
      <w:r w:rsidRPr="003D0B74">
        <w:rPr>
          <w:lang w:val="vi-VN"/>
        </w:rPr>
        <w:t>.</w:t>
      </w:r>
    </w:p>
    <w:p w14:paraId="17FE4E1D" w14:textId="1332812C" w:rsidR="004C5992" w:rsidRPr="00516087" w:rsidRDefault="009E3527" w:rsidP="00C82E40">
      <w:pPr>
        <w:pStyle w:val="ListParagraph"/>
        <w:numPr>
          <w:ilvl w:val="0"/>
          <w:numId w:val="23"/>
        </w:numPr>
        <w:rPr>
          <w:rFonts w:ascii="Arial" w:hAnsi="Arial"/>
          <w:b/>
          <w:lang w:val="en-GB"/>
        </w:rPr>
      </w:pPr>
      <w:r>
        <w:rPr>
          <w:rFonts w:ascii="Arial" w:hAnsi="Arial"/>
          <w:b/>
          <w:lang w:val="vi-VN"/>
        </w:rPr>
        <w:t xml:space="preserve">Tình hình áp dụng tiêu chuẩn tại ASEAN, gồm nỗ lực hiện tại, kế hoạch tương lai và thách thức </w:t>
      </w:r>
      <w:r w:rsidR="00DE4172">
        <w:rPr>
          <w:rFonts w:ascii="Arial" w:hAnsi="Arial"/>
          <w:b/>
          <w:lang w:val="vi-VN"/>
        </w:rPr>
        <w:t>tro</w:t>
      </w:r>
      <w:r>
        <w:rPr>
          <w:rFonts w:ascii="Arial" w:hAnsi="Arial"/>
          <w:b/>
          <w:lang w:val="vi-VN"/>
        </w:rPr>
        <w:t xml:space="preserve">ng việc áp dụng tiêu chuẩn giữa các quốc gia thành viên </w:t>
      </w:r>
      <w:r w:rsidR="005C7B2C">
        <w:rPr>
          <w:rFonts w:ascii="Arial" w:hAnsi="Arial"/>
          <w:b/>
          <w:lang w:val="vi-VN"/>
        </w:rPr>
        <w:t xml:space="preserve">ASEAN và AMS </w:t>
      </w:r>
    </w:p>
    <w:p w14:paraId="13585EC9" w14:textId="72DA5B82" w:rsidR="00F06E1E" w:rsidRDefault="00DE4172" w:rsidP="007664A3">
      <w:pPr>
        <w:rPr>
          <w:lang w:val="vi-VN"/>
        </w:rPr>
      </w:pPr>
      <w:r w:rsidRPr="00DE4172">
        <w:t xml:space="preserve">Về tiêu chuẩn </w:t>
      </w:r>
      <w:r w:rsidR="006F703C">
        <w:t>hóa đơn điện tử</w:t>
      </w:r>
      <w:r w:rsidRPr="00DE4172">
        <w:t xml:space="preserve"> của UN/CEFACT, Thái Lan đã áp dụng tiêu chuẩn e-Business Standard.</w:t>
      </w:r>
      <w:r w:rsidR="009A7C90">
        <w:rPr>
          <w:rStyle w:val="FootnoteReference"/>
        </w:rPr>
        <w:footnoteReference w:id="122"/>
      </w:r>
    </w:p>
    <w:p w14:paraId="48C635BF" w14:textId="7136DD45" w:rsidR="00182FE0" w:rsidRPr="00182FE0" w:rsidRDefault="00182FE0" w:rsidP="00182FE0">
      <w:pPr>
        <w:rPr>
          <w:lang w:val="vi-VN"/>
        </w:rPr>
      </w:pPr>
      <w:r w:rsidRPr="00182FE0">
        <w:rPr>
          <w:lang w:val="vi-VN"/>
        </w:rPr>
        <w:t>Về tiêu chuẩn PEPPOL, hiện mới có Malaysia và Singapore chính thức áp dụng</w:t>
      </w:r>
      <w:r w:rsidRPr="004F1D15">
        <w:rPr>
          <w:vertAlign w:val="superscript"/>
        </w:rPr>
        <w:footnoteReference w:id="123"/>
      </w:r>
      <w:r w:rsidRPr="00182FE0">
        <w:rPr>
          <w:lang w:val="vi-VN"/>
        </w:rPr>
        <w:t>, trong khi các nước khác như Việt Nam có thể sẽ sớm triển khai</w:t>
      </w:r>
      <w:r w:rsidRPr="004F1D15">
        <w:rPr>
          <w:vertAlign w:val="superscript"/>
        </w:rPr>
        <w:footnoteReference w:id="124"/>
      </w:r>
      <w:r w:rsidRPr="00182FE0">
        <w:rPr>
          <w:lang w:val="vi-VN"/>
        </w:rPr>
        <w:t>.</w:t>
      </w:r>
      <w:r>
        <w:rPr>
          <w:lang w:val="vi-VN"/>
        </w:rPr>
        <w:t xml:space="preserve"> </w:t>
      </w:r>
      <w:r w:rsidRPr="00182FE0">
        <w:rPr>
          <w:lang w:val="vi-VN"/>
        </w:rPr>
        <w:t xml:space="preserve">Mặc dù phần lớn các nước ASEAN chưa áp dụng PEPPOL cho hệ thống </w:t>
      </w:r>
      <w:r w:rsidR="006F703C">
        <w:rPr>
          <w:lang w:val="vi-VN"/>
        </w:rPr>
        <w:t>hóa đơn điện tử</w:t>
      </w:r>
      <w:r w:rsidRPr="00182FE0">
        <w:rPr>
          <w:lang w:val="vi-VN"/>
        </w:rPr>
        <w:t>, Thái Lan và Philippines đã xây dựng hệ thống hóa đơn điện tử dựa trên mô hình của Hàn Quốc (ROK) – mô hình Real Time Invoice Reporting (RTIR).</w:t>
      </w:r>
    </w:p>
    <w:p w14:paraId="190E79C0" w14:textId="242B5A7A" w:rsidR="00F653E0" w:rsidRPr="00F653E0" w:rsidRDefault="00F653E0" w:rsidP="00F653E0">
      <w:r>
        <w:t>RTIR yêu cầu người nộp thuế VAT gửi báo cáo hóa đơn điện tử cho chính phủ theo thời gian thực hoặc gần thời gian thực, thông qua cổng thông tin chính phủ, nhà cung cấp dịch vụ bên thứ ba, hoặc hệ thống tự xây dựng</w:t>
      </w:r>
      <w:r w:rsidRPr="004F1D15">
        <w:rPr>
          <w:vertAlign w:val="superscript"/>
        </w:rPr>
        <w:footnoteReference w:id="125"/>
      </w:r>
      <w:r>
        <w:t>.</w:t>
      </w:r>
      <w:r>
        <w:rPr>
          <w:lang w:val="vi-VN"/>
        </w:rPr>
        <w:t xml:space="preserve"> </w:t>
      </w:r>
      <w:r>
        <w:t>Mô hình này không đặt ra tiêu chuẩn bắt buộc cho trao đổi hóa đơn giữa doanh nghiệp với doanh nghiệp, nhưng chính phủ quy định thông số kỹ thuật chuẩn và phần hạ tầng để người nộp thuế gửi – nhận hóa đơn với cơ quan nhà nước</w:t>
      </w:r>
      <w:r w:rsidRPr="004F1D15">
        <w:rPr>
          <w:vertAlign w:val="superscript"/>
        </w:rPr>
        <w:footnoteReference w:id="126"/>
      </w:r>
      <w:r>
        <w:t>.</w:t>
      </w:r>
    </w:p>
    <w:p w14:paraId="29268891" w14:textId="2B445A6E" w:rsidR="007F01B3" w:rsidRPr="007F01B3" w:rsidRDefault="007F01B3" w:rsidP="007F01B3">
      <w:pPr>
        <w:rPr>
          <w:lang w:val="vi-VN"/>
        </w:rPr>
      </w:pPr>
      <w:r w:rsidRPr="007F01B3">
        <w:rPr>
          <w:lang w:val="vi-VN"/>
        </w:rPr>
        <w:t xml:space="preserve">Dù </w:t>
      </w:r>
      <w:r w:rsidR="006F703C">
        <w:rPr>
          <w:lang w:val="vi-VN"/>
        </w:rPr>
        <w:t>hóa đơn điện tử</w:t>
      </w:r>
      <w:r w:rsidRPr="007F01B3">
        <w:rPr>
          <w:lang w:val="vi-VN"/>
        </w:rPr>
        <w:t xml:space="preserve"> ngày càng được áp dụng nhiều hơn trong khu vực, ASEAN vẫn đối mặt với nhiều thách thức trong việc triển khai đồng bộ và liền mạch. Hệ sinh thái thương mại số trong ASEAN còn phân mảnh, với nhiều bên liên quan có ưu tiên riêng.</w:t>
      </w:r>
      <w:r>
        <w:rPr>
          <w:lang w:val="vi-VN"/>
        </w:rPr>
        <w:t xml:space="preserve"> </w:t>
      </w:r>
      <w:r w:rsidRPr="007F01B3">
        <w:rPr>
          <w:lang w:val="vi-VN"/>
        </w:rPr>
        <w:t>Trong phạm vi mỗi quốc gia, doanh nghiệp, cơ quan quản lý và nhà hoạch định chính sách phải phối hợp trong việc loại bỏ dần tài liệu giấy trong từng lĩnh vực.</w:t>
      </w:r>
      <w:r>
        <w:rPr>
          <w:lang w:val="vi-VN"/>
        </w:rPr>
        <w:t xml:space="preserve"> </w:t>
      </w:r>
      <w:r w:rsidRPr="007F01B3">
        <w:rPr>
          <w:lang w:val="vi-VN"/>
        </w:rPr>
        <w:t>Xuyên biên giới, ASEAN phải đối mặt với khó khăn trong việc hài hòa:</w:t>
      </w:r>
      <w:r>
        <w:rPr>
          <w:lang w:val="vi-VN"/>
        </w:rPr>
        <w:t xml:space="preserve"> </w:t>
      </w:r>
      <w:r w:rsidRPr="007F01B3">
        <w:rPr>
          <w:lang w:val="vi-VN"/>
        </w:rPr>
        <w:t xml:space="preserve">môi trường pháp lý và quy </w:t>
      </w:r>
      <w:r>
        <w:rPr>
          <w:lang w:val="vi-VN"/>
        </w:rPr>
        <w:t xml:space="preserve">định, </w:t>
      </w:r>
      <w:r w:rsidRPr="007F01B3">
        <w:rPr>
          <w:lang w:val="vi-VN"/>
        </w:rPr>
        <w:t xml:space="preserve">tiêu chuẩn/định dạng trao đổi dữ </w:t>
      </w:r>
      <w:r>
        <w:rPr>
          <w:lang w:val="vi-VN"/>
        </w:rPr>
        <w:t xml:space="preserve">liệu, </w:t>
      </w:r>
      <w:r w:rsidRPr="007F01B3">
        <w:rPr>
          <w:lang w:val="vi-VN"/>
        </w:rPr>
        <w:t xml:space="preserve">biện pháp bảo </w:t>
      </w:r>
      <w:r>
        <w:rPr>
          <w:lang w:val="vi-VN"/>
        </w:rPr>
        <w:t xml:space="preserve">mật, </w:t>
      </w:r>
      <w:r w:rsidRPr="007F01B3">
        <w:rPr>
          <w:lang w:val="vi-VN"/>
        </w:rPr>
        <w:t xml:space="preserve">cơ chế truyền </w:t>
      </w:r>
      <w:r>
        <w:rPr>
          <w:lang w:val="vi-VN"/>
        </w:rPr>
        <w:t xml:space="preserve">tải, </w:t>
      </w:r>
      <w:r w:rsidRPr="007F01B3">
        <w:rPr>
          <w:lang w:val="vi-VN"/>
        </w:rPr>
        <w:t xml:space="preserve">yêu cầu lưu trữ dữ </w:t>
      </w:r>
      <w:r>
        <w:rPr>
          <w:lang w:val="vi-VN"/>
        </w:rPr>
        <w:t xml:space="preserve">liệu,… </w:t>
      </w:r>
      <w:r w:rsidRPr="007F01B3">
        <w:rPr>
          <w:lang w:val="vi-VN"/>
        </w:rPr>
        <w:t xml:space="preserve">Ngoài ra còn có sự khác biệt giữa các nước trong việc bảo đảm hệ thống có thể tiếp cận </w:t>
      </w:r>
      <w:r w:rsidRPr="007F01B3">
        <w:rPr>
          <w:lang w:val="vi-VN"/>
        </w:rPr>
        <w:lastRenderedPageBreak/>
        <w:t>cho mọi đối tượng, đặc biệt là nhóm yếu thế.</w:t>
      </w:r>
      <w:r>
        <w:rPr>
          <w:lang w:val="vi-VN"/>
        </w:rPr>
        <w:t xml:space="preserve"> </w:t>
      </w:r>
      <w:r w:rsidRPr="007F01B3">
        <w:rPr>
          <w:lang w:val="vi-VN"/>
        </w:rPr>
        <w:t xml:space="preserve">Những phức tạp này cho thấy ASEAN cần nỗ lực mạnh mẽ hơn để vượt qua rào cản và xây dựng hệ sinh thái </w:t>
      </w:r>
      <w:r w:rsidR="006F703C">
        <w:rPr>
          <w:lang w:val="vi-VN"/>
        </w:rPr>
        <w:t>hóa đơn điện tử</w:t>
      </w:r>
      <w:r w:rsidRPr="007F01B3">
        <w:rPr>
          <w:lang w:val="vi-VN"/>
        </w:rPr>
        <w:t xml:space="preserve"> gắn kết, bao trùm và hài hòa hơn.</w:t>
      </w:r>
    </w:p>
    <w:p w14:paraId="3290E2EA" w14:textId="7791F86F" w:rsidR="004C5992" w:rsidRPr="004F1D15" w:rsidRDefault="00B33D7D" w:rsidP="00C82E40">
      <w:pPr>
        <w:pStyle w:val="ListParagraph"/>
        <w:numPr>
          <w:ilvl w:val="0"/>
          <w:numId w:val="23"/>
        </w:numPr>
        <w:rPr>
          <w:rFonts w:ascii="Arial" w:hAnsi="Arial"/>
          <w:b/>
          <w:lang w:val="en-GB"/>
        </w:rPr>
      </w:pPr>
      <w:r w:rsidRPr="00B33D7D">
        <w:rPr>
          <w:rFonts w:ascii="Arial" w:hAnsi="Arial"/>
          <w:b/>
          <w:lang w:val="en-GB"/>
        </w:rPr>
        <w:t>Liên kết với các tiểu lĩnh vực khác / Các cân nhắc khác</w:t>
      </w:r>
    </w:p>
    <w:p w14:paraId="7B5DF196" w14:textId="5B23A1F5" w:rsidR="004C5992" w:rsidRPr="004F1D15" w:rsidRDefault="004C5992" w:rsidP="007664A3">
      <w:r w:rsidRPr="004F1D15">
        <w:t>N/A</w:t>
      </w:r>
    </w:p>
    <w:p w14:paraId="2138DB77" w14:textId="7DF1884B" w:rsidR="004375C0" w:rsidRPr="004F1D15" w:rsidRDefault="004E10B5" w:rsidP="00C82E40">
      <w:pPr>
        <w:pStyle w:val="Heading4"/>
        <w:rPr>
          <w:lang w:val="en-GB"/>
        </w:rPr>
      </w:pPr>
      <w:r>
        <w:rPr>
          <w:lang w:val="en-GB"/>
        </w:rPr>
        <w:t>Thanh</w:t>
      </w:r>
      <w:r>
        <w:rPr>
          <w:lang w:val="vi-VN"/>
        </w:rPr>
        <w:t xml:space="preserve"> toán </w:t>
      </w:r>
    </w:p>
    <w:p w14:paraId="1D72926A" w14:textId="49915684" w:rsidR="00D151E9" w:rsidRPr="004F1D15" w:rsidRDefault="004E10B5" w:rsidP="00C82E40">
      <w:pPr>
        <w:pStyle w:val="ListParagraph"/>
        <w:numPr>
          <w:ilvl w:val="0"/>
          <w:numId w:val="24"/>
        </w:numPr>
        <w:rPr>
          <w:rFonts w:ascii="Arial" w:hAnsi="Arial"/>
          <w:b/>
          <w:lang w:val="en-GB"/>
        </w:rPr>
      </w:pPr>
      <w:r w:rsidRPr="004E10B5">
        <w:rPr>
          <w:rFonts w:ascii="Arial" w:hAnsi="Arial"/>
          <w:b/>
          <w:lang w:val="vi-VN"/>
        </w:rPr>
        <w:t>Tại sao tiêu chuẩn lại quan trọng đối với tiểu lĩnh vực này (ví dụ: nhu cầu, lợi ích đối với thương mại số, lợi ích đối với khu vực, v.v.)</w:t>
      </w:r>
    </w:p>
    <w:p w14:paraId="7EB712AC" w14:textId="0A678478" w:rsidR="005E3274" w:rsidRPr="005E3274" w:rsidRDefault="005E3274" w:rsidP="007664A3">
      <w:pPr>
        <w:rPr>
          <w:lang w:val="vi-VN"/>
        </w:rPr>
      </w:pPr>
      <w:r w:rsidRPr="005E3274">
        <w:rPr>
          <w:lang w:val="vi-VN"/>
        </w:rPr>
        <w:t>Các tiêu chuẩn thanh toán đóng vai trò then chốt trong việc tạo thuận lợi cho giao dịch số xuyên biên giới trong ASEAN. Các tiêu chuẩn này cung cấp một khung chung và bộ giao thức cho việc thực hiện thanh toán xuyên biên giới, bảo đảm khả năng tương tác và tính tương thích giữa các tổ chức tài chính và hệ thống thanh toán trong khu vực. Bằng cách áp dụng các tiêu chuẩn thanh toán được quốc tế công nhận, các quốc gia ASEAN (AMS) có thể nâng cao độ tin cậy, tính bảo mật và tốc độ của các giao dịch tài chính, từ đó thúc đẩy niềm tin và sự tin cậy trong hệ sinh thái tài chính khu vực. Ngoài ra, việc tuân thủ các tiêu chuẩn thanh toán quốc tế giúp giảm chi phí giao dịch, giảm thiểu sai sót và hạn chế rủi ro liên quan đến thanh toán xuyên biên giới, qua đó tạo môi trường thuận lợi cho thương mại và đầu tư trong ASEAN.</w:t>
      </w:r>
      <w:r>
        <w:rPr>
          <w:lang w:val="vi-VN"/>
        </w:rPr>
        <w:t xml:space="preserve"> </w:t>
      </w:r>
      <w:r w:rsidRPr="005E3274">
        <w:rPr>
          <w:lang w:val="vi-VN"/>
        </w:rPr>
        <w:t>Hơn nữa, việc hài hòa với các tiêu chuẩn thanh toán toàn cầu giúp AMS hội nhập tốt hơn vào hệ thống tài chính quốc tế rộng lớn hơn, tạo thuận lợi cho thương mại xuyên biên giới và nâng cao năng lực cạnh tranh của khu vực trên thị trường toàn cầu. Việc tu</w:t>
      </w:r>
      <w:r w:rsidRPr="005E3274">
        <w:rPr>
          <w:rFonts w:hint="eastAsia"/>
          <w:lang w:val="vi-VN"/>
        </w:rPr>
        <w:t>â</w:t>
      </w:r>
      <w:r w:rsidRPr="005E3274">
        <w:rPr>
          <w:lang w:val="vi-VN"/>
        </w:rPr>
        <w:t>n thủ các tiêu chuẩn thanh toán quốc tế cũng giúp ASEAN duy trì vị thế tiên phong trong đổi mới, đặc biệt là với các công nghệ thanh toán mới nổi như thanh toán thời gian thực. Nhìn chung, các tiêu chuẩn thanh toán đóng vai trò quan trọng trong việc thúc đẩy tăng trưởng kinh tế, tăng cường tài chính toàn diện và thúc đẩy hội nhập tài chính trong toàn ASEAN.</w:t>
      </w:r>
    </w:p>
    <w:p w14:paraId="19CF59D9" w14:textId="30ABF167" w:rsidR="005E3274" w:rsidRPr="005E3274" w:rsidRDefault="005E3274" w:rsidP="007664A3">
      <w:pPr>
        <w:rPr>
          <w:lang w:val="vi-VN"/>
        </w:rPr>
      </w:pPr>
      <w:r w:rsidRPr="005E3274">
        <w:rPr>
          <w:lang w:val="vi-VN"/>
        </w:rPr>
        <w:t>Khi doanh nghiệp ngày càng phụ thuộc vào nền tảng số để giao dịch, các tiêu chuẩn thanh toán đóng vai trò quan trọng trong việc tạo thuận lợi cho thanh toán xuyên biên giới hiệu quả tại ASEAN. Các tiêu chuẩn này thiết lập một chuẩn chung có khả năng tương tác cho tất cả các giai đoạn trong chuỗi giá trị thanh toán</w:t>
      </w:r>
      <w:r w:rsidR="00BF0BFE" w:rsidRPr="004F1D15">
        <w:rPr>
          <w:rStyle w:val="FootnoteReference"/>
          <w:rFonts w:eastAsia="Times New Roman"/>
        </w:rPr>
        <w:footnoteReference w:id="127"/>
      </w:r>
      <w:r w:rsidRPr="005E3274">
        <w:rPr>
          <w:lang w:val="vi-VN"/>
        </w:rPr>
        <w:t>. Bằng cách đơn giản hóa quy trình thanh toán và cho phép thực hiện giao dịch nhanh chóng, an toàn xuyên biên giới, các tiêu chuẩn này giúp doanh nghiệp – đặc biệt là MSME – tiếp cận thị trường toàn cầu.</w:t>
      </w:r>
    </w:p>
    <w:p w14:paraId="72FEFB35" w14:textId="5852AAC6" w:rsidR="004A22ED" w:rsidRPr="004F1D15" w:rsidRDefault="00BF0BFE" w:rsidP="00C82E40">
      <w:pPr>
        <w:pStyle w:val="ListParagraph"/>
        <w:numPr>
          <w:ilvl w:val="0"/>
          <w:numId w:val="24"/>
        </w:numPr>
        <w:rPr>
          <w:rFonts w:ascii="Arial" w:hAnsi="Arial"/>
          <w:b/>
          <w:lang w:val="en-GB"/>
        </w:rPr>
      </w:pPr>
      <w:r>
        <w:rPr>
          <w:rFonts w:ascii="Arial" w:hAnsi="Arial"/>
          <w:b/>
          <w:lang w:val="en-GB"/>
        </w:rPr>
        <w:t>Các</w:t>
      </w:r>
      <w:r>
        <w:rPr>
          <w:rFonts w:ascii="Arial" w:hAnsi="Arial"/>
          <w:b/>
          <w:lang w:val="vi-VN"/>
        </w:rPr>
        <w:t xml:space="preserve"> tiêu chuẩn quốc tế quan trọng đối với ASEAN </w:t>
      </w:r>
    </w:p>
    <w:p w14:paraId="0AC3F9CE" w14:textId="1D745093" w:rsidR="00BF0BFE" w:rsidRPr="00BF0BFE" w:rsidRDefault="00BF0BFE" w:rsidP="00D76CEC">
      <w:pPr>
        <w:rPr>
          <w:lang w:val="vi-VN"/>
        </w:rPr>
      </w:pPr>
      <w:r w:rsidRPr="00BF0BFE">
        <w:rPr>
          <w:lang w:val="vi-VN"/>
        </w:rPr>
        <w:t xml:space="preserve">ISO 20022 – Chuẩn thông điệp ngành tài chính toàn cầu – là một tiêu chuẩn quốc tế quan trọng đối với trao đổi dữ liệu điện tử giữa các tổ chức tài chính. Tiêu chuẩn này thúc đẩy khả năng tương tác bằng cách tạo ra một ngôn ngữ chung cho thanh toán toàn cầu và cung cấp một phương pháp thống nhất cho các tiêu chuẩn tài chính hiện có như </w:t>
      </w:r>
      <w:r w:rsidRPr="006C0BD8">
        <w:rPr>
          <w:b/>
          <w:bCs/>
          <w:lang w:val="vi-VN"/>
        </w:rPr>
        <w:t xml:space="preserve">ISO 15022 – Hệ thống thông điệp (Từ điển trường dữ liệu), Phần 1 – Quy tắc thiết kế trường dữ liệu và thông điệp, và Phần 2 – Bảo trì Từ điển </w:t>
      </w:r>
      <w:r w:rsidRPr="006C0BD8">
        <w:rPr>
          <w:b/>
          <w:bCs/>
          <w:lang w:val="vi-VN"/>
        </w:rPr>
        <w:lastRenderedPageBreak/>
        <w:t>trường dữ liệu và Danh mục thông điệp</w:t>
      </w:r>
      <w:r w:rsidRPr="004F1D15">
        <w:rPr>
          <w:rStyle w:val="FootnoteReference"/>
          <w:rFonts w:eastAsia="Times New Roman"/>
        </w:rPr>
        <w:footnoteReference w:id="128"/>
      </w:r>
      <w:r w:rsidRPr="00BF0BFE">
        <w:rPr>
          <w:lang w:val="vi-VN"/>
        </w:rPr>
        <w:t>.</w:t>
      </w:r>
      <w:r>
        <w:rPr>
          <w:lang w:val="vi-VN"/>
        </w:rPr>
        <w:t xml:space="preserve"> </w:t>
      </w:r>
      <w:r w:rsidRPr="00BF0BFE">
        <w:rPr>
          <w:lang w:val="vi-VN"/>
        </w:rPr>
        <w:t>Ngoài ra</w:t>
      </w:r>
      <w:r w:rsidRPr="006C0BD8">
        <w:rPr>
          <w:b/>
          <w:bCs/>
          <w:lang w:val="vi-VN"/>
        </w:rPr>
        <w:t>, ISO 8583 – Thông điệp phát sinh từ giao dịch thẻ tài chính – quy định định dạng thông điệp</w:t>
      </w:r>
      <w:r w:rsidRPr="00BF0BFE">
        <w:rPr>
          <w:lang w:val="vi-VN"/>
        </w:rPr>
        <w:t xml:space="preserve"> mô tả việc trao đổi dữ liệu thẻ tín dụng và thẻ ghi nợ giữa thiết bị và tổ chức phát hành thẻ.</w:t>
      </w:r>
      <w:r w:rsidRPr="00516087">
        <w:rPr>
          <w:rStyle w:val="FootnoteReference"/>
        </w:rPr>
        <w:footnoteReference w:id="129"/>
      </w:r>
    </w:p>
    <w:p w14:paraId="505AFE39" w14:textId="5CF4BF64" w:rsidR="006C0BD8" w:rsidRPr="006C0BD8" w:rsidRDefault="006C0BD8" w:rsidP="007664A3">
      <w:pPr>
        <w:rPr>
          <w:lang w:val="vi-VN"/>
        </w:rPr>
      </w:pPr>
      <w:r w:rsidRPr="006C0BD8">
        <w:rPr>
          <w:lang w:val="vi-VN"/>
        </w:rPr>
        <w:t>ISO 20022 được nhấn mạnh nổi bật trong Nghiên cứu về ASEAN DEFA, phản ánh tầm quan trọng của nó trong bức tranh thương mại số</w:t>
      </w:r>
      <w:r w:rsidRPr="004F1D15">
        <w:rPr>
          <w:rStyle w:val="FootnoteReference"/>
        </w:rPr>
        <w:footnoteReference w:id="130"/>
      </w:r>
      <w:r w:rsidRPr="006C0BD8">
        <w:rPr>
          <w:lang w:val="vi-VN"/>
        </w:rPr>
        <w:t>. Bên cạnh đó, Kế hoạch AEC 2025 cũng nhấn mạnh việc áp dụng ISO 20022 vào năm 2025 là mục tiêu then chốt để thúc đẩy hội nhập tài chính khu vực và phát triển hệ thống thanh toán – quyết toán trong các thị trường ASEAN.</w:t>
      </w:r>
    </w:p>
    <w:p w14:paraId="68AF8DB5" w14:textId="27F6B392" w:rsidR="006C0BD8" w:rsidRPr="006C0BD8" w:rsidRDefault="006C0BD8" w:rsidP="007664A3">
      <w:pPr>
        <w:rPr>
          <w:lang w:val="vi-VN"/>
        </w:rPr>
      </w:pPr>
      <w:r w:rsidRPr="006C0BD8">
        <w:rPr>
          <w:lang w:val="vi-VN"/>
        </w:rPr>
        <w:t xml:space="preserve">Ngoài ra, </w:t>
      </w:r>
      <w:r w:rsidRPr="003C59A1">
        <w:rPr>
          <w:b/>
          <w:bCs/>
          <w:lang w:val="vi-VN"/>
        </w:rPr>
        <w:t xml:space="preserve">Mã định danh pháp nhân toàn cầu (LEI) </w:t>
      </w:r>
      <w:r w:rsidRPr="006C0BD8">
        <w:rPr>
          <w:lang w:val="vi-VN"/>
        </w:rPr>
        <w:t>là một tiêu chuẩn quốc tế khác có liên quan đến tạo thuận lợi cho thanh toán xuyên biên giới. LEI là mã chữ – số gồm 20 ký tự, dựa trên tiêu chuẩn ISO 17442 của ISO</w:t>
      </w:r>
      <w:r w:rsidRPr="004F1D15">
        <w:rPr>
          <w:rStyle w:val="FootnoteReference"/>
          <w:rFonts w:eastAsia="Times New Roman"/>
        </w:rPr>
        <w:footnoteReference w:id="131"/>
      </w:r>
      <w:r w:rsidRPr="006C0BD8">
        <w:rPr>
          <w:lang w:val="vi-VN"/>
        </w:rPr>
        <w:t>. LEI cho phép nhận dạng chính xác, tức thời và tự động đối với bất kỳ pháp nhân gửi hoặc nhận tiền nào xuyên biên giới.</w:t>
      </w:r>
      <w:r>
        <w:rPr>
          <w:lang w:val="vi-VN"/>
        </w:rPr>
        <w:t xml:space="preserve"> </w:t>
      </w:r>
      <w:r w:rsidRPr="006C0BD8">
        <w:rPr>
          <w:lang w:val="vi-VN"/>
        </w:rPr>
        <w:t>Yêu cầu nền tảng này cho phép người tiêu dùng, doanh nghiệp và tổ chức tài chính bảo đảm rằng tiền được chuyển xuyên biên giới đến đúng pháp nhân</w:t>
      </w:r>
      <w:r w:rsidR="003C59A1" w:rsidRPr="004F1D15">
        <w:rPr>
          <w:rStyle w:val="FootnoteReference"/>
          <w:rFonts w:eastAsia="Times New Roman"/>
        </w:rPr>
        <w:footnoteReference w:id="132"/>
      </w:r>
      <w:r w:rsidRPr="006C0BD8">
        <w:rPr>
          <w:lang w:val="vi-VN"/>
        </w:rPr>
        <w:t>. Vì vậy, LEI giúp giao dịch thanh toán xuyên biên giới nhanh hơn, tiết kiệm chi phí hơn, minh bạch hơn và to</w:t>
      </w:r>
      <w:r w:rsidRPr="006C0BD8">
        <w:rPr>
          <w:rFonts w:hint="eastAsia"/>
          <w:lang w:val="vi-VN"/>
        </w:rPr>
        <w:t>à</w:t>
      </w:r>
      <w:r w:rsidRPr="006C0BD8">
        <w:rPr>
          <w:lang w:val="vi-VN"/>
        </w:rPr>
        <w:t>n diện hơn.</w:t>
      </w:r>
      <w:r w:rsidR="003C59A1">
        <w:rPr>
          <w:rStyle w:val="FootnoteReference"/>
        </w:rPr>
        <w:footnoteReference w:id="133"/>
      </w:r>
    </w:p>
    <w:p w14:paraId="2467ACF1" w14:textId="22055823" w:rsidR="003C59A1" w:rsidRPr="003C59A1" w:rsidRDefault="003C59A1" w:rsidP="007664A3">
      <w:pPr>
        <w:rPr>
          <w:lang w:val="vi-VN"/>
        </w:rPr>
      </w:pPr>
      <w:r w:rsidRPr="003C59A1">
        <w:rPr>
          <w:lang w:val="vi-VN"/>
        </w:rPr>
        <w:t>Hội đồng Ổn định Tài chính (FSB) đã phê chuẩn LEI như một công cụ để thúc đẩy các mục tiêu trong Lộ trình Tăng cường Thanh toán Xuyên biên giới được G20 phê duyệt</w:t>
      </w:r>
      <w:r w:rsidRPr="00F24E29">
        <w:rPr>
          <w:rStyle w:val="FootnoteReference"/>
          <w:rFonts w:eastAsia="Times New Roman"/>
        </w:rPr>
        <w:footnoteReference w:id="134"/>
      </w:r>
      <w:r w:rsidRPr="003C59A1">
        <w:rPr>
          <w:lang w:val="vi-VN"/>
        </w:rPr>
        <w:t>. Trong khuôn khổ sáng kiến này, và phối hợp với các tổ chức xây dựng tiêu chuẩn khác, FSB đang thúc đẩy việc sử dụng thống nhất trong thông điệp thanh toán ISO 20022 nhằm giảm các hạn chế trong thanh toán xuyên biên giới và hiện thực hóa các lợi ích của LEI trong tăng cường tiêu chuẩn hóa dữ liệu, hỗ trợ xử lý thẳng (STP), quy trình thẩm định kh</w:t>
      </w:r>
      <w:r w:rsidRPr="003C59A1">
        <w:rPr>
          <w:rFonts w:hint="eastAsia"/>
          <w:lang w:val="vi-VN"/>
        </w:rPr>
        <w:t>á</w:t>
      </w:r>
      <w:r w:rsidRPr="003C59A1">
        <w:rPr>
          <w:lang w:val="vi-VN"/>
        </w:rPr>
        <w:t>ch hàng (CDD) và sàng lọc trừng phạt.</w:t>
      </w:r>
    </w:p>
    <w:p w14:paraId="2A9033B3" w14:textId="391F4ACE" w:rsidR="005A4231" w:rsidRPr="005A4231" w:rsidRDefault="005A4231" w:rsidP="00BF7AB7">
      <w:pPr>
        <w:rPr>
          <w:shd w:val="clear" w:color="auto" w:fill="FFFFFF"/>
          <w:lang w:val="vi-VN"/>
        </w:rPr>
      </w:pPr>
      <w:r w:rsidRPr="005A4231">
        <w:rPr>
          <w:shd w:val="clear" w:color="auto" w:fill="FFFFFF"/>
          <w:lang w:val="vi-VN"/>
        </w:rPr>
        <w:t xml:space="preserve">Cuối cùng, với tư cách là một tiêu chuẩn thanh toán, một liên minh các công ty thẻ tín dụng lớn đã phát triển bộ thông số kỹ thuật cho hệ thống thanh toán dựa trên thẻ. Bộ thông số này được thiết kế để tương thích toàn cầu với nhiều hệ thống thanh toán khác nhau, bảo đảm xử lý giao dịch an toàn. </w:t>
      </w:r>
      <w:r w:rsidRPr="005A4231">
        <w:rPr>
          <w:b/>
          <w:bCs/>
          <w:shd w:val="clear" w:color="auto" w:fill="FFFFFF"/>
          <w:lang w:val="vi-VN"/>
        </w:rPr>
        <w:t>Tiêu chuẩn EMVCo</w:t>
      </w:r>
      <w:r w:rsidRPr="005A4231">
        <w:rPr>
          <w:shd w:val="clear" w:color="auto" w:fill="FFFFFF"/>
          <w:lang w:val="vi-VN"/>
        </w:rPr>
        <w:t xml:space="preserve"> là nền tảng cho việc triển khai hệ thống QR tại Indonesia (QRIS)</w:t>
      </w:r>
      <w:r w:rsidRPr="004F1D15">
        <w:rPr>
          <w:rStyle w:val="FootnoteReference"/>
          <w:color w:val="0D0D0D"/>
          <w:shd w:val="clear" w:color="auto" w:fill="FFFFFF"/>
        </w:rPr>
        <w:footnoteReference w:id="135"/>
      </w:r>
      <w:r w:rsidRPr="005A4231">
        <w:rPr>
          <w:shd w:val="clear" w:color="auto" w:fill="FFFFFF"/>
          <w:lang w:val="vi-VN"/>
        </w:rPr>
        <w:t>.</w:t>
      </w:r>
      <w:r>
        <w:rPr>
          <w:shd w:val="clear" w:color="auto" w:fill="FFFFFF"/>
          <w:lang w:val="vi-VN"/>
        </w:rPr>
        <w:t xml:space="preserve"> </w:t>
      </w:r>
      <w:r w:rsidRPr="005A4231">
        <w:rPr>
          <w:shd w:val="clear" w:color="auto" w:fill="FFFFFF"/>
          <w:lang w:val="vi-VN"/>
        </w:rPr>
        <w:t xml:space="preserve">Ngoài ra, EMV </w:t>
      </w:r>
      <w:r w:rsidRPr="005A4231">
        <w:rPr>
          <w:shd w:val="clear" w:color="auto" w:fill="FFFFFF"/>
          <w:lang w:val="vi-VN"/>
        </w:rPr>
        <w:lastRenderedPageBreak/>
        <w:t xml:space="preserve">Chip là tiêu chuẩn để tích hợp dữ liệu số vào mọi giao dịch. </w:t>
      </w:r>
      <w:r w:rsidRPr="005A4231">
        <w:rPr>
          <w:b/>
          <w:bCs/>
          <w:shd w:val="clear" w:color="auto" w:fill="FFFFFF"/>
          <w:lang w:val="vi-VN"/>
        </w:rPr>
        <w:t>Các tiêu chuẩn EMV Contact và Contactless Chip</w:t>
      </w:r>
      <w:r w:rsidRPr="005A4231">
        <w:rPr>
          <w:shd w:val="clear" w:color="auto" w:fill="FFFFFF"/>
          <w:lang w:val="vi-VN"/>
        </w:rPr>
        <w:t xml:space="preserve"> giúp các giao dịch qua chip trở nên an toàn hơn và giảm rủi ro gian lận giả mạo</w:t>
      </w:r>
      <w:r>
        <w:rPr>
          <w:rStyle w:val="FootnoteReference"/>
          <w:shd w:val="clear" w:color="auto" w:fill="FFFFFF"/>
        </w:rPr>
        <w:footnoteReference w:id="136"/>
      </w:r>
      <w:r w:rsidRPr="005A4231">
        <w:rPr>
          <w:shd w:val="clear" w:color="auto" w:fill="FFFFFF"/>
          <w:lang w:val="vi-VN"/>
        </w:rPr>
        <w:t>.</w:t>
      </w:r>
    </w:p>
    <w:p w14:paraId="5C757368" w14:textId="041D4DA6" w:rsidR="005A4231" w:rsidRPr="005A4231" w:rsidRDefault="005A4231" w:rsidP="00BF7AB7">
      <w:pPr>
        <w:rPr>
          <w:shd w:val="clear" w:color="auto" w:fill="FFFFFF"/>
          <w:lang w:val="vi-VN"/>
        </w:rPr>
      </w:pPr>
      <w:r w:rsidRPr="005A4231">
        <w:rPr>
          <w:shd w:val="clear" w:color="auto" w:fill="FFFFFF"/>
          <w:lang w:val="vi-VN"/>
        </w:rPr>
        <w:t>Ngoài các tiêu chuẩn do EMVCo phát triển, Hội đồng Tiêu chuẩn Bảo mật PCI (PCI SSC) là một diễn đàn toàn cầu khác xây dựng tiêu chuẩn về bảo mật dữ liệu tài khoản thanh toán</w:t>
      </w:r>
      <w:r w:rsidR="00D37B11">
        <w:rPr>
          <w:rStyle w:val="FootnoteReference"/>
          <w:shd w:val="clear" w:color="auto" w:fill="FFFFFF"/>
        </w:rPr>
        <w:footnoteReference w:id="137"/>
      </w:r>
      <w:r w:rsidRPr="005A4231">
        <w:rPr>
          <w:shd w:val="clear" w:color="auto" w:fill="FFFFFF"/>
          <w:lang w:val="vi-VN"/>
        </w:rPr>
        <w:t xml:space="preserve">. Hai tiêu chuẩn quan trọng là </w:t>
      </w:r>
      <w:r w:rsidRPr="00D37B11">
        <w:rPr>
          <w:b/>
          <w:bCs/>
          <w:shd w:val="clear" w:color="auto" w:fill="FFFFFF"/>
          <w:lang w:val="vi-VN"/>
        </w:rPr>
        <w:t>PCI-3 Domain Server Core (3DS)</w:t>
      </w:r>
      <w:r w:rsidRPr="005A4231">
        <w:rPr>
          <w:shd w:val="clear" w:color="auto" w:fill="FFFFFF"/>
          <w:lang w:val="vi-VN"/>
        </w:rPr>
        <w:t xml:space="preserve"> – tiêu chuẩn kỹ thuật hỗ trợ xác thực người dùng khi thực hiện giao dịch trực tuyến không có mặt thẻ</w:t>
      </w:r>
      <w:r w:rsidR="00D37B11">
        <w:rPr>
          <w:rStyle w:val="FootnoteReference"/>
          <w:shd w:val="clear" w:color="auto" w:fill="FFFFFF"/>
        </w:rPr>
        <w:footnoteReference w:id="138"/>
      </w:r>
      <w:r w:rsidRPr="005A4231">
        <w:rPr>
          <w:shd w:val="clear" w:color="auto" w:fill="FFFFFF"/>
          <w:lang w:val="vi-VN"/>
        </w:rPr>
        <w:t xml:space="preserve"> – và </w:t>
      </w:r>
      <w:r w:rsidRPr="00D37B11">
        <w:rPr>
          <w:b/>
          <w:bCs/>
          <w:shd w:val="clear" w:color="auto" w:fill="FFFFFF"/>
          <w:lang w:val="vi-VN"/>
        </w:rPr>
        <w:t>PCI Data Security Standard (PCI DSS),</w:t>
      </w:r>
      <w:r w:rsidRPr="005A4231">
        <w:rPr>
          <w:shd w:val="clear" w:color="auto" w:fill="FFFFFF"/>
          <w:lang w:val="vi-VN"/>
        </w:rPr>
        <w:t xml:space="preserve"> tiêu chuẩn đưa ra các yêu cầu kỹ thuật và vận hành nhằm bảo vệ chủ thẻ và dữ liệu tài khoản thanh toán</w:t>
      </w:r>
      <w:r w:rsidR="00D37B11">
        <w:rPr>
          <w:rStyle w:val="FootnoteReference"/>
          <w:shd w:val="clear" w:color="auto" w:fill="FFFFFF"/>
        </w:rPr>
        <w:footnoteReference w:id="139"/>
      </w:r>
      <w:r w:rsidRPr="005A4231">
        <w:rPr>
          <w:shd w:val="clear" w:color="auto" w:fill="FFFFFF"/>
          <w:lang w:val="vi-VN"/>
        </w:rPr>
        <w:t>.</w:t>
      </w:r>
    </w:p>
    <w:p w14:paraId="391A0057" w14:textId="15C453B2" w:rsidR="004A22ED" w:rsidRPr="00516087" w:rsidRDefault="00210EFC" w:rsidP="007C2DA9">
      <w:pPr>
        <w:pStyle w:val="ListParagraph"/>
        <w:numPr>
          <w:ilvl w:val="0"/>
          <w:numId w:val="24"/>
        </w:numPr>
        <w:rPr>
          <w:rFonts w:ascii="Arial" w:hAnsi="Arial"/>
          <w:b/>
          <w:lang w:val="en-GB"/>
        </w:rPr>
      </w:pPr>
      <w:r>
        <w:rPr>
          <w:rFonts w:ascii="Arial" w:hAnsi="Arial"/>
          <w:b/>
          <w:lang w:val="vi-VN"/>
        </w:rPr>
        <w:t xml:space="preserve">Tình </w:t>
      </w:r>
      <w:r w:rsidR="00DD7EBE" w:rsidRPr="00DD7EBE">
        <w:rPr>
          <w:rFonts w:ascii="Arial" w:hAnsi="Arial"/>
          <w:b/>
          <w:lang w:val="vi-VN"/>
        </w:rPr>
        <w:t>hình áp dụng tiêu chuẩn tại ASEAN, bao gồm nỗ lực hiện tại, kế hoạch sắp tới và thách thức trong việc áp dụng giữa các quốc gia thành viên</w:t>
      </w:r>
    </w:p>
    <w:p w14:paraId="29AD5A16" w14:textId="3DCC7CA8" w:rsidR="004A22ED" w:rsidRPr="00DD7EBE" w:rsidRDefault="00DD7EBE" w:rsidP="007664A3">
      <w:pPr>
        <w:rPr>
          <w:lang w:val="vi-VN"/>
        </w:rPr>
      </w:pPr>
      <w:r w:rsidRPr="00DD7EBE">
        <w:rPr>
          <w:lang w:val="vi-VN"/>
        </w:rPr>
        <w:t>Trong những năm gần đây, các quốc gia ASEAN đã đạt được tiến bộ đáng kể trong việc cải thiện hệ thống thanh toán và chuyển đổi sang ISO 20022. Hiện tại, hệ thống Thanh toán Bán lẻ (RPS) của 9 quốc gia ASEAN đã tuân theo ISO 20022, trong khi Hệ thống Thanh toán Giá trị lớn (LVPS) vẫn cần tiếp tục cải thiện để đạt mức áp dụng đầy đủ (tham khảo Bảng 6 dưới đây). Việc thúc đẩy áp dụng rộng rãi đối với LVPS sẽ góp phần tăng cường khả năng tương tác giữa các hệ thống trong ASEAN.</w:t>
      </w:r>
    </w:p>
    <w:p w14:paraId="7A65D2F5" w14:textId="0BB77964" w:rsidR="004A22ED" w:rsidRPr="00210EFC" w:rsidRDefault="00DD7EBE" w:rsidP="006430D5">
      <w:pPr>
        <w:pStyle w:val="Caption"/>
        <w:rPr>
          <w:lang w:val="vi-VN"/>
        </w:rPr>
      </w:pPr>
      <w:bookmarkStart w:id="48" w:name="_Ref172120493"/>
      <w:r>
        <w:t>Bảng</w:t>
      </w:r>
      <w:r w:rsidR="004A22ED" w:rsidRPr="004F1D15">
        <w:t xml:space="preserve"> </w:t>
      </w:r>
      <w:bookmarkEnd w:id="48"/>
      <w:r w:rsidR="00295520">
        <w:t>6</w:t>
      </w:r>
      <w:r w:rsidR="002D5E92" w:rsidRPr="004F1D15">
        <w:t>.</w:t>
      </w:r>
      <w:r w:rsidR="004A22ED" w:rsidRPr="004F1D15">
        <w:t xml:space="preserve"> </w:t>
      </w:r>
      <w:r w:rsidR="00210EFC">
        <w:t>Tình</w:t>
      </w:r>
      <w:r w:rsidR="00210EFC">
        <w:rPr>
          <w:lang w:val="vi-VN"/>
        </w:rPr>
        <w:t xml:space="preserve"> hình áp dụng ISO 20022 tại ASEAN </w:t>
      </w:r>
    </w:p>
    <w:tbl>
      <w:tblPr>
        <w:tblStyle w:val="ListTable3-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835"/>
        <w:gridCol w:w="2835"/>
      </w:tblGrid>
      <w:tr w:rsidR="008E4A80" w:rsidRPr="004F1D15" w14:paraId="23DFF180" w14:textId="77777777" w:rsidTr="0015148F">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835" w:type="dxa"/>
            <w:shd w:val="clear" w:color="auto" w:fill="002060"/>
          </w:tcPr>
          <w:p w14:paraId="2F5B0075" w14:textId="4025854B" w:rsidR="004A22ED" w:rsidRPr="00210EFC" w:rsidRDefault="00210EFC" w:rsidP="007664A3">
            <w:pPr>
              <w:rPr>
                <w:lang w:val="vi-VN"/>
              </w:rPr>
            </w:pPr>
            <w:r>
              <w:t>Quốc</w:t>
            </w:r>
            <w:r>
              <w:rPr>
                <w:lang w:val="vi-VN"/>
              </w:rPr>
              <w:t xml:space="preserve"> gia thành viên ASEAN</w:t>
            </w:r>
          </w:p>
        </w:tc>
        <w:tc>
          <w:tcPr>
            <w:tcW w:w="2835" w:type="dxa"/>
            <w:shd w:val="clear" w:color="auto" w:fill="002060"/>
          </w:tcPr>
          <w:p w14:paraId="512D614B" w14:textId="4B02D885" w:rsidR="004A22ED" w:rsidRPr="004F1D15" w:rsidRDefault="00210EFC" w:rsidP="007664A3">
            <w:pPr>
              <w:cnfStyle w:val="100000000000" w:firstRow="1" w:lastRow="0" w:firstColumn="0" w:lastColumn="0" w:oddVBand="0" w:evenVBand="0" w:oddHBand="0" w:evenHBand="0" w:firstRowFirstColumn="0" w:firstRowLastColumn="0" w:lastRowFirstColumn="0" w:lastRowLastColumn="0"/>
            </w:pPr>
            <w:r>
              <w:t>Hệ</w:t>
            </w:r>
            <w:r>
              <w:rPr>
                <w:lang w:val="vi-VN"/>
              </w:rPr>
              <w:t xml:space="preserve"> thống Thanh toán Bán lẻ</w:t>
            </w:r>
            <w:r w:rsidR="004A22ED" w:rsidRPr="004F1D15">
              <w:t xml:space="preserve"> (RPS)</w:t>
            </w:r>
          </w:p>
        </w:tc>
        <w:tc>
          <w:tcPr>
            <w:tcW w:w="2835" w:type="dxa"/>
            <w:shd w:val="clear" w:color="auto" w:fill="002060"/>
          </w:tcPr>
          <w:p w14:paraId="54FA5D73" w14:textId="17DFDA9F" w:rsidR="004A22ED" w:rsidRPr="004F1D15" w:rsidRDefault="00210EFC" w:rsidP="007664A3">
            <w:pPr>
              <w:cnfStyle w:val="100000000000" w:firstRow="1" w:lastRow="0" w:firstColumn="0" w:lastColumn="0" w:oddVBand="0" w:evenVBand="0" w:oddHBand="0" w:evenHBand="0" w:firstRowFirstColumn="0" w:firstRowLastColumn="0" w:lastRowFirstColumn="0" w:lastRowLastColumn="0"/>
            </w:pPr>
            <w:r>
              <w:t>Hệ</w:t>
            </w:r>
            <w:r>
              <w:rPr>
                <w:lang w:val="vi-VN"/>
              </w:rPr>
              <w:t xml:space="preserve"> thống Thanh toán Giá trị</w:t>
            </w:r>
            <w:r w:rsidR="004A22ED" w:rsidRPr="004F1D15">
              <w:t xml:space="preserve"> (LVPS)</w:t>
            </w:r>
          </w:p>
        </w:tc>
      </w:tr>
      <w:tr w:rsidR="00C90483" w:rsidRPr="004F1D15" w14:paraId="75BEA0AD" w14:textId="77777777" w:rsidTr="00D478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6140847A" w14:textId="77777777" w:rsidR="004A22ED" w:rsidRPr="004F1D15" w:rsidRDefault="004A22ED" w:rsidP="007664A3">
            <w:r w:rsidRPr="004F1D15">
              <w:t>Brunei Darussalam</w:t>
            </w:r>
          </w:p>
        </w:tc>
        <w:tc>
          <w:tcPr>
            <w:tcW w:w="2835" w:type="dxa"/>
            <w:vMerge w:val="restart"/>
          </w:tcPr>
          <w:p w14:paraId="03273961" w14:textId="32F79E22" w:rsidR="004A22ED" w:rsidRPr="002468CD" w:rsidRDefault="002468CD" w:rsidP="007664A3">
            <w:pPr>
              <w:cnfStyle w:val="000000100000" w:firstRow="0" w:lastRow="0" w:firstColumn="0" w:lastColumn="0" w:oddVBand="0" w:evenVBand="0" w:oddHBand="1" w:evenHBand="0" w:firstRowFirstColumn="0" w:firstRowLastColumn="0" w:lastRowFirstColumn="0" w:lastRowLastColumn="0"/>
              <w:rPr>
                <w:lang w:val="vi-VN"/>
              </w:rPr>
            </w:pPr>
            <w:r>
              <w:t>Đã</w:t>
            </w:r>
            <w:r>
              <w:rPr>
                <w:lang w:val="vi-VN"/>
              </w:rPr>
              <w:t xml:space="preserve"> áp dụng</w:t>
            </w:r>
          </w:p>
        </w:tc>
        <w:tc>
          <w:tcPr>
            <w:tcW w:w="2835" w:type="dxa"/>
            <w:vMerge w:val="restart"/>
          </w:tcPr>
          <w:p w14:paraId="12D0F7C9" w14:textId="2268EB87" w:rsidR="004A22ED" w:rsidRPr="002468CD" w:rsidRDefault="002468CD" w:rsidP="007664A3">
            <w:pPr>
              <w:cnfStyle w:val="000000100000" w:firstRow="0" w:lastRow="0" w:firstColumn="0" w:lastColumn="0" w:oddVBand="0" w:evenVBand="0" w:oddHBand="1" w:evenHBand="0" w:firstRowFirstColumn="0" w:firstRowLastColumn="0" w:lastRowFirstColumn="0" w:lastRowLastColumn="0"/>
              <w:rPr>
                <w:lang w:val="vi-VN"/>
              </w:rPr>
            </w:pPr>
            <w:r>
              <w:t>Đã</w:t>
            </w:r>
            <w:r>
              <w:rPr>
                <w:lang w:val="vi-VN"/>
              </w:rPr>
              <w:t xml:space="preserve"> áp dụng</w:t>
            </w:r>
          </w:p>
        </w:tc>
      </w:tr>
      <w:tr w:rsidR="00C90483" w:rsidRPr="004F1D15" w14:paraId="46D5E2FC" w14:textId="77777777" w:rsidTr="00D47859">
        <w:trPr>
          <w:jc w:val="center"/>
        </w:trPr>
        <w:tc>
          <w:tcPr>
            <w:cnfStyle w:val="001000000000" w:firstRow="0" w:lastRow="0" w:firstColumn="1" w:lastColumn="0" w:oddVBand="0" w:evenVBand="0" w:oddHBand="0" w:evenHBand="0" w:firstRowFirstColumn="0" w:firstRowLastColumn="0" w:lastRowFirstColumn="0" w:lastRowLastColumn="0"/>
            <w:tcW w:w="2835" w:type="dxa"/>
          </w:tcPr>
          <w:p w14:paraId="2D2708B5" w14:textId="1145BFD2" w:rsidR="004A22ED" w:rsidRPr="006916F9" w:rsidRDefault="006916F9" w:rsidP="007664A3">
            <w:pPr>
              <w:rPr>
                <w:lang w:val="vi-VN"/>
              </w:rPr>
            </w:pPr>
            <w:r>
              <w:t>Campuchia</w:t>
            </w:r>
          </w:p>
        </w:tc>
        <w:tc>
          <w:tcPr>
            <w:tcW w:w="2835" w:type="dxa"/>
            <w:vMerge/>
          </w:tcPr>
          <w:p w14:paraId="4D85C4F8" w14:textId="77777777" w:rsidR="004A22ED" w:rsidRPr="004F1D15" w:rsidRDefault="004A22ED" w:rsidP="007664A3">
            <w:pPr>
              <w:cnfStyle w:val="000000000000" w:firstRow="0" w:lastRow="0" w:firstColumn="0" w:lastColumn="0" w:oddVBand="0" w:evenVBand="0" w:oddHBand="0" w:evenHBand="0" w:firstRowFirstColumn="0" w:firstRowLastColumn="0" w:lastRowFirstColumn="0" w:lastRowLastColumn="0"/>
            </w:pPr>
          </w:p>
        </w:tc>
        <w:tc>
          <w:tcPr>
            <w:tcW w:w="2835" w:type="dxa"/>
            <w:vMerge/>
          </w:tcPr>
          <w:p w14:paraId="1FE2474C" w14:textId="75C34AE1" w:rsidR="004A22ED" w:rsidRPr="004F1D15" w:rsidRDefault="004A22ED" w:rsidP="007664A3">
            <w:pPr>
              <w:cnfStyle w:val="000000000000" w:firstRow="0" w:lastRow="0" w:firstColumn="0" w:lastColumn="0" w:oddVBand="0" w:evenVBand="0" w:oddHBand="0" w:evenHBand="0" w:firstRowFirstColumn="0" w:firstRowLastColumn="0" w:lastRowFirstColumn="0" w:lastRowLastColumn="0"/>
            </w:pPr>
          </w:p>
        </w:tc>
      </w:tr>
      <w:tr w:rsidR="00C90483" w:rsidRPr="004F1D15" w14:paraId="3032D517" w14:textId="77777777" w:rsidTr="00D478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1671B61D" w14:textId="77777777" w:rsidR="004A22ED" w:rsidRPr="004F1D15" w:rsidRDefault="004A22ED" w:rsidP="007664A3">
            <w:r w:rsidRPr="004F1D15">
              <w:t>Indonesia</w:t>
            </w:r>
          </w:p>
        </w:tc>
        <w:tc>
          <w:tcPr>
            <w:tcW w:w="2835" w:type="dxa"/>
            <w:vMerge/>
          </w:tcPr>
          <w:p w14:paraId="236444D6" w14:textId="77777777" w:rsidR="004A22ED" w:rsidRPr="004F1D15" w:rsidRDefault="004A22ED" w:rsidP="007664A3">
            <w:pPr>
              <w:cnfStyle w:val="000000100000" w:firstRow="0" w:lastRow="0" w:firstColumn="0" w:lastColumn="0" w:oddVBand="0" w:evenVBand="0" w:oddHBand="1" w:evenHBand="0" w:firstRowFirstColumn="0" w:firstRowLastColumn="0" w:lastRowFirstColumn="0" w:lastRowLastColumn="0"/>
            </w:pPr>
          </w:p>
        </w:tc>
        <w:tc>
          <w:tcPr>
            <w:tcW w:w="2835" w:type="dxa"/>
          </w:tcPr>
          <w:p w14:paraId="58B19876" w14:textId="1BA6D035" w:rsidR="004A22ED" w:rsidRPr="002468CD" w:rsidRDefault="002468CD" w:rsidP="007664A3">
            <w:pPr>
              <w:cnfStyle w:val="000000100000" w:firstRow="0" w:lastRow="0" w:firstColumn="0" w:lastColumn="0" w:oddVBand="0" w:evenVBand="0" w:oddHBand="1" w:evenHBand="0" w:firstRowFirstColumn="0" w:firstRowLastColumn="0" w:lastRowFirstColumn="0" w:lastRowLastColumn="0"/>
              <w:rPr>
                <w:lang w:val="vi-VN"/>
              </w:rPr>
            </w:pPr>
            <w:r>
              <w:rPr>
                <w:lang w:val="vi-VN"/>
              </w:rPr>
              <w:t>Chưa áp dụng</w:t>
            </w:r>
          </w:p>
        </w:tc>
      </w:tr>
      <w:tr w:rsidR="00A144C8" w:rsidRPr="004F1D15" w14:paraId="595149D5" w14:textId="77777777" w:rsidTr="00D47859">
        <w:trPr>
          <w:jc w:val="center"/>
        </w:trPr>
        <w:tc>
          <w:tcPr>
            <w:cnfStyle w:val="001000000000" w:firstRow="0" w:lastRow="0" w:firstColumn="1" w:lastColumn="0" w:oddVBand="0" w:evenVBand="0" w:oddHBand="0" w:evenHBand="0" w:firstRowFirstColumn="0" w:firstRowLastColumn="0" w:lastRowFirstColumn="0" w:lastRowLastColumn="0"/>
            <w:tcW w:w="2835" w:type="dxa"/>
          </w:tcPr>
          <w:p w14:paraId="29258E40" w14:textId="55229075" w:rsidR="004A22ED" w:rsidRPr="006916F9" w:rsidRDefault="006916F9" w:rsidP="007664A3">
            <w:pPr>
              <w:rPr>
                <w:lang w:val="vi-VN"/>
              </w:rPr>
            </w:pPr>
            <w:r>
              <w:t>Lào</w:t>
            </w:r>
          </w:p>
        </w:tc>
        <w:tc>
          <w:tcPr>
            <w:tcW w:w="2835" w:type="dxa"/>
          </w:tcPr>
          <w:p w14:paraId="20CEFE40" w14:textId="113E4ACE" w:rsidR="004A22ED" w:rsidRPr="002468CD" w:rsidRDefault="002468CD" w:rsidP="007664A3">
            <w:pPr>
              <w:cnfStyle w:val="000000000000" w:firstRow="0" w:lastRow="0" w:firstColumn="0" w:lastColumn="0" w:oddVBand="0" w:evenVBand="0" w:oddHBand="0" w:evenHBand="0" w:firstRowFirstColumn="0" w:firstRowLastColumn="0" w:lastRowFirstColumn="0" w:lastRowLastColumn="0"/>
              <w:rPr>
                <w:lang w:val="vi-VN"/>
              </w:rPr>
            </w:pPr>
            <w:r>
              <w:t>Chưa</w:t>
            </w:r>
            <w:r>
              <w:rPr>
                <w:lang w:val="vi-VN"/>
              </w:rPr>
              <w:t xml:space="preserve"> áp dụng</w:t>
            </w:r>
          </w:p>
        </w:tc>
        <w:tc>
          <w:tcPr>
            <w:tcW w:w="2835" w:type="dxa"/>
            <w:vMerge w:val="restart"/>
          </w:tcPr>
          <w:p w14:paraId="3FFC9E4A" w14:textId="1A97BD6A" w:rsidR="004A22ED" w:rsidRPr="002468CD" w:rsidRDefault="002468CD" w:rsidP="007664A3">
            <w:pPr>
              <w:cnfStyle w:val="000000000000" w:firstRow="0" w:lastRow="0" w:firstColumn="0" w:lastColumn="0" w:oddVBand="0" w:evenVBand="0" w:oddHBand="0" w:evenHBand="0" w:firstRowFirstColumn="0" w:firstRowLastColumn="0" w:lastRowFirstColumn="0" w:lastRowLastColumn="0"/>
              <w:rPr>
                <w:lang w:val="vi-VN"/>
              </w:rPr>
            </w:pPr>
            <w:r>
              <w:rPr>
                <w:lang w:val="vi-VN"/>
              </w:rPr>
              <w:t>Đã áp dụng</w:t>
            </w:r>
          </w:p>
        </w:tc>
      </w:tr>
      <w:tr w:rsidR="00C90483" w:rsidRPr="004F1D15" w14:paraId="5D2FD744" w14:textId="77777777" w:rsidTr="00D478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1E8A5F20" w14:textId="77777777" w:rsidR="004A22ED" w:rsidRPr="004F1D15" w:rsidRDefault="004A22ED" w:rsidP="007664A3">
            <w:r w:rsidRPr="004F1D15">
              <w:t>Malaysia</w:t>
            </w:r>
          </w:p>
        </w:tc>
        <w:tc>
          <w:tcPr>
            <w:tcW w:w="2835" w:type="dxa"/>
            <w:vMerge w:val="restart"/>
          </w:tcPr>
          <w:p w14:paraId="3D7013EF" w14:textId="0F95DAF1" w:rsidR="004A22ED" w:rsidRPr="002468CD" w:rsidRDefault="002468CD" w:rsidP="007664A3">
            <w:pPr>
              <w:cnfStyle w:val="000000100000" w:firstRow="0" w:lastRow="0" w:firstColumn="0" w:lastColumn="0" w:oddVBand="0" w:evenVBand="0" w:oddHBand="1" w:evenHBand="0" w:firstRowFirstColumn="0" w:firstRowLastColumn="0" w:lastRowFirstColumn="0" w:lastRowLastColumn="0"/>
              <w:rPr>
                <w:lang w:val="vi-VN"/>
              </w:rPr>
            </w:pPr>
            <w:r>
              <w:rPr>
                <w:lang w:val="vi-VN"/>
              </w:rPr>
              <w:t xml:space="preserve">Đã áp dụng </w:t>
            </w:r>
          </w:p>
        </w:tc>
        <w:tc>
          <w:tcPr>
            <w:tcW w:w="2835" w:type="dxa"/>
            <w:vMerge/>
          </w:tcPr>
          <w:p w14:paraId="0FB99257" w14:textId="18A483FD" w:rsidR="004A22ED" w:rsidRPr="004F1D15" w:rsidRDefault="004A22ED" w:rsidP="007664A3">
            <w:pPr>
              <w:cnfStyle w:val="000000100000" w:firstRow="0" w:lastRow="0" w:firstColumn="0" w:lastColumn="0" w:oddVBand="0" w:evenVBand="0" w:oddHBand="1" w:evenHBand="0" w:firstRowFirstColumn="0" w:firstRowLastColumn="0" w:lastRowFirstColumn="0" w:lastRowLastColumn="0"/>
            </w:pPr>
          </w:p>
        </w:tc>
      </w:tr>
      <w:tr w:rsidR="00C90483" w:rsidRPr="004F1D15" w14:paraId="6A45018B" w14:textId="77777777" w:rsidTr="00D47859">
        <w:trPr>
          <w:jc w:val="center"/>
        </w:trPr>
        <w:tc>
          <w:tcPr>
            <w:cnfStyle w:val="001000000000" w:firstRow="0" w:lastRow="0" w:firstColumn="1" w:lastColumn="0" w:oddVBand="0" w:evenVBand="0" w:oddHBand="0" w:evenHBand="0" w:firstRowFirstColumn="0" w:firstRowLastColumn="0" w:lastRowFirstColumn="0" w:lastRowLastColumn="0"/>
            <w:tcW w:w="2835" w:type="dxa"/>
          </w:tcPr>
          <w:p w14:paraId="0F62265F" w14:textId="77777777" w:rsidR="004A22ED" w:rsidRPr="004F1D15" w:rsidRDefault="004A22ED" w:rsidP="007664A3">
            <w:r w:rsidRPr="004F1D15">
              <w:t>Myanmar</w:t>
            </w:r>
          </w:p>
        </w:tc>
        <w:tc>
          <w:tcPr>
            <w:tcW w:w="2835" w:type="dxa"/>
            <w:vMerge/>
          </w:tcPr>
          <w:p w14:paraId="4366B5BF" w14:textId="77777777" w:rsidR="004A22ED" w:rsidRPr="004F1D15" w:rsidRDefault="004A22ED" w:rsidP="007664A3">
            <w:pPr>
              <w:cnfStyle w:val="000000000000" w:firstRow="0" w:lastRow="0" w:firstColumn="0" w:lastColumn="0" w:oddVBand="0" w:evenVBand="0" w:oddHBand="0" w:evenHBand="0" w:firstRowFirstColumn="0" w:firstRowLastColumn="0" w:lastRowFirstColumn="0" w:lastRowLastColumn="0"/>
            </w:pPr>
          </w:p>
        </w:tc>
        <w:tc>
          <w:tcPr>
            <w:tcW w:w="2835" w:type="dxa"/>
          </w:tcPr>
          <w:p w14:paraId="565732CF" w14:textId="753198A3" w:rsidR="004A22ED" w:rsidRPr="004F1D15" w:rsidRDefault="002468CD" w:rsidP="007664A3">
            <w:pPr>
              <w:cnfStyle w:val="000000000000" w:firstRow="0" w:lastRow="0" w:firstColumn="0" w:lastColumn="0" w:oddVBand="0" w:evenVBand="0" w:oddHBand="0" w:evenHBand="0" w:firstRowFirstColumn="0" w:firstRowLastColumn="0" w:lastRowFirstColumn="0" w:lastRowLastColumn="0"/>
            </w:pPr>
            <w:r>
              <w:rPr>
                <w:lang w:val="vi-VN"/>
              </w:rPr>
              <w:t>Đã áp dụng</w:t>
            </w:r>
            <w:r w:rsidR="00286DCC">
              <w:t xml:space="preserve"> (TBC)</w:t>
            </w:r>
          </w:p>
        </w:tc>
      </w:tr>
      <w:tr w:rsidR="00C90483" w:rsidRPr="004F1D15" w14:paraId="28C274D6" w14:textId="77777777" w:rsidTr="00D478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7459233C" w14:textId="77777777" w:rsidR="004A22ED" w:rsidRPr="004F1D15" w:rsidRDefault="004A22ED" w:rsidP="007664A3">
            <w:r w:rsidRPr="004F1D15">
              <w:t>Philippines</w:t>
            </w:r>
          </w:p>
        </w:tc>
        <w:tc>
          <w:tcPr>
            <w:tcW w:w="2835" w:type="dxa"/>
            <w:vMerge/>
          </w:tcPr>
          <w:p w14:paraId="1AA9AAA9" w14:textId="77777777" w:rsidR="004A22ED" w:rsidRPr="004F1D15" w:rsidRDefault="004A22ED" w:rsidP="007664A3">
            <w:pPr>
              <w:cnfStyle w:val="000000100000" w:firstRow="0" w:lastRow="0" w:firstColumn="0" w:lastColumn="0" w:oddVBand="0" w:evenVBand="0" w:oddHBand="1" w:evenHBand="0" w:firstRowFirstColumn="0" w:firstRowLastColumn="0" w:lastRowFirstColumn="0" w:lastRowLastColumn="0"/>
            </w:pPr>
          </w:p>
        </w:tc>
        <w:tc>
          <w:tcPr>
            <w:tcW w:w="2835" w:type="dxa"/>
            <w:vMerge w:val="restart"/>
          </w:tcPr>
          <w:p w14:paraId="7A04E497" w14:textId="53004F95" w:rsidR="004A22ED" w:rsidRPr="002468CD" w:rsidRDefault="002468CD" w:rsidP="007664A3">
            <w:pPr>
              <w:cnfStyle w:val="000000100000" w:firstRow="0" w:lastRow="0" w:firstColumn="0" w:lastColumn="0" w:oddVBand="0" w:evenVBand="0" w:oddHBand="1" w:evenHBand="0" w:firstRowFirstColumn="0" w:firstRowLastColumn="0" w:lastRowFirstColumn="0" w:lastRowLastColumn="0"/>
              <w:rPr>
                <w:lang w:val="vi-VN"/>
              </w:rPr>
            </w:pPr>
            <w:r>
              <w:rPr>
                <w:lang w:val="vi-VN"/>
              </w:rPr>
              <w:t>Đã áp dụng</w:t>
            </w:r>
          </w:p>
        </w:tc>
      </w:tr>
      <w:tr w:rsidR="00C90483" w:rsidRPr="004F1D15" w14:paraId="21AC62D7" w14:textId="77777777" w:rsidTr="00D47859">
        <w:trPr>
          <w:jc w:val="center"/>
        </w:trPr>
        <w:tc>
          <w:tcPr>
            <w:cnfStyle w:val="001000000000" w:firstRow="0" w:lastRow="0" w:firstColumn="1" w:lastColumn="0" w:oddVBand="0" w:evenVBand="0" w:oddHBand="0" w:evenHBand="0" w:firstRowFirstColumn="0" w:firstRowLastColumn="0" w:lastRowFirstColumn="0" w:lastRowLastColumn="0"/>
            <w:tcW w:w="2835" w:type="dxa"/>
          </w:tcPr>
          <w:p w14:paraId="4708F282" w14:textId="77777777" w:rsidR="004A22ED" w:rsidRPr="004F1D15" w:rsidRDefault="004A22ED" w:rsidP="007664A3">
            <w:r w:rsidRPr="004F1D15">
              <w:t xml:space="preserve">Singapore </w:t>
            </w:r>
          </w:p>
        </w:tc>
        <w:tc>
          <w:tcPr>
            <w:tcW w:w="2835" w:type="dxa"/>
            <w:vMerge/>
          </w:tcPr>
          <w:p w14:paraId="3D4C4AFB" w14:textId="77777777" w:rsidR="004A22ED" w:rsidRPr="004F1D15" w:rsidRDefault="004A22ED" w:rsidP="007664A3">
            <w:pPr>
              <w:cnfStyle w:val="000000000000" w:firstRow="0" w:lastRow="0" w:firstColumn="0" w:lastColumn="0" w:oddVBand="0" w:evenVBand="0" w:oddHBand="0" w:evenHBand="0" w:firstRowFirstColumn="0" w:firstRowLastColumn="0" w:lastRowFirstColumn="0" w:lastRowLastColumn="0"/>
            </w:pPr>
          </w:p>
        </w:tc>
        <w:tc>
          <w:tcPr>
            <w:tcW w:w="2835" w:type="dxa"/>
            <w:vMerge/>
          </w:tcPr>
          <w:p w14:paraId="32E54C49" w14:textId="77777777" w:rsidR="004A22ED" w:rsidRPr="004F1D15" w:rsidRDefault="004A22ED" w:rsidP="007664A3">
            <w:pPr>
              <w:cnfStyle w:val="000000000000" w:firstRow="0" w:lastRow="0" w:firstColumn="0" w:lastColumn="0" w:oddVBand="0" w:evenVBand="0" w:oddHBand="0" w:evenHBand="0" w:firstRowFirstColumn="0" w:firstRowLastColumn="0" w:lastRowFirstColumn="0" w:lastRowLastColumn="0"/>
            </w:pPr>
          </w:p>
        </w:tc>
      </w:tr>
      <w:tr w:rsidR="00C90483" w:rsidRPr="004F1D15" w14:paraId="5D411947" w14:textId="77777777" w:rsidTr="00D478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6D588F2B" w14:textId="51A886B9" w:rsidR="004A22ED" w:rsidRPr="004F1D15" w:rsidRDefault="006916F9" w:rsidP="007664A3">
            <w:r>
              <w:t>Thái</w:t>
            </w:r>
            <w:r>
              <w:rPr>
                <w:lang w:val="vi-VN"/>
              </w:rPr>
              <w:t xml:space="preserve"> Lan</w:t>
            </w:r>
            <w:r w:rsidR="004A22ED" w:rsidRPr="004F1D15">
              <w:t xml:space="preserve"> </w:t>
            </w:r>
          </w:p>
        </w:tc>
        <w:tc>
          <w:tcPr>
            <w:tcW w:w="2835" w:type="dxa"/>
            <w:vMerge/>
          </w:tcPr>
          <w:p w14:paraId="7979663E" w14:textId="77777777" w:rsidR="004A22ED" w:rsidRPr="004F1D15" w:rsidRDefault="004A22ED" w:rsidP="007664A3">
            <w:pPr>
              <w:cnfStyle w:val="000000100000" w:firstRow="0" w:lastRow="0" w:firstColumn="0" w:lastColumn="0" w:oddVBand="0" w:evenVBand="0" w:oddHBand="1" w:evenHBand="0" w:firstRowFirstColumn="0" w:firstRowLastColumn="0" w:lastRowFirstColumn="0" w:lastRowLastColumn="0"/>
            </w:pPr>
          </w:p>
        </w:tc>
        <w:tc>
          <w:tcPr>
            <w:tcW w:w="2835" w:type="dxa"/>
            <w:vMerge/>
          </w:tcPr>
          <w:p w14:paraId="41546204" w14:textId="77777777" w:rsidR="004A22ED" w:rsidRPr="004F1D15" w:rsidRDefault="004A22ED" w:rsidP="007664A3">
            <w:pPr>
              <w:cnfStyle w:val="000000100000" w:firstRow="0" w:lastRow="0" w:firstColumn="0" w:lastColumn="0" w:oddVBand="0" w:evenVBand="0" w:oddHBand="1" w:evenHBand="0" w:firstRowFirstColumn="0" w:firstRowLastColumn="0" w:lastRowFirstColumn="0" w:lastRowLastColumn="0"/>
            </w:pPr>
          </w:p>
        </w:tc>
      </w:tr>
      <w:tr w:rsidR="00C90483" w:rsidRPr="004F1D15" w14:paraId="6A2FF0F7" w14:textId="77777777" w:rsidTr="00D47859">
        <w:trPr>
          <w:jc w:val="center"/>
        </w:trPr>
        <w:tc>
          <w:tcPr>
            <w:cnfStyle w:val="001000000000" w:firstRow="0" w:lastRow="0" w:firstColumn="1" w:lastColumn="0" w:oddVBand="0" w:evenVBand="0" w:oddHBand="0" w:evenHBand="0" w:firstRowFirstColumn="0" w:firstRowLastColumn="0" w:lastRowFirstColumn="0" w:lastRowLastColumn="0"/>
            <w:tcW w:w="2835" w:type="dxa"/>
          </w:tcPr>
          <w:p w14:paraId="2573B33A" w14:textId="39F332F8" w:rsidR="004A22ED" w:rsidRPr="006916F9" w:rsidRDefault="006916F9" w:rsidP="007664A3">
            <w:pPr>
              <w:rPr>
                <w:lang w:val="vi-VN"/>
              </w:rPr>
            </w:pPr>
            <w:r>
              <w:t>Việt</w:t>
            </w:r>
            <w:r>
              <w:rPr>
                <w:lang w:val="vi-VN"/>
              </w:rPr>
              <w:t xml:space="preserve"> Nam</w:t>
            </w:r>
          </w:p>
        </w:tc>
        <w:tc>
          <w:tcPr>
            <w:tcW w:w="2835" w:type="dxa"/>
            <w:vMerge/>
          </w:tcPr>
          <w:p w14:paraId="62AF8A44" w14:textId="77777777" w:rsidR="004A22ED" w:rsidRPr="004F1D15" w:rsidRDefault="004A22ED" w:rsidP="007664A3">
            <w:pPr>
              <w:cnfStyle w:val="000000000000" w:firstRow="0" w:lastRow="0" w:firstColumn="0" w:lastColumn="0" w:oddVBand="0" w:evenVBand="0" w:oddHBand="0" w:evenHBand="0" w:firstRowFirstColumn="0" w:firstRowLastColumn="0" w:lastRowFirstColumn="0" w:lastRowLastColumn="0"/>
            </w:pPr>
          </w:p>
        </w:tc>
        <w:tc>
          <w:tcPr>
            <w:tcW w:w="2835" w:type="dxa"/>
          </w:tcPr>
          <w:p w14:paraId="03583683" w14:textId="02D72248" w:rsidR="004A22ED" w:rsidRPr="004F1D15" w:rsidRDefault="002468CD" w:rsidP="007664A3">
            <w:pPr>
              <w:cnfStyle w:val="000000000000" w:firstRow="0" w:lastRow="0" w:firstColumn="0" w:lastColumn="0" w:oddVBand="0" w:evenVBand="0" w:oddHBand="0" w:evenHBand="0" w:firstRowFirstColumn="0" w:firstRowLastColumn="0" w:lastRowFirstColumn="0" w:lastRowLastColumn="0"/>
            </w:pPr>
            <w:r>
              <w:rPr>
                <w:lang w:val="vi-VN"/>
              </w:rPr>
              <w:t xml:space="preserve">Chưa áp </w:t>
            </w:r>
            <w:r w:rsidR="006916F9">
              <w:rPr>
                <w:lang w:val="vi-VN"/>
              </w:rPr>
              <w:t>dụng</w:t>
            </w:r>
            <w:r w:rsidR="002C0329">
              <w:t xml:space="preserve"> (TBC)</w:t>
            </w:r>
          </w:p>
        </w:tc>
      </w:tr>
    </w:tbl>
    <w:p w14:paraId="4C3C2878" w14:textId="4E636854" w:rsidR="004A22ED" w:rsidRPr="006916F9" w:rsidRDefault="006916F9" w:rsidP="007664A3">
      <w:pPr>
        <w:rPr>
          <w:rFonts w:eastAsia="Quattrocento Sans"/>
          <w:i/>
          <w:sz w:val="20"/>
          <w:szCs w:val="20"/>
          <w:lang w:val="vi-VN"/>
        </w:rPr>
      </w:pPr>
      <w:r>
        <w:rPr>
          <w:rFonts w:eastAsia="Quattrocento Sans"/>
          <w:i/>
          <w:sz w:val="20"/>
          <w:szCs w:val="20"/>
        </w:rPr>
        <w:t>Nguồn</w:t>
      </w:r>
      <w:r w:rsidR="004A22ED" w:rsidRPr="004F1D15">
        <w:rPr>
          <w:rFonts w:eastAsia="Quattrocento Sans"/>
          <w:i/>
          <w:sz w:val="20"/>
          <w:szCs w:val="20"/>
        </w:rPr>
        <w:t xml:space="preserve">: </w:t>
      </w:r>
      <w:r>
        <w:rPr>
          <w:i/>
          <w:sz w:val="20"/>
          <w:szCs w:val="20"/>
          <w:lang w:val="vi-VN"/>
        </w:rPr>
        <w:t>Ban Thư ký ASEAN (2023), Nghiên cứu về Hiệp định Khung Kinh tế Số ASEAN (DEFA) và phản hồi từ Diễn đàn Tham vấn Khu vực ngày 29/08/2024</w:t>
      </w:r>
    </w:p>
    <w:p w14:paraId="02E9EC50" w14:textId="2707BCBC" w:rsidR="00443EED" w:rsidRPr="00CF08E2" w:rsidRDefault="00CF08E2" w:rsidP="00EF1D96">
      <w:pPr>
        <w:rPr>
          <w:rFonts w:eastAsia="Quattrocento Sans"/>
          <w:b/>
          <w:lang w:val="vi-VN" w:eastAsia="zh-CN"/>
        </w:rPr>
      </w:pPr>
      <w:bookmarkStart w:id="49" w:name="_Ref172120520"/>
      <w:r w:rsidRPr="00CF08E2">
        <w:rPr>
          <w:lang w:val="vi-VN"/>
        </w:rPr>
        <w:t>Mức độ áp dụng LEI giữa các quốc gia ASEAN khác nhau đáng kể, như được minh họa trong Bảng 7 dưới đây. Trong khi các quốc gia như Singapore, Malaysia, Thái Lan và Indonesia đã đạt được tiến bộ đáng kể trong triển khai LEI, các quốc gia khác như Brunei Darussalam, Lào và Myanmar vẫn đang ở giai đoạn sơ khởi của quá trình áp dụng.</w:t>
      </w:r>
    </w:p>
    <w:p w14:paraId="654E083E" w14:textId="6AD4A107" w:rsidR="004A22ED" w:rsidRPr="004F1D15" w:rsidRDefault="00913CB9" w:rsidP="006430D5">
      <w:pPr>
        <w:pStyle w:val="Caption"/>
      </w:pPr>
      <w:r>
        <w:lastRenderedPageBreak/>
        <w:t>Bảng</w:t>
      </w:r>
      <w:r w:rsidR="00160FFE">
        <w:t xml:space="preserve"> </w:t>
      </w:r>
      <w:bookmarkEnd w:id="49"/>
      <w:r>
        <w:t>7</w:t>
      </w:r>
      <w:r>
        <w:rPr>
          <w:lang w:val="vi-VN"/>
        </w:rPr>
        <w:t>.</w:t>
      </w:r>
      <w:r w:rsidR="00907B59">
        <w:rPr>
          <w:lang w:val="vi-VN"/>
        </w:rPr>
        <w:t xml:space="preserve"> Số lượng LEI được áp dụng trên toàn</w:t>
      </w:r>
      <w:r w:rsidR="004A22ED" w:rsidRPr="004F1D15">
        <w:t xml:space="preserve"> ASEAN</w:t>
      </w:r>
      <w:r w:rsidR="00A67D6C">
        <w:t xml:space="preserve"> </w:t>
      </w:r>
    </w:p>
    <w:tbl>
      <w:tblPr>
        <w:tblStyle w:val="ListTable3-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835"/>
      </w:tblGrid>
      <w:tr w:rsidR="004A22ED" w:rsidRPr="004F1D15" w14:paraId="67AA7307" w14:textId="77777777" w:rsidTr="00FF503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835" w:type="dxa"/>
            <w:shd w:val="clear" w:color="auto" w:fill="002060"/>
          </w:tcPr>
          <w:p w14:paraId="7D9F265C" w14:textId="1E673A53" w:rsidR="004A22ED" w:rsidRPr="00913CB9" w:rsidRDefault="00913CB9" w:rsidP="00FF503B">
            <w:pPr>
              <w:jc w:val="center"/>
              <w:rPr>
                <w:lang w:val="vi-VN"/>
              </w:rPr>
            </w:pPr>
            <w:r>
              <w:t>Quốc</w:t>
            </w:r>
            <w:r>
              <w:rPr>
                <w:lang w:val="vi-VN"/>
              </w:rPr>
              <w:t xml:space="preserve"> gia thành viên </w:t>
            </w:r>
            <w:r w:rsidR="004A22ED" w:rsidRPr="004F1D15">
              <w:t>ASEAN</w:t>
            </w:r>
          </w:p>
        </w:tc>
        <w:tc>
          <w:tcPr>
            <w:tcW w:w="2835" w:type="dxa"/>
            <w:shd w:val="clear" w:color="auto" w:fill="002060"/>
          </w:tcPr>
          <w:p w14:paraId="5D8F9094" w14:textId="4B3AE4FA" w:rsidR="004A22ED" w:rsidRPr="004F1D15" w:rsidRDefault="00907B59" w:rsidP="00FF503B">
            <w:pPr>
              <w:jc w:val="center"/>
              <w:cnfStyle w:val="100000000000" w:firstRow="1" w:lastRow="0" w:firstColumn="0" w:lastColumn="0" w:oddVBand="0" w:evenVBand="0" w:oddHBand="0" w:evenHBand="0" w:firstRowFirstColumn="0" w:firstRowLastColumn="0" w:lastRowFirstColumn="0" w:lastRowLastColumn="0"/>
            </w:pPr>
            <w:r>
              <w:t>Số</w:t>
            </w:r>
            <w:r>
              <w:rPr>
                <w:lang w:val="vi-VN"/>
              </w:rPr>
              <w:t xml:space="preserve"> lượng LEI đang hoạt động tính đến tháng 3/</w:t>
            </w:r>
            <w:r w:rsidR="004A22ED" w:rsidRPr="004F1D15">
              <w:t>2024</w:t>
            </w:r>
          </w:p>
        </w:tc>
      </w:tr>
      <w:tr w:rsidR="004A22ED" w:rsidRPr="004F1D15" w14:paraId="20CDB3D8" w14:textId="77777777" w:rsidTr="006C1C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110BB7A6" w14:textId="77777777" w:rsidR="004A22ED" w:rsidRPr="004F1D15" w:rsidRDefault="004A22ED" w:rsidP="007664A3">
            <w:r w:rsidRPr="004F1D15">
              <w:t>Brunei Darussalam</w:t>
            </w:r>
          </w:p>
        </w:tc>
        <w:tc>
          <w:tcPr>
            <w:tcW w:w="2835" w:type="dxa"/>
          </w:tcPr>
          <w:p w14:paraId="0991288F" w14:textId="77777777" w:rsidR="004A22ED" w:rsidRPr="004F1D15" w:rsidRDefault="004A22ED" w:rsidP="007664A3">
            <w:pPr>
              <w:cnfStyle w:val="000000100000" w:firstRow="0" w:lastRow="0" w:firstColumn="0" w:lastColumn="0" w:oddVBand="0" w:evenVBand="0" w:oddHBand="1" w:evenHBand="0" w:firstRowFirstColumn="0" w:firstRowLastColumn="0" w:lastRowFirstColumn="0" w:lastRowLastColumn="0"/>
            </w:pPr>
            <w:r w:rsidRPr="004F1D15">
              <w:t>37</w:t>
            </w:r>
          </w:p>
        </w:tc>
      </w:tr>
      <w:tr w:rsidR="004A22ED" w:rsidRPr="004F1D15" w14:paraId="31D53EEA" w14:textId="77777777" w:rsidTr="006C1CE1">
        <w:trPr>
          <w:jc w:val="center"/>
        </w:trPr>
        <w:tc>
          <w:tcPr>
            <w:cnfStyle w:val="001000000000" w:firstRow="0" w:lastRow="0" w:firstColumn="1" w:lastColumn="0" w:oddVBand="0" w:evenVBand="0" w:oddHBand="0" w:evenHBand="0" w:firstRowFirstColumn="0" w:firstRowLastColumn="0" w:lastRowFirstColumn="0" w:lastRowLastColumn="0"/>
            <w:tcW w:w="2835" w:type="dxa"/>
          </w:tcPr>
          <w:p w14:paraId="0E791A4C" w14:textId="50946193" w:rsidR="004A22ED" w:rsidRPr="00913CB9" w:rsidRDefault="00913CB9" w:rsidP="007664A3">
            <w:pPr>
              <w:rPr>
                <w:lang w:val="vi-VN"/>
              </w:rPr>
            </w:pPr>
            <w:r>
              <w:t>Campuchia</w:t>
            </w:r>
          </w:p>
        </w:tc>
        <w:tc>
          <w:tcPr>
            <w:tcW w:w="2835" w:type="dxa"/>
          </w:tcPr>
          <w:p w14:paraId="56F28B42" w14:textId="77777777" w:rsidR="004A22ED" w:rsidRPr="004F1D15" w:rsidRDefault="004A22ED" w:rsidP="007664A3">
            <w:pPr>
              <w:cnfStyle w:val="000000000000" w:firstRow="0" w:lastRow="0" w:firstColumn="0" w:lastColumn="0" w:oddVBand="0" w:evenVBand="0" w:oddHBand="0" w:evenHBand="0" w:firstRowFirstColumn="0" w:firstRowLastColumn="0" w:lastRowFirstColumn="0" w:lastRowLastColumn="0"/>
            </w:pPr>
            <w:r w:rsidRPr="004F1D15">
              <w:t>29</w:t>
            </w:r>
          </w:p>
        </w:tc>
      </w:tr>
      <w:tr w:rsidR="004A22ED" w:rsidRPr="004F1D15" w14:paraId="2F76795C" w14:textId="77777777" w:rsidTr="006C1C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5CDB6BFA" w14:textId="77777777" w:rsidR="004A22ED" w:rsidRPr="004F1D15" w:rsidRDefault="004A22ED" w:rsidP="007664A3">
            <w:r w:rsidRPr="004F1D15">
              <w:t>Indonesia</w:t>
            </w:r>
          </w:p>
        </w:tc>
        <w:tc>
          <w:tcPr>
            <w:tcW w:w="2835" w:type="dxa"/>
          </w:tcPr>
          <w:p w14:paraId="68CA2EE8" w14:textId="77777777" w:rsidR="004A22ED" w:rsidRPr="004F1D15" w:rsidRDefault="004A22ED" w:rsidP="007664A3">
            <w:pPr>
              <w:cnfStyle w:val="000000100000" w:firstRow="0" w:lastRow="0" w:firstColumn="0" w:lastColumn="0" w:oddVBand="0" w:evenVBand="0" w:oddHBand="1" w:evenHBand="0" w:firstRowFirstColumn="0" w:firstRowLastColumn="0" w:lastRowFirstColumn="0" w:lastRowLastColumn="0"/>
            </w:pPr>
            <w:r w:rsidRPr="004F1D15">
              <w:t>1,194</w:t>
            </w:r>
          </w:p>
        </w:tc>
      </w:tr>
      <w:tr w:rsidR="004A22ED" w:rsidRPr="004F1D15" w14:paraId="65E9CD21" w14:textId="77777777" w:rsidTr="006C1CE1">
        <w:trPr>
          <w:jc w:val="center"/>
        </w:trPr>
        <w:tc>
          <w:tcPr>
            <w:cnfStyle w:val="001000000000" w:firstRow="0" w:lastRow="0" w:firstColumn="1" w:lastColumn="0" w:oddVBand="0" w:evenVBand="0" w:oddHBand="0" w:evenHBand="0" w:firstRowFirstColumn="0" w:firstRowLastColumn="0" w:lastRowFirstColumn="0" w:lastRowLastColumn="0"/>
            <w:tcW w:w="2835" w:type="dxa"/>
          </w:tcPr>
          <w:p w14:paraId="6F1A9AA8" w14:textId="4841B8AC" w:rsidR="004A22ED" w:rsidRPr="00913CB9" w:rsidRDefault="00913CB9" w:rsidP="007664A3">
            <w:pPr>
              <w:rPr>
                <w:lang w:val="vi-VN"/>
              </w:rPr>
            </w:pPr>
            <w:r>
              <w:t>Lào</w:t>
            </w:r>
          </w:p>
        </w:tc>
        <w:tc>
          <w:tcPr>
            <w:tcW w:w="2835" w:type="dxa"/>
          </w:tcPr>
          <w:p w14:paraId="6AAC0FDF" w14:textId="77777777" w:rsidR="004A22ED" w:rsidRPr="004F1D15" w:rsidRDefault="004A22ED" w:rsidP="007664A3">
            <w:pPr>
              <w:cnfStyle w:val="000000000000" w:firstRow="0" w:lastRow="0" w:firstColumn="0" w:lastColumn="0" w:oddVBand="0" w:evenVBand="0" w:oddHBand="0" w:evenHBand="0" w:firstRowFirstColumn="0" w:firstRowLastColumn="0" w:lastRowFirstColumn="0" w:lastRowLastColumn="0"/>
            </w:pPr>
            <w:r w:rsidRPr="004F1D15">
              <w:t>14</w:t>
            </w:r>
          </w:p>
        </w:tc>
      </w:tr>
      <w:tr w:rsidR="004A22ED" w:rsidRPr="004F1D15" w14:paraId="54B71C71" w14:textId="77777777" w:rsidTr="006C1C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556F5323" w14:textId="77777777" w:rsidR="004A22ED" w:rsidRPr="004F1D15" w:rsidRDefault="004A22ED" w:rsidP="007664A3">
            <w:r w:rsidRPr="004F1D15">
              <w:t>Malaysia</w:t>
            </w:r>
          </w:p>
        </w:tc>
        <w:tc>
          <w:tcPr>
            <w:tcW w:w="2835" w:type="dxa"/>
          </w:tcPr>
          <w:p w14:paraId="2AD551FD" w14:textId="77777777" w:rsidR="004A22ED" w:rsidRPr="004F1D15" w:rsidRDefault="004A22ED" w:rsidP="007664A3">
            <w:pPr>
              <w:cnfStyle w:val="000000100000" w:firstRow="0" w:lastRow="0" w:firstColumn="0" w:lastColumn="0" w:oddVBand="0" w:evenVBand="0" w:oddHBand="1" w:evenHBand="0" w:firstRowFirstColumn="0" w:firstRowLastColumn="0" w:lastRowFirstColumn="0" w:lastRowLastColumn="0"/>
            </w:pPr>
            <w:r w:rsidRPr="004F1D15">
              <w:t>1,744</w:t>
            </w:r>
          </w:p>
        </w:tc>
      </w:tr>
      <w:tr w:rsidR="004A22ED" w:rsidRPr="004F1D15" w14:paraId="4C4E4866" w14:textId="77777777" w:rsidTr="006C1CE1">
        <w:trPr>
          <w:jc w:val="center"/>
        </w:trPr>
        <w:tc>
          <w:tcPr>
            <w:cnfStyle w:val="001000000000" w:firstRow="0" w:lastRow="0" w:firstColumn="1" w:lastColumn="0" w:oddVBand="0" w:evenVBand="0" w:oddHBand="0" w:evenHBand="0" w:firstRowFirstColumn="0" w:firstRowLastColumn="0" w:lastRowFirstColumn="0" w:lastRowLastColumn="0"/>
            <w:tcW w:w="2835" w:type="dxa"/>
          </w:tcPr>
          <w:p w14:paraId="0FCB0A79" w14:textId="77777777" w:rsidR="004A22ED" w:rsidRPr="004F1D15" w:rsidRDefault="004A22ED" w:rsidP="007664A3">
            <w:r w:rsidRPr="004F1D15">
              <w:t>Myanmar</w:t>
            </w:r>
          </w:p>
        </w:tc>
        <w:tc>
          <w:tcPr>
            <w:tcW w:w="2835" w:type="dxa"/>
          </w:tcPr>
          <w:p w14:paraId="7B5D7B40" w14:textId="77777777" w:rsidR="004A22ED" w:rsidRPr="004F1D15" w:rsidRDefault="004A22ED" w:rsidP="007664A3">
            <w:pPr>
              <w:cnfStyle w:val="000000000000" w:firstRow="0" w:lastRow="0" w:firstColumn="0" w:lastColumn="0" w:oddVBand="0" w:evenVBand="0" w:oddHBand="0" w:evenHBand="0" w:firstRowFirstColumn="0" w:firstRowLastColumn="0" w:lastRowFirstColumn="0" w:lastRowLastColumn="0"/>
            </w:pPr>
            <w:r w:rsidRPr="004F1D15">
              <w:t>6</w:t>
            </w:r>
          </w:p>
        </w:tc>
      </w:tr>
      <w:tr w:rsidR="004A22ED" w:rsidRPr="004F1D15" w14:paraId="4061CB07" w14:textId="77777777" w:rsidTr="006C1C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723C5E86" w14:textId="77777777" w:rsidR="004A22ED" w:rsidRPr="004F1D15" w:rsidRDefault="004A22ED" w:rsidP="007664A3">
            <w:r w:rsidRPr="004F1D15">
              <w:t>Philippines</w:t>
            </w:r>
          </w:p>
        </w:tc>
        <w:tc>
          <w:tcPr>
            <w:tcW w:w="2835" w:type="dxa"/>
          </w:tcPr>
          <w:p w14:paraId="110322FC" w14:textId="77777777" w:rsidR="004A22ED" w:rsidRPr="004F1D15" w:rsidRDefault="004A22ED" w:rsidP="007664A3">
            <w:pPr>
              <w:cnfStyle w:val="000000100000" w:firstRow="0" w:lastRow="0" w:firstColumn="0" w:lastColumn="0" w:oddVBand="0" w:evenVBand="0" w:oddHBand="1" w:evenHBand="0" w:firstRowFirstColumn="0" w:firstRowLastColumn="0" w:lastRowFirstColumn="0" w:lastRowLastColumn="0"/>
            </w:pPr>
            <w:r w:rsidRPr="004F1D15">
              <w:t>598</w:t>
            </w:r>
          </w:p>
        </w:tc>
      </w:tr>
      <w:tr w:rsidR="004A22ED" w:rsidRPr="004F1D15" w14:paraId="0B7BF080" w14:textId="77777777" w:rsidTr="006C1CE1">
        <w:trPr>
          <w:jc w:val="center"/>
        </w:trPr>
        <w:tc>
          <w:tcPr>
            <w:cnfStyle w:val="001000000000" w:firstRow="0" w:lastRow="0" w:firstColumn="1" w:lastColumn="0" w:oddVBand="0" w:evenVBand="0" w:oddHBand="0" w:evenHBand="0" w:firstRowFirstColumn="0" w:firstRowLastColumn="0" w:lastRowFirstColumn="0" w:lastRowLastColumn="0"/>
            <w:tcW w:w="2835" w:type="dxa"/>
          </w:tcPr>
          <w:p w14:paraId="02B6AF34" w14:textId="77777777" w:rsidR="004A22ED" w:rsidRPr="004F1D15" w:rsidRDefault="004A22ED" w:rsidP="007664A3">
            <w:r w:rsidRPr="004F1D15">
              <w:t xml:space="preserve">Singapore </w:t>
            </w:r>
          </w:p>
        </w:tc>
        <w:tc>
          <w:tcPr>
            <w:tcW w:w="2835" w:type="dxa"/>
          </w:tcPr>
          <w:p w14:paraId="356C0155" w14:textId="77777777" w:rsidR="004A22ED" w:rsidRPr="004F1D15" w:rsidRDefault="004A22ED" w:rsidP="007664A3">
            <w:pPr>
              <w:cnfStyle w:val="000000000000" w:firstRow="0" w:lastRow="0" w:firstColumn="0" w:lastColumn="0" w:oddVBand="0" w:evenVBand="0" w:oddHBand="0" w:evenHBand="0" w:firstRowFirstColumn="0" w:firstRowLastColumn="0" w:lastRowFirstColumn="0" w:lastRowLastColumn="0"/>
            </w:pPr>
            <w:r w:rsidRPr="004F1D15">
              <w:t>10,369</w:t>
            </w:r>
          </w:p>
        </w:tc>
      </w:tr>
      <w:tr w:rsidR="004A22ED" w:rsidRPr="004F1D15" w14:paraId="174841E9" w14:textId="77777777" w:rsidTr="006C1C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2CC62815" w14:textId="3C4E83A5" w:rsidR="004A22ED" w:rsidRPr="00913CB9" w:rsidRDefault="00913CB9" w:rsidP="007664A3">
            <w:pPr>
              <w:rPr>
                <w:lang w:val="vi-VN"/>
              </w:rPr>
            </w:pPr>
            <w:r>
              <w:t>Thái</w:t>
            </w:r>
            <w:r>
              <w:rPr>
                <w:lang w:val="vi-VN"/>
              </w:rPr>
              <w:t xml:space="preserve"> Lan</w:t>
            </w:r>
          </w:p>
        </w:tc>
        <w:tc>
          <w:tcPr>
            <w:tcW w:w="2835" w:type="dxa"/>
          </w:tcPr>
          <w:p w14:paraId="48FC6F57" w14:textId="77777777" w:rsidR="004A22ED" w:rsidRPr="004F1D15" w:rsidRDefault="004A22ED" w:rsidP="007664A3">
            <w:pPr>
              <w:cnfStyle w:val="000000100000" w:firstRow="0" w:lastRow="0" w:firstColumn="0" w:lastColumn="0" w:oddVBand="0" w:evenVBand="0" w:oddHBand="1" w:evenHBand="0" w:firstRowFirstColumn="0" w:firstRowLastColumn="0" w:lastRowFirstColumn="0" w:lastRowLastColumn="0"/>
            </w:pPr>
            <w:r w:rsidRPr="004F1D15">
              <w:t>1,726</w:t>
            </w:r>
          </w:p>
        </w:tc>
      </w:tr>
      <w:tr w:rsidR="004A22ED" w:rsidRPr="004F1D15" w14:paraId="65B14AD9" w14:textId="77777777" w:rsidTr="006C1CE1">
        <w:trPr>
          <w:jc w:val="center"/>
        </w:trPr>
        <w:tc>
          <w:tcPr>
            <w:cnfStyle w:val="001000000000" w:firstRow="0" w:lastRow="0" w:firstColumn="1" w:lastColumn="0" w:oddVBand="0" w:evenVBand="0" w:oddHBand="0" w:evenHBand="0" w:firstRowFirstColumn="0" w:firstRowLastColumn="0" w:lastRowFirstColumn="0" w:lastRowLastColumn="0"/>
            <w:tcW w:w="2835" w:type="dxa"/>
          </w:tcPr>
          <w:p w14:paraId="4A15514C" w14:textId="04E8F3F0" w:rsidR="004A22ED" w:rsidRPr="00913CB9" w:rsidRDefault="00913CB9" w:rsidP="007664A3">
            <w:pPr>
              <w:rPr>
                <w:lang w:val="vi-VN"/>
              </w:rPr>
            </w:pPr>
            <w:r>
              <w:t>Việt</w:t>
            </w:r>
            <w:r>
              <w:rPr>
                <w:lang w:val="vi-VN"/>
              </w:rPr>
              <w:t xml:space="preserve"> </w:t>
            </w:r>
            <w:r w:rsidR="00725EDD">
              <w:rPr>
                <w:lang w:val="vi-VN"/>
              </w:rPr>
              <w:t>Nam</w:t>
            </w:r>
          </w:p>
        </w:tc>
        <w:tc>
          <w:tcPr>
            <w:tcW w:w="2835" w:type="dxa"/>
          </w:tcPr>
          <w:p w14:paraId="2EDCBFA8" w14:textId="77777777" w:rsidR="004A22ED" w:rsidRPr="004F1D15" w:rsidRDefault="004A22ED" w:rsidP="007664A3">
            <w:pPr>
              <w:cnfStyle w:val="000000000000" w:firstRow="0" w:lastRow="0" w:firstColumn="0" w:lastColumn="0" w:oddVBand="0" w:evenVBand="0" w:oddHBand="0" w:evenHBand="0" w:firstRowFirstColumn="0" w:firstRowLastColumn="0" w:lastRowFirstColumn="0" w:lastRowLastColumn="0"/>
            </w:pPr>
            <w:r w:rsidRPr="004F1D15">
              <w:t>285</w:t>
            </w:r>
          </w:p>
        </w:tc>
      </w:tr>
    </w:tbl>
    <w:p w14:paraId="3D81461B" w14:textId="1B465998" w:rsidR="004A22ED" w:rsidRPr="00BE685B" w:rsidRDefault="007677A4" w:rsidP="007664A3">
      <w:pPr>
        <w:rPr>
          <w:i/>
          <w:sz w:val="20"/>
          <w:szCs w:val="20"/>
          <w:lang w:val="fr-FR"/>
        </w:rPr>
      </w:pPr>
      <w:r>
        <w:rPr>
          <w:i/>
          <w:sz w:val="20"/>
          <w:szCs w:val="20"/>
          <w:lang w:val="fr-FR"/>
        </w:rPr>
        <w:t>Nguồn</w:t>
      </w:r>
      <w:r w:rsidR="004A22ED" w:rsidRPr="00BE685B">
        <w:rPr>
          <w:i/>
          <w:sz w:val="20"/>
          <w:szCs w:val="20"/>
          <w:lang w:val="fr-FR"/>
        </w:rPr>
        <w:t xml:space="preserve">: LEI (2024) </w:t>
      </w:r>
      <w:r w:rsidR="001D08E5">
        <w:rPr>
          <w:i/>
          <w:sz w:val="20"/>
          <w:szCs w:val="20"/>
          <w:lang w:val="fr-FR"/>
        </w:rPr>
        <w:t>Thống kê LEI</w:t>
      </w:r>
      <w:r w:rsidR="004A22ED" w:rsidRPr="00BE685B">
        <w:rPr>
          <w:i/>
          <w:sz w:val="20"/>
          <w:szCs w:val="20"/>
          <w:lang w:val="fr-FR"/>
        </w:rPr>
        <w:t xml:space="preserve">, </w:t>
      </w:r>
      <w:hyperlink r:id="rId19">
        <w:r w:rsidR="004A22ED" w:rsidRPr="00BE685B">
          <w:rPr>
            <w:rStyle w:val="Hyperlink"/>
            <w:rFonts w:eastAsia="Quattrocento Sans"/>
            <w:i/>
            <w:color w:val="auto"/>
            <w:sz w:val="20"/>
            <w:szCs w:val="20"/>
            <w:lang w:val="fr-FR"/>
          </w:rPr>
          <w:t>https://www.gleif.org/en/lei-data/global-lei-index/lei-statistics</w:t>
        </w:r>
      </w:hyperlink>
    </w:p>
    <w:p w14:paraId="2BCC113B" w14:textId="07846D80" w:rsidR="004A22ED" w:rsidRPr="00725EDD" w:rsidRDefault="00725EDD" w:rsidP="007664A3">
      <w:pPr>
        <w:rPr>
          <w:i/>
          <w:sz w:val="20"/>
          <w:szCs w:val="20"/>
          <w:lang w:val="vi-VN"/>
        </w:rPr>
      </w:pPr>
      <w:r>
        <w:rPr>
          <w:i/>
          <w:sz w:val="20"/>
          <w:szCs w:val="20"/>
        </w:rPr>
        <w:t>Ghi</w:t>
      </w:r>
      <w:r>
        <w:rPr>
          <w:i/>
          <w:sz w:val="20"/>
          <w:szCs w:val="20"/>
          <w:lang w:val="vi-VN"/>
        </w:rPr>
        <w:t xml:space="preserve"> chú</w:t>
      </w:r>
      <w:r w:rsidR="004A22ED" w:rsidRPr="004F1D15">
        <w:rPr>
          <w:i/>
          <w:sz w:val="20"/>
          <w:szCs w:val="20"/>
        </w:rPr>
        <w:t xml:space="preserve">: </w:t>
      </w:r>
      <w:r w:rsidRPr="00725EDD">
        <w:rPr>
          <w:i/>
          <w:sz w:val="20"/>
          <w:szCs w:val="20"/>
          <w:lang w:val="vi-VN"/>
        </w:rPr>
        <w:t>Do thông tin về mức độ áp dụng LEI trong ASEAN còn hạn chế, chúng tôi cung cấp số lượng LEI đang hoạt động tại mỗi quốc gia thành viên nhằm đưa ra bức tranh tổng quan về tình hình áp dụng LEI hiện nay trong khu vực.</w:t>
      </w:r>
    </w:p>
    <w:p w14:paraId="3262BAAE" w14:textId="3A0A402B" w:rsidR="00725EDD" w:rsidRPr="00725EDD" w:rsidRDefault="00725EDD" w:rsidP="007664A3">
      <w:pPr>
        <w:rPr>
          <w:lang w:val="vi-VN"/>
        </w:rPr>
      </w:pPr>
      <w:r w:rsidRPr="00725EDD">
        <w:rPr>
          <w:lang w:val="vi-VN"/>
        </w:rPr>
        <w:t>Việc áp dụng LEI giữa các nước ASEAN vẫn không đồng đều, chủ yếu do sự khác biệt về khung pháp lý, mức độ sẵn sàng của hạ tầng, và mức độ nhận thức khác nhau của các chủ thể tham gia thị trường.</w:t>
      </w:r>
      <w:r>
        <w:rPr>
          <w:lang w:val="vi-VN"/>
        </w:rPr>
        <w:t xml:space="preserve"> </w:t>
      </w:r>
      <w:r w:rsidRPr="00725EDD">
        <w:rPr>
          <w:lang w:val="vi-VN"/>
        </w:rPr>
        <w:t>Các quốc gia như Brunei, Campuchia, Lào và Myanmar gặp phải nhiều rào cản trong việc áp dụng LEI, bao gồm chi phí chuyển đổi, chi phí triển khai và gia hạn, thách thức trong việc điều chỉnh các hệ thống công nghệ cũ để tích hợp LEI, cũng như quan điểm rằng lợi ích của LEI là chưa rõ ràng</w:t>
      </w:r>
      <w:r w:rsidRPr="004F1D15">
        <w:rPr>
          <w:rStyle w:val="FootnoteReference"/>
          <w:rFonts w:eastAsia="Times New Roman"/>
        </w:rPr>
        <w:footnoteReference w:id="140"/>
      </w:r>
      <w:r w:rsidRPr="00725EDD">
        <w:rPr>
          <w:lang w:val="vi-VN"/>
        </w:rPr>
        <w:t>.</w:t>
      </w:r>
    </w:p>
    <w:p w14:paraId="3A98A280" w14:textId="5F657EC4" w:rsidR="00CE596A" w:rsidRPr="00C615D8" w:rsidRDefault="00C615D8" w:rsidP="00F92675">
      <w:pPr>
        <w:rPr>
          <w:lang w:val="vi-VN"/>
        </w:rPr>
      </w:pPr>
      <w:bookmarkStart w:id="50" w:name="_Ref172120548"/>
      <w:r w:rsidRPr="00C615D8">
        <w:rPr>
          <w:lang w:val="vi-VN"/>
        </w:rPr>
        <w:t>Mã QR đã được áp dụng rộng rãi trong ASEAN và ngày càng trở thành một thành phần quan trọng nhằm tăng cường hội nhập tài chính trong khu vực. Ở từng quốc gia thành viên ASEAN (AMS), chính phủ thông qua các ngân hàng trung ương tương ứng đã áp dụng một tiêu chuẩn mã QR quốc gia dựa trên các tiêu chuẩn khả năng tương tác của EMVCo. Trong khi đó, mức độ tuân thủ tiêu chuẩn ISO/IEC 18004 có sự khác biệt, khi chỉ một số ít AMS bắt buộc áp dụng tiêu chuẩn này như một tiêu chuẩn được chính phủ công nhận. Tình trạng hiện tại của việc áp dụng các tiêu chuẩn mã QR trong ASEAN được trình bày trong Bảng 8 dưới đây.</w:t>
      </w:r>
    </w:p>
    <w:bookmarkEnd w:id="50"/>
    <w:p w14:paraId="4BCBF52C" w14:textId="568D5223" w:rsidR="007D5686" w:rsidRPr="00725EDD" w:rsidRDefault="00725EDD" w:rsidP="006430D5">
      <w:pPr>
        <w:pStyle w:val="Caption"/>
        <w:rPr>
          <w:lang w:val="vi-VN"/>
        </w:rPr>
      </w:pPr>
      <w:r>
        <w:t>Bảng</w:t>
      </w:r>
      <w:r>
        <w:rPr>
          <w:lang w:val="vi-VN"/>
        </w:rPr>
        <w:t xml:space="preserve"> 8. Mức độ áp dụng tiêu chuẩn Mã QR trong ASEAN </w:t>
      </w:r>
    </w:p>
    <w:tbl>
      <w:tblPr>
        <w:tblStyle w:val="ListTable3-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835"/>
        <w:gridCol w:w="2835"/>
      </w:tblGrid>
      <w:tr w:rsidR="008E4A80" w:rsidRPr="004F1D15" w14:paraId="0AAAFD73" w14:textId="77777777" w:rsidTr="00FF503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835" w:type="dxa"/>
            <w:shd w:val="clear" w:color="auto" w:fill="002060"/>
          </w:tcPr>
          <w:p w14:paraId="6A896B54" w14:textId="146CCB04" w:rsidR="007D5686" w:rsidRPr="00BC410F" w:rsidRDefault="00BC410F" w:rsidP="00FF503B">
            <w:pPr>
              <w:jc w:val="center"/>
              <w:rPr>
                <w:color w:val="auto"/>
                <w:lang w:val="vi-VN"/>
              </w:rPr>
            </w:pPr>
            <w:r>
              <w:t>Quốc</w:t>
            </w:r>
            <w:r>
              <w:rPr>
                <w:lang w:val="vi-VN"/>
              </w:rPr>
              <w:t xml:space="preserve"> gia thành viên ASEAN</w:t>
            </w:r>
          </w:p>
        </w:tc>
        <w:tc>
          <w:tcPr>
            <w:tcW w:w="2835" w:type="dxa"/>
            <w:shd w:val="clear" w:color="auto" w:fill="002060"/>
          </w:tcPr>
          <w:p w14:paraId="34E76742" w14:textId="77777777" w:rsidR="007D5686" w:rsidRPr="004F1D15" w:rsidRDefault="007D5686" w:rsidP="00FF503B">
            <w:pPr>
              <w:jc w:val="center"/>
              <w:cnfStyle w:val="100000000000" w:firstRow="1" w:lastRow="0" w:firstColumn="0" w:lastColumn="0" w:oddVBand="0" w:evenVBand="0" w:oddHBand="0" w:evenHBand="0" w:firstRowFirstColumn="0" w:firstRowLastColumn="0" w:lastRowFirstColumn="0" w:lastRowLastColumn="0"/>
              <w:rPr>
                <w:color w:val="auto"/>
              </w:rPr>
            </w:pPr>
            <w:r w:rsidRPr="004F1D15">
              <w:t>ISO /IEC 18004</w:t>
            </w:r>
          </w:p>
        </w:tc>
        <w:tc>
          <w:tcPr>
            <w:tcW w:w="2835" w:type="dxa"/>
            <w:shd w:val="clear" w:color="auto" w:fill="002060"/>
          </w:tcPr>
          <w:p w14:paraId="2C711E7A" w14:textId="77777777" w:rsidR="007D5686" w:rsidRPr="004F1D15" w:rsidRDefault="007D5686" w:rsidP="00FF503B">
            <w:pPr>
              <w:jc w:val="center"/>
              <w:cnfStyle w:val="100000000000" w:firstRow="1" w:lastRow="0" w:firstColumn="0" w:lastColumn="0" w:oddVBand="0" w:evenVBand="0" w:oddHBand="0" w:evenHBand="0" w:firstRowFirstColumn="0" w:firstRowLastColumn="0" w:lastRowFirstColumn="0" w:lastRowLastColumn="0"/>
              <w:rPr>
                <w:color w:val="auto"/>
              </w:rPr>
            </w:pPr>
            <w:r w:rsidRPr="004F1D15">
              <w:t>EMVCo</w:t>
            </w:r>
          </w:p>
        </w:tc>
      </w:tr>
      <w:tr w:rsidR="00A144C8" w:rsidRPr="004F1D15" w14:paraId="64062967" w14:textId="77777777" w:rsidTr="00FB14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5CC9D10F" w14:textId="77777777" w:rsidR="007D5686" w:rsidRPr="004F1D15" w:rsidRDefault="007D5686" w:rsidP="007664A3">
            <w:r w:rsidRPr="004F1D15">
              <w:t>Brunei Darussalam</w:t>
            </w:r>
          </w:p>
        </w:tc>
        <w:tc>
          <w:tcPr>
            <w:tcW w:w="2835" w:type="dxa"/>
          </w:tcPr>
          <w:p w14:paraId="456613B3" w14:textId="09E4FBBE" w:rsidR="007D5686" w:rsidRPr="00956990" w:rsidRDefault="00956990" w:rsidP="007664A3">
            <w:pPr>
              <w:cnfStyle w:val="000000100000" w:firstRow="0" w:lastRow="0" w:firstColumn="0" w:lastColumn="0" w:oddVBand="0" w:evenVBand="0" w:oddHBand="1" w:evenHBand="0" w:firstRowFirstColumn="0" w:firstRowLastColumn="0" w:lastRowFirstColumn="0" w:lastRowLastColumn="0"/>
              <w:rPr>
                <w:lang w:val="vi-VN"/>
              </w:rPr>
            </w:pPr>
            <w:r>
              <w:t>Không</w:t>
            </w:r>
            <w:r>
              <w:rPr>
                <w:lang w:val="vi-VN"/>
              </w:rPr>
              <w:t xml:space="preserve"> có thông tin</w:t>
            </w:r>
          </w:p>
        </w:tc>
        <w:tc>
          <w:tcPr>
            <w:tcW w:w="2835" w:type="dxa"/>
          </w:tcPr>
          <w:p w14:paraId="780E9F67" w14:textId="7B68F04E" w:rsidR="007D5686" w:rsidRPr="00956990" w:rsidRDefault="00956990" w:rsidP="007664A3">
            <w:pPr>
              <w:cnfStyle w:val="000000100000" w:firstRow="0" w:lastRow="0" w:firstColumn="0" w:lastColumn="0" w:oddVBand="0" w:evenVBand="0" w:oddHBand="1" w:evenHBand="0" w:firstRowFirstColumn="0" w:firstRowLastColumn="0" w:lastRowFirstColumn="0" w:lastRowLastColumn="0"/>
              <w:rPr>
                <w:lang w:val="vi-VN"/>
              </w:rPr>
            </w:pPr>
            <w:r>
              <w:t>Đang</w:t>
            </w:r>
            <w:r>
              <w:rPr>
                <w:lang w:val="vi-VN"/>
              </w:rPr>
              <w:t xml:space="preserve"> triển khai các sáng kiến</w:t>
            </w:r>
          </w:p>
        </w:tc>
      </w:tr>
      <w:tr w:rsidR="00A144C8" w:rsidRPr="004F1D15" w14:paraId="23DA211F" w14:textId="77777777" w:rsidTr="00FB14B9">
        <w:trPr>
          <w:jc w:val="center"/>
        </w:trPr>
        <w:tc>
          <w:tcPr>
            <w:cnfStyle w:val="001000000000" w:firstRow="0" w:lastRow="0" w:firstColumn="1" w:lastColumn="0" w:oddVBand="0" w:evenVBand="0" w:oddHBand="0" w:evenHBand="0" w:firstRowFirstColumn="0" w:firstRowLastColumn="0" w:lastRowFirstColumn="0" w:lastRowLastColumn="0"/>
            <w:tcW w:w="2835" w:type="dxa"/>
          </w:tcPr>
          <w:p w14:paraId="5B6F3F57" w14:textId="5597425B" w:rsidR="007D5686" w:rsidRPr="003100F2" w:rsidRDefault="003100F2" w:rsidP="007664A3">
            <w:pPr>
              <w:rPr>
                <w:lang w:val="vi-VN"/>
              </w:rPr>
            </w:pPr>
            <w:r>
              <w:t>Campuchia</w:t>
            </w:r>
          </w:p>
        </w:tc>
        <w:tc>
          <w:tcPr>
            <w:tcW w:w="2835" w:type="dxa"/>
          </w:tcPr>
          <w:p w14:paraId="55DDCE29" w14:textId="786D1C86" w:rsidR="007D5686" w:rsidRPr="00956990" w:rsidRDefault="00956990" w:rsidP="007664A3">
            <w:pPr>
              <w:cnfStyle w:val="000000000000" w:firstRow="0" w:lastRow="0" w:firstColumn="0" w:lastColumn="0" w:oddVBand="0" w:evenVBand="0" w:oddHBand="0" w:evenHBand="0" w:firstRowFirstColumn="0" w:firstRowLastColumn="0" w:lastRowFirstColumn="0" w:lastRowLastColumn="0"/>
              <w:rPr>
                <w:lang w:val="vi-VN"/>
              </w:rPr>
            </w:pPr>
            <w:r>
              <w:rPr>
                <w:lang w:val="vi-VN"/>
              </w:rPr>
              <w:t>Không có thông tin</w:t>
            </w:r>
          </w:p>
        </w:tc>
        <w:tc>
          <w:tcPr>
            <w:tcW w:w="2835" w:type="dxa"/>
          </w:tcPr>
          <w:p w14:paraId="393AE7C4" w14:textId="561C6935" w:rsidR="007D5686" w:rsidRPr="004F1D15" w:rsidRDefault="00956990" w:rsidP="007664A3">
            <w:pPr>
              <w:cnfStyle w:val="000000000000" w:firstRow="0" w:lastRow="0" w:firstColumn="0" w:lastColumn="0" w:oddVBand="0" w:evenVBand="0" w:oddHBand="0" w:evenHBand="0" w:firstRowFirstColumn="0" w:firstRowLastColumn="0" w:lastRowFirstColumn="0" w:lastRowLastColumn="0"/>
            </w:pPr>
            <w:r>
              <w:t>Đã</w:t>
            </w:r>
            <w:r>
              <w:rPr>
                <w:lang w:val="vi-VN"/>
              </w:rPr>
              <w:t xml:space="preserve"> áp dụng</w:t>
            </w:r>
            <w:r w:rsidR="007D5686" w:rsidRPr="004F1D15">
              <w:t xml:space="preserve"> (KHQR)</w:t>
            </w:r>
          </w:p>
        </w:tc>
      </w:tr>
      <w:tr w:rsidR="00A144C8" w:rsidRPr="004F1D15" w14:paraId="364B704B" w14:textId="77777777" w:rsidTr="00FB14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023570B7" w14:textId="77777777" w:rsidR="007D5686" w:rsidRPr="004F1D15" w:rsidRDefault="007D5686" w:rsidP="007664A3">
            <w:r w:rsidRPr="004F1D15">
              <w:lastRenderedPageBreak/>
              <w:t>Indonesia</w:t>
            </w:r>
          </w:p>
        </w:tc>
        <w:tc>
          <w:tcPr>
            <w:tcW w:w="2835" w:type="dxa"/>
          </w:tcPr>
          <w:p w14:paraId="5731D6C6" w14:textId="596B4063" w:rsidR="007D5686" w:rsidRPr="00956990" w:rsidRDefault="00956990" w:rsidP="007664A3">
            <w:pPr>
              <w:cnfStyle w:val="000000100000" w:firstRow="0" w:lastRow="0" w:firstColumn="0" w:lastColumn="0" w:oddVBand="0" w:evenVBand="0" w:oddHBand="1" w:evenHBand="0" w:firstRowFirstColumn="0" w:firstRowLastColumn="0" w:lastRowFirstColumn="0" w:lastRowLastColumn="0"/>
              <w:rPr>
                <w:lang w:val="vi-VN"/>
              </w:rPr>
            </w:pPr>
            <w:r>
              <w:t>Tiêu</w:t>
            </w:r>
            <w:r>
              <w:rPr>
                <w:lang w:val="vi-VN"/>
              </w:rPr>
              <w:t xml:space="preserve"> chuẩn cấp quốc gia </w:t>
            </w:r>
          </w:p>
        </w:tc>
        <w:tc>
          <w:tcPr>
            <w:tcW w:w="2835" w:type="dxa"/>
          </w:tcPr>
          <w:p w14:paraId="2E094FE9" w14:textId="760D75FC" w:rsidR="007D5686" w:rsidRPr="004F1D15" w:rsidRDefault="00956990" w:rsidP="007664A3">
            <w:pPr>
              <w:cnfStyle w:val="000000100000" w:firstRow="0" w:lastRow="0" w:firstColumn="0" w:lastColumn="0" w:oddVBand="0" w:evenVBand="0" w:oddHBand="1" w:evenHBand="0" w:firstRowFirstColumn="0" w:firstRowLastColumn="0" w:lastRowFirstColumn="0" w:lastRowLastColumn="0"/>
            </w:pPr>
            <w:r>
              <w:t>Đã</w:t>
            </w:r>
            <w:r>
              <w:rPr>
                <w:lang w:val="vi-VN"/>
              </w:rPr>
              <w:t xml:space="preserve"> áp dụng với điều </w:t>
            </w:r>
            <w:r w:rsidR="003100F2">
              <w:rPr>
                <w:lang w:val="vi-VN"/>
              </w:rPr>
              <w:t>chỉnh</w:t>
            </w:r>
            <w:r w:rsidR="00E12C8D">
              <w:t xml:space="preserve"> </w:t>
            </w:r>
            <w:r w:rsidR="00E12C8D" w:rsidRPr="00D930EC">
              <w:t>(QRIS)</w:t>
            </w:r>
          </w:p>
        </w:tc>
      </w:tr>
      <w:tr w:rsidR="00A144C8" w:rsidRPr="004F1D15" w14:paraId="2232FB83" w14:textId="77777777" w:rsidTr="00FB14B9">
        <w:trPr>
          <w:jc w:val="center"/>
        </w:trPr>
        <w:tc>
          <w:tcPr>
            <w:cnfStyle w:val="001000000000" w:firstRow="0" w:lastRow="0" w:firstColumn="1" w:lastColumn="0" w:oddVBand="0" w:evenVBand="0" w:oddHBand="0" w:evenHBand="0" w:firstRowFirstColumn="0" w:firstRowLastColumn="0" w:lastRowFirstColumn="0" w:lastRowLastColumn="0"/>
            <w:tcW w:w="2835" w:type="dxa"/>
          </w:tcPr>
          <w:p w14:paraId="071FAE23" w14:textId="1EF8017E" w:rsidR="007D5686" w:rsidRPr="003100F2" w:rsidRDefault="003100F2" w:rsidP="007664A3">
            <w:pPr>
              <w:rPr>
                <w:lang w:val="vi-VN"/>
              </w:rPr>
            </w:pPr>
            <w:r>
              <w:t>Lào</w:t>
            </w:r>
          </w:p>
        </w:tc>
        <w:tc>
          <w:tcPr>
            <w:tcW w:w="2835" w:type="dxa"/>
          </w:tcPr>
          <w:p w14:paraId="656833BA" w14:textId="139BCA55" w:rsidR="007D5686" w:rsidRPr="003100F2" w:rsidRDefault="003100F2" w:rsidP="007664A3">
            <w:pPr>
              <w:cnfStyle w:val="000000000000" w:firstRow="0" w:lastRow="0" w:firstColumn="0" w:lastColumn="0" w:oddVBand="0" w:evenVBand="0" w:oddHBand="0" w:evenHBand="0" w:firstRowFirstColumn="0" w:firstRowLastColumn="0" w:lastRowFirstColumn="0" w:lastRowLastColumn="0"/>
              <w:rPr>
                <w:lang w:val="vi-VN"/>
              </w:rPr>
            </w:pPr>
            <w:r>
              <w:t>Không</w:t>
            </w:r>
            <w:r>
              <w:rPr>
                <w:lang w:val="vi-VN"/>
              </w:rPr>
              <w:t xml:space="preserve"> có thông tin</w:t>
            </w:r>
          </w:p>
        </w:tc>
        <w:tc>
          <w:tcPr>
            <w:tcW w:w="2835" w:type="dxa"/>
          </w:tcPr>
          <w:p w14:paraId="69955D8E" w14:textId="0A4983B5" w:rsidR="007D5686" w:rsidRPr="004F1D15" w:rsidRDefault="003100F2" w:rsidP="007664A3">
            <w:pPr>
              <w:cnfStyle w:val="000000000000" w:firstRow="0" w:lastRow="0" w:firstColumn="0" w:lastColumn="0" w:oddVBand="0" w:evenVBand="0" w:oddHBand="0" w:evenHBand="0" w:firstRowFirstColumn="0" w:firstRowLastColumn="0" w:lastRowFirstColumn="0" w:lastRowLastColumn="0"/>
            </w:pPr>
            <w:r>
              <w:t>Đã</w:t>
            </w:r>
            <w:r>
              <w:rPr>
                <w:lang w:val="vi-VN"/>
              </w:rPr>
              <w:t xml:space="preserve"> áp dụng</w:t>
            </w:r>
            <w:r w:rsidR="007D5686" w:rsidRPr="004F1D15">
              <w:t xml:space="preserve"> (Lao QR)</w:t>
            </w:r>
          </w:p>
        </w:tc>
      </w:tr>
      <w:tr w:rsidR="00A144C8" w:rsidRPr="004F1D15" w14:paraId="2B975CD2" w14:textId="77777777" w:rsidTr="00FB14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18E78BC9" w14:textId="77777777" w:rsidR="007D5686" w:rsidRPr="004F1D15" w:rsidRDefault="007D5686" w:rsidP="007664A3">
            <w:r w:rsidRPr="004F1D15">
              <w:t>Malaysia</w:t>
            </w:r>
          </w:p>
        </w:tc>
        <w:tc>
          <w:tcPr>
            <w:tcW w:w="2835" w:type="dxa"/>
          </w:tcPr>
          <w:p w14:paraId="05EA6488" w14:textId="1CD26E16" w:rsidR="007D5686" w:rsidRPr="003100F2" w:rsidRDefault="003100F2" w:rsidP="007664A3">
            <w:pPr>
              <w:cnfStyle w:val="000000100000" w:firstRow="0" w:lastRow="0" w:firstColumn="0" w:lastColumn="0" w:oddVBand="0" w:evenVBand="0" w:oddHBand="1" w:evenHBand="0" w:firstRowFirstColumn="0" w:firstRowLastColumn="0" w:lastRowFirstColumn="0" w:lastRowLastColumn="0"/>
              <w:rPr>
                <w:lang w:val="vi-VN"/>
              </w:rPr>
            </w:pPr>
            <w:r>
              <w:t>Không</w:t>
            </w:r>
            <w:r>
              <w:rPr>
                <w:lang w:val="vi-VN"/>
              </w:rPr>
              <w:t xml:space="preserve"> có thông tin</w:t>
            </w:r>
          </w:p>
        </w:tc>
        <w:tc>
          <w:tcPr>
            <w:tcW w:w="2835" w:type="dxa"/>
          </w:tcPr>
          <w:p w14:paraId="0C1F65F7" w14:textId="3053E2E6" w:rsidR="007D5686" w:rsidRPr="004F1D15" w:rsidRDefault="003100F2" w:rsidP="007664A3">
            <w:pPr>
              <w:cnfStyle w:val="000000100000" w:firstRow="0" w:lastRow="0" w:firstColumn="0" w:lastColumn="0" w:oddVBand="0" w:evenVBand="0" w:oddHBand="1" w:evenHBand="0" w:firstRowFirstColumn="0" w:firstRowLastColumn="0" w:lastRowFirstColumn="0" w:lastRowLastColumn="0"/>
            </w:pPr>
            <w:r>
              <w:t>Đã</w:t>
            </w:r>
            <w:r>
              <w:rPr>
                <w:lang w:val="vi-VN"/>
              </w:rPr>
              <w:t xml:space="preserve"> áp dụng</w:t>
            </w:r>
            <w:r w:rsidR="007D5686" w:rsidRPr="004F1D15">
              <w:t xml:space="preserve"> (DuitNow</w:t>
            </w:r>
            <w:r w:rsidR="005F7A93">
              <w:t xml:space="preserve"> </w:t>
            </w:r>
            <w:r w:rsidR="005F7A93" w:rsidRPr="00A83270">
              <w:t>QR</w:t>
            </w:r>
            <w:r w:rsidR="007D5686" w:rsidRPr="004F1D15">
              <w:t>)</w:t>
            </w:r>
          </w:p>
        </w:tc>
      </w:tr>
      <w:tr w:rsidR="00A144C8" w:rsidRPr="004F1D15" w14:paraId="4B7DD4E1" w14:textId="77777777" w:rsidTr="00FB14B9">
        <w:trPr>
          <w:jc w:val="center"/>
        </w:trPr>
        <w:tc>
          <w:tcPr>
            <w:cnfStyle w:val="001000000000" w:firstRow="0" w:lastRow="0" w:firstColumn="1" w:lastColumn="0" w:oddVBand="0" w:evenVBand="0" w:oddHBand="0" w:evenHBand="0" w:firstRowFirstColumn="0" w:firstRowLastColumn="0" w:lastRowFirstColumn="0" w:lastRowLastColumn="0"/>
            <w:tcW w:w="2835" w:type="dxa"/>
          </w:tcPr>
          <w:p w14:paraId="68D09E95" w14:textId="77777777" w:rsidR="007D5686" w:rsidRPr="004F1D15" w:rsidRDefault="007D5686" w:rsidP="007664A3">
            <w:r w:rsidRPr="004F1D15">
              <w:t>Myanmar</w:t>
            </w:r>
          </w:p>
        </w:tc>
        <w:tc>
          <w:tcPr>
            <w:tcW w:w="2835" w:type="dxa"/>
          </w:tcPr>
          <w:p w14:paraId="2660A01C" w14:textId="7E1A5FBA" w:rsidR="007D5686" w:rsidRPr="003100F2" w:rsidRDefault="003100F2" w:rsidP="007664A3">
            <w:pPr>
              <w:cnfStyle w:val="000000000000" w:firstRow="0" w:lastRow="0" w:firstColumn="0" w:lastColumn="0" w:oddVBand="0" w:evenVBand="0" w:oddHBand="0" w:evenHBand="0" w:firstRowFirstColumn="0" w:firstRowLastColumn="0" w:lastRowFirstColumn="0" w:lastRowLastColumn="0"/>
              <w:rPr>
                <w:lang w:val="vi-VN"/>
              </w:rPr>
            </w:pPr>
            <w:r>
              <w:t>Không</w:t>
            </w:r>
            <w:r>
              <w:rPr>
                <w:lang w:val="vi-VN"/>
              </w:rPr>
              <w:t xml:space="preserve"> có thông tin </w:t>
            </w:r>
          </w:p>
        </w:tc>
        <w:tc>
          <w:tcPr>
            <w:tcW w:w="2835" w:type="dxa"/>
          </w:tcPr>
          <w:p w14:paraId="63EB0DD0" w14:textId="11484AB6" w:rsidR="007D5686" w:rsidRPr="004F1D15" w:rsidRDefault="003100F2" w:rsidP="007664A3">
            <w:pPr>
              <w:cnfStyle w:val="000000000000" w:firstRow="0" w:lastRow="0" w:firstColumn="0" w:lastColumn="0" w:oddVBand="0" w:evenVBand="0" w:oddHBand="0" w:evenHBand="0" w:firstRowFirstColumn="0" w:firstRowLastColumn="0" w:lastRowFirstColumn="0" w:lastRowLastColumn="0"/>
            </w:pPr>
            <w:r>
              <w:t>Sẽ</w:t>
            </w:r>
            <w:r>
              <w:rPr>
                <w:lang w:val="vi-VN"/>
              </w:rPr>
              <w:t xml:space="preserve"> được áp dụng</w:t>
            </w:r>
            <w:r w:rsidR="007D5686" w:rsidRPr="004F1D15">
              <w:t xml:space="preserve"> (MMQR)</w:t>
            </w:r>
          </w:p>
        </w:tc>
      </w:tr>
      <w:tr w:rsidR="00A144C8" w:rsidRPr="004F1D15" w14:paraId="4674947C" w14:textId="77777777" w:rsidTr="00FB14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355CA04B" w14:textId="77777777" w:rsidR="007D5686" w:rsidRPr="004F1D15" w:rsidRDefault="007D5686" w:rsidP="007664A3">
            <w:r w:rsidRPr="004F1D15">
              <w:t>Philippines</w:t>
            </w:r>
          </w:p>
        </w:tc>
        <w:tc>
          <w:tcPr>
            <w:tcW w:w="2835" w:type="dxa"/>
          </w:tcPr>
          <w:p w14:paraId="3D7E2DF2" w14:textId="290F2A90" w:rsidR="007D5686" w:rsidRPr="004F1D15" w:rsidRDefault="00BC410F" w:rsidP="007664A3">
            <w:pPr>
              <w:cnfStyle w:val="000000100000" w:firstRow="0" w:lastRow="0" w:firstColumn="0" w:lastColumn="0" w:oddVBand="0" w:evenVBand="0" w:oddHBand="1" w:evenHBand="0" w:firstRowFirstColumn="0" w:firstRowLastColumn="0" w:lastRowFirstColumn="0" w:lastRowLastColumn="0"/>
            </w:pPr>
            <w:r>
              <w:rPr>
                <w:lang w:val="vi-VN"/>
              </w:rPr>
              <w:t>Tiêu chuẩn cấp quốc gia</w:t>
            </w:r>
          </w:p>
        </w:tc>
        <w:tc>
          <w:tcPr>
            <w:tcW w:w="2835" w:type="dxa"/>
          </w:tcPr>
          <w:p w14:paraId="2CB56871" w14:textId="2D255038" w:rsidR="007D5686" w:rsidRPr="004F1D15" w:rsidRDefault="003100F2" w:rsidP="007664A3">
            <w:pPr>
              <w:cnfStyle w:val="000000100000" w:firstRow="0" w:lastRow="0" w:firstColumn="0" w:lastColumn="0" w:oddVBand="0" w:evenVBand="0" w:oddHBand="1" w:evenHBand="0" w:firstRowFirstColumn="0" w:firstRowLastColumn="0" w:lastRowFirstColumn="0" w:lastRowLastColumn="0"/>
            </w:pPr>
            <w:r>
              <w:t>Đã</w:t>
            </w:r>
            <w:r>
              <w:rPr>
                <w:lang w:val="vi-VN"/>
              </w:rPr>
              <w:t xml:space="preserve"> áp dụng </w:t>
            </w:r>
            <w:r w:rsidR="007D5686" w:rsidRPr="004F1D15">
              <w:t>(QRPh)</w:t>
            </w:r>
          </w:p>
        </w:tc>
      </w:tr>
      <w:tr w:rsidR="00A144C8" w:rsidRPr="004F1D15" w14:paraId="3872C217" w14:textId="77777777" w:rsidTr="00FB14B9">
        <w:trPr>
          <w:jc w:val="center"/>
        </w:trPr>
        <w:tc>
          <w:tcPr>
            <w:cnfStyle w:val="001000000000" w:firstRow="0" w:lastRow="0" w:firstColumn="1" w:lastColumn="0" w:oddVBand="0" w:evenVBand="0" w:oddHBand="0" w:evenHBand="0" w:firstRowFirstColumn="0" w:firstRowLastColumn="0" w:lastRowFirstColumn="0" w:lastRowLastColumn="0"/>
            <w:tcW w:w="2835" w:type="dxa"/>
          </w:tcPr>
          <w:p w14:paraId="0171464C" w14:textId="77777777" w:rsidR="007D5686" w:rsidRPr="004F1D15" w:rsidRDefault="007D5686" w:rsidP="007664A3">
            <w:r w:rsidRPr="004F1D15">
              <w:t xml:space="preserve">Singapore </w:t>
            </w:r>
          </w:p>
        </w:tc>
        <w:tc>
          <w:tcPr>
            <w:tcW w:w="2835" w:type="dxa"/>
          </w:tcPr>
          <w:p w14:paraId="71A27EA3" w14:textId="042E05B3" w:rsidR="007D5686" w:rsidRPr="004F1D15" w:rsidRDefault="00BC410F" w:rsidP="007664A3">
            <w:pPr>
              <w:cnfStyle w:val="000000000000" w:firstRow="0" w:lastRow="0" w:firstColumn="0" w:lastColumn="0" w:oddVBand="0" w:evenVBand="0" w:oddHBand="0" w:evenHBand="0" w:firstRowFirstColumn="0" w:firstRowLastColumn="0" w:lastRowFirstColumn="0" w:lastRowLastColumn="0"/>
            </w:pPr>
            <w:r>
              <w:rPr>
                <w:lang w:val="vi-VN"/>
              </w:rPr>
              <w:t>Tiêu chuẩn cấp quốc gia</w:t>
            </w:r>
          </w:p>
        </w:tc>
        <w:tc>
          <w:tcPr>
            <w:tcW w:w="2835" w:type="dxa"/>
          </w:tcPr>
          <w:p w14:paraId="01E139CB" w14:textId="0AFA95DB" w:rsidR="007D5686" w:rsidRPr="004F1D15" w:rsidRDefault="003100F2" w:rsidP="007664A3">
            <w:pPr>
              <w:cnfStyle w:val="000000000000" w:firstRow="0" w:lastRow="0" w:firstColumn="0" w:lastColumn="0" w:oddVBand="0" w:evenVBand="0" w:oddHBand="0" w:evenHBand="0" w:firstRowFirstColumn="0" w:firstRowLastColumn="0" w:lastRowFirstColumn="0" w:lastRowLastColumn="0"/>
            </w:pPr>
            <w:r>
              <w:t>Đã</w:t>
            </w:r>
            <w:r>
              <w:rPr>
                <w:lang w:val="vi-VN"/>
              </w:rPr>
              <w:t xml:space="preserve"> áp dụng</w:t>
            </w:r>
            <w:r w:rsidR="007D5686" w:rsidRPr="004F1D15">
              <w:t xml:space="preserve"> (SGQR)</w:t>
            </w:r>
          </w:p>
        </w:tc>
      </w:tr>
      <w:tr w:rsidR="00A144C8" w:rsidRPr="004F1D15" w14:paraId="5F7BE55E" w14:textId="77777777" w:rsidTr="00FB14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258CBFAE" w14:textId="1CDDA000" w:rsidR="007D5686" w:rsidRPr="00BC410F" w:rsidRDefault="00BC410F" w:rsidP="007664A3">
            <w:pPr>
              <w:rPr>
                <w:lang w:val="vi-VN"/>
              </w:rPr>
            </w:pPr>
            <w:r>
              <w:t>Thái</w:t>
            </w:r>
            <w:r>
              <w:rPr>
                <w:lang w:val="vi-VN"/>
              </w:rPr>
              <w:t xml:space="preserve"> Lan</w:t>
            </w:r>
          </w:p>
        </w:tc>
        <w:tc>
          <w:tcPr>
            <w:tcW w:w="2835" w:type="dxa"/>
          </w:tcPr>
          <w:p w14:paraId="23A24018" w14:textId="759DE8BC" w:rsidR="007D5686" w:rsidRPr="004F1D15" w:rsidRDefault="00BC410F" w:rsidP="007664A3">
            <w:pPr>
              <w:cnfStyle w:val="000000100000" w:firstRow="0" w:lastRow="0" w:firstColumn="0" w:lastColumn="0" w:oddVBand="0" w:evenVBand="0" w:oddHBand="1" w:evenHBand="0" w:firstRowFirstColumn="0" w:firstRowLastColumn="0" w:lastRowFirstColumn="0" w:lastRowLastColumn="0"/>
            </w:pPr>
            <w:r>
              <w:rPr>
                <w:lang w:val="vi-VN"/>
              </w:rPr>
              <w:t>Tiêu chuẩn cấp quốc gia</w:t>
            </w:r>
          </w:p>
        </w:tc>
        <w:tc>
          <w:tcPr>
            <w:tcW w:w="2835" w:type="dxa"/>
          </w:tcPr>
          <w:p w14:paraId="22818FF1" w14:textId="5D84E067" w:rsidR="007D5686" w:rsidRPr="004F1D15" w:rsidRDefault="003100F2" w:rsidP="007664A3">
            <w:pPr>
              <w:cnfStyle w:val="000000100000" w:firstRow="0" w:lastRow="0" w:firstColumn="0" w:lastColumn="0" w:oddVBand="0" w:evenVBand="0" w:oddHBand="1" w:evenHBand="0" w:firstRowFirstColumn="0" w:firstRowLastColumn="0" w:lastRowFirstColumn="0" w:lastRowLastColumn="0"/>
            </w:pPr>
            <w:r>
              <w:t>Đã</w:t>
            </w:r>
            <w:r>
              <w:rPr>
                <w:lang w:val="vi-VN"/>
              </w:rPr>
              <w:t xml:space="preserve"> áp dụng</w:t>
            </w:r>
            <w:r w:rsidR="007D5686" w:rsidRPr="004F1D15">
              <w:t xml:space="preserve"> (PromptPay)</w:t>
            </w:r>
          </w:p>
        </w:tc>
      </w:tr>
      <w:tr w:rsidR="00A144C8" w:rsidRPr="004F1D15" w14:paraId="1234889E" w14:textId="77777777" w:rsidTr="00FB14B9">
        <w:trPr>
          <w:jc w:val="center"/>
        </w:trPr>
        <w:tc>
          <w:tcPr>
            <w:cnfStyle w:val="001000000000" w:firstRow="0" w:lastRow="0" w:firstColumn="1" w:lastColumn="0" w:oddVBand="0" w:evenVBand="0" w:oddHBand="0" w:evenHBand="0" w:firstRowFirstColumn="0" w:firstRowLastColumn="0" w:lastRowFirstColumn="0" w:lastRowLastColumn="0"/>
            <w:tcW w:w="2835" w:type="dxa"/>
          </w:tcPr>
          <w:p w14:paraId="2F1B38AB" w14:textId="6907AB07" w:rsidR="007D5686" w:rsidRPr="00BC410F" w:rsidRDefault="00BC410F" w:rsidP="007664A3">
            <w:pPr>
              <w:rPr>
                <w:lang w:val="vi-VN"/>
              </w:rPr>
            </w:pPr>
            <w:r>
              <w:t>Việt</w:t>
            </w:r>
            <w:r>
              <w:rPr>
                <w:lang w:val="vi-VN"/>
              </w:rPr>
              <w:t xml:space="preserve"> Nam</w:t>
            </w:r>
          </w:p>
        </w:tc>
        <w:tc>
          <w:tcPr>
            <w:tcW w:w="2835" w:type="dxa"/>
          </w:tcPr>
          <w:p w14:paraId="4259B2B7" w14:textId="4CD49634" w:rsidR="007D5686" w:rsidRPr="003100F2" w:rsidRDefault="003100F2" w:rsidP="007664A3">
            <w:pPr>
              <w:cnfStyle w:val="000000000000" w:firstRow="0" w:lastRow="0" w:firstColumn="0" w:lastColumn="0" w:oddVBand="0" w:evenVBand="0" w:oddHBand="0" w:evenHBand="0" w:firstRowFirstColumn="0" w:firstRowLastColumn="0" w:lastRowFirstColumn="0" w:lastRowLastColumn="0"/>
              <w:rPr>
                <w:lang w:val="vi-VN"/>
              </w:rPr>
            </w:pPr>
            <w:r>
              <w:rPr>
                <w:lang w:val="vi-VN"/>
              </w:rPr>
              <w:t xml:space="preserve">Tiêu chuẩn cấp quốc gia </w:t>
            </w:r>
          </w:p>
        </w:tc>
        <w:tc>
          <w:tcPr>
            <w:tcW w:w="2835" w:type="dxa"/>
          </w:tcPr>
          <w:p w14:paraId="0629F1F9" w14:textId="0C47CBAB" w:rsidR="007D5686" w:rsidRPr="004F1D15" w:rsidRDefault="003100F2" w:rsidP="007664A3">
            <w:pPr>
              <w:cnfStyle w:val="000000000000" w:firstRow="0" w:lastRow="0" w:firstColumn="0" w:lastColumn="0" w:oddVBand="0" w:evenVBand="0" w:oddHBand="0" w:evenHBand="0" w:firstRowFirstColumn="0" w:firstRowLastColumn="0" w:lastRowFirstColumn="0" w:lastRowLastColumn="0"/>
            </w:pPr>
            <w:r>
              <w:t>Đã</w:t>
            </w:r>
            <w:r>
              <w:rPr>
                <w:lang w:val="vi-VN"/>
              </w:rPr>
              <w:t xml:space="preserve"> áp dụng</w:t>
            </w:r>
            <w:r w:rsidR="007D5686" w:rsidRPr="004F1D15">
              <w:t xml:space="preserve"> (VietQR)</w:t>
            </w:r>
          </w:p>
        </w:tc>
      </w:tr>
    </w:tbl>
    <w:p w14:paraId="41569930" w14:textId="366155E9" w:rsidR="002E4417" w:rsidRPr="00E867AB" w:rsidRDefault="00E867AB" w:rsidP="002E4417">
      <w:pPr>
        <w:rPr>
          <w:i/>
          <w:sz w:val="20"/>
          <w:szCs w:val="20"/>
          <w:lang w:val="vi-VN"/>
        </w:rPr>
      </w:pPr>
      <w:r>
        <w:rPr>
          <w:i/>
          <w:sz w:val="20"/>
          <w:szCs w:val="20"/>
        </w:rPr>
        <w:t>Nguồn</w:t>
      </w:r>
      <w:r w:rsidR="007D5686" w:rsidRPr="004F1D15">
        <w:rPr>
          <w:i/>
          <w:sz w:val="20"/>
          <w:szCs w:val="20"/>
        </w:rPr>
        <w:t xml:space="preserve">: </w:t>
      </w:r>
      <w:r w:rsidRPr="00E867AB">
        <w:rPr>
          <w:i/>
          <w:sz w:val="20"/>
          <w:szCs w:val="20"/>
          <w:lang w:val="vi-VN"/>
        </w:rPr>
        <w:t>Phân tích của Access Partnership từ các nguồn công khai</w:t>
      </w:r>
      <w:r w:rsidRPr="004F1D15">
        <w:rPr>
          <w:rStyle w:val="FootnoteReference"/>
          <w:rFonts w:eastAsia="Quattrocento Sans"/>
          <w:i/>
          <w:sz w:val="20"/>
          <w:szCs w:val="20"/>
        </w:rPr>
        <w:footnoteReference w:id="141"/>
      </w:r>
      <w:r w:rsidRPr="00E867AB">
        <w:rPr>
          <w:i/>
          <w:sz w:val="20"/>
          <w:szCs w:val="20"/>
          <w:lang w:val="vi-VN"/>
        </w:rPr>
        <w:t xml:space="preserve"> và phản hồi tại Diễn đàn Tham vấn Khu vực ngày 29/08/2024</w:t>
      </w:r>
    </w:p>
    <w:p w14:paraId="779248E4" w14:textId="3D4F42C9" w:rsidR="009F723D" w:rsidRPr="00073C0D" w:rsidRDefault="0005762C" w:rsidP="009F723D">
      <w:r w:rsidRPr="0005762C">
        <w:t>Các kết nối thanh toán xuyên biên giới trong khu vực giữa các nước ASEAN đã được thiết lập mạnh mẽ nhằm cho phép người dân thanh toán hàng hóa và dịch vụ bằng đồng nội tệ thông qua mã QR</w:t>
      </w:r>
      <w:r w:rsidR="002C0F22" w:rsidRPr="00073C0D">
        <w:t>.</w:t>
      </w:r>
      <w:r w:rsidR="002C0F22" w:rsidRPr="00073C0D">
        <w:rPr>
          <w:rStyle w:val="FootnoteReference"/>
          <w:rFonts w:eastAsia="Times New Roman"/>
        </w:rPr>
        <w:footnoteReference w:id="142"/>
      </w:r>
      <w:r w:rsidR="002C0F22" w:rsidRPr="00073C0D">
        <w:t xml:space="preserve"> </w:t>
      </w:r>
      <w:r w:rsidRPr="0005762C">
        <w:t>Brunei, Campuchia, Indonesia, Lào, Malaysia, Thái Lan, Singapore và Việt Nam đã thiết lập các kết nối này thông qua Sáng kiến Kết nối Thanh toán Khu vực (RPC), và các quốc gia thành viên khác dự kiến sẽ sớm triển khai</w:t>
      </w:r>
      <w:r w:rsidR="009F723D" w:rsidRPr="00073C0D">
        <w:t>.</w:t>
      </w:r>
      <w:r w:rsidR="00475ED7" w:rsidRPr="00073C0D">
        <w:rPr>
          <w:rStyle w:val="FootnoteReference"/>
          <w:rFonts w:eastAsia="Times New Roman"/>
        </w:rPr>
        <w:footnoteReference w:id="143"/>
      </w:r>
      <w:r w:rsidR="009F723D" w:rsidRPr="00073C0D">
        <w:t xml:space="preserve"> </w:t>
      </w:r>
    </w:p>
    <w:p w14:paraId="3C305A64" w14:textId="33E02319" w:rsidR="0005762C" w:rsidRPr="0005762C" w:rsidRDefault="0005762C" w:rsidP="007664A3">
      <w:pPr>
        <w:rPr>
          <w:lang w:val="vi-VN"/>
        </w:rPr>
      </w:pPr>
      <w:r w:rsidRPr="0005762C">
        <w:rPr>
          <w:lang w:val="vi-VN"/>
        </w:rPr>
        <w:t>Tuy nhiên, thách thức chính trong việc áp dụng mã QR là đảm bảo an toàn và bảo mật mạnh mẽ để giảm thiểu các rủi ro như gian lận, đồng thời nâng cao nhận thức cộng đồng về tính khả dụng và cách sử dụng đúng.</w:t>
      </w:r>
      <w:r>
        <w:rPr>
          <w:lang w:val="vi-VN"/>
        </w:rPr>
        <w:t xml:space="preserve"> </w:t>
      </w:r>
      <w:r w:rsidRPr="0005762C">
        <w:rPr>
          <w:lang w:val="vi-VN"/>
        </w:rPr>
        <w:t xml:space="preserve">Việc đảm bảo các giao thức bảo mật vững chắc là rất quan trọng, vì mã QR bị giả mạo </w:t>
      </w:r>
      <w:r w:rsidRPr="0005762C">
        <w:rPr>
          <w:lang w:val="vi-VN"/>
        </w:rPr>
        <w:lastRenderedPageBreak/>
        <w:t>có thể dẫn đến giao dịch trái phép hoặc chuyển hướng người dùng đến các trang web độc hại, tạo ra rủi ro vi phạm an ninh và gian lận đáng kể.</w:t>
      </w:r>
      <w:r>
        <w:rPr>
          <w:lang w:val="vi-VN"/>
        </w:rPr>
        <w:t xml:space="preserve"> </w:t>
      </w:r>
      <w:r w:rsidRPr="0005762C">
        <w:rPr>
          <w:lang w:val="vi-VN"/>
        </w:rPr>
        <w:t>Bên cạnh đó, việc giáo dục người dân về cách sử dụng dịch vụ mới này một cách an toàn và hiệu quả là yếu tố then chốt để thúc đẩy áp dụng thành công.</w:t>
      </w:r>
      <w:r>
        <w:rPr>
          <w:lang w:val="vi-VN"/>
        </w:rPr>
        <w:t xml:space="preserve"> </w:t>
      </w:r>
      <w:r w:rsidRPr="0005762C">
        <w:rPr>
          <w:lang w:val="vi-VN"/>
        </w:rPr>
        <w:t>Hướng dẫn rõ ràng về việc sử dụng dịch vụ an toàn và hiệu quả không chỉ giúp ngăn chặn lạm dụng mà còn xây dựng niềm tin của người dùng, yếu tố quan trọng cho việc mở rộng thanh toán số.</w:t>
      </w:r>
    </w:p>
    <w:p w14:paraId="38E8A74F" w14:textId="30BC673A" w:rsidR="0025605D" w:rsidRPr="004F1D15" w:rsidRDefault="00D80C38" w:rsidP="00C82E40">
      <w:pPr>
        <w:pStyle w:val="ListParagraph"/>
        <w:numPr>
          <w:ilvl w:val="0"/>
          <w:numId w:val="24"/>
        </w:numPr>
        <w:rPr>
          <w:rFonts w:ascii="Arial" w:eastAsia="Quattrocento Sans" w:hAnsi="Arial"/>
          <w:b/>
          <w:color w:val="auto"/>
          <w:lang w:val="en-GB" w:eastAsia="zh-CN"/>
        </w:rPr>
      </w:pPr>
      <w:r w:rsidRPr="00D80C38">
        <w:rPr>
          <w:rFonts w:ascii="Arial" w:eastAsia="Quattrocento Sans" w:hAnsi="Arial"/>
          <w:b/>
          <w:color w:val="auto"/>
          <w:lang w:val="en-GB" w:eastAsia="zh-CN"/>
        </w:rPr>
        <w:t>Liên kết với các phân khu vực khác / Các lưu ý khác</w:t>
      </w:r>
    </w:p>
    <w:p w14:paraId="658C4FC2" w14:textId="506A15A7" w:rsidR="005F57DF" w:rsidRPr="00D80C38" w:rsidRDefault="00D80C38" w:rsidP="007664A3">
      <w:pPr>
        <w:rPr>
          <w:lang w:val="vi-VN"/>
        </w:rPr>
      </w:pPr>
      <w:r w:rsidRPr="00D80C38">
        <w:rPr>
          <w:lang w:val="vi-VN"/>
        </w:rPr>
        <w:t>Việc mở rộng thương mại điện tử xuyên biên giới thúc đẩy nhu cầu về các giải pháp thanh toán hiệu quả, qua đó đẩy nhanh việc áp dụng mã QR và các công nghệ thanh toán xuyên biên giới khác trong ASEAN. Những động lực này nhấn mạnh vai trò quan trọng của thanh toán xuyên biên giới trong việc thúc đẩy kết nối kinh tế trong khu vực.</w:t>
      </w:r>
    </w:p>
    <w:p w14:paraId="15C89FDB" w14:textId="268F7C7A" w:rsidR="00267F17" w:rsidRPr="004F1D15" w:rsidRDefault="00D80C38" w:rsidP="00267F17">
      <w:pPr>
        <w:pStyle w:val="Heading3"/>
        <w:rPr>
          <w:lang w:val="en-GB"/>
        </w:rPr>
      </w:pPr>
      <w:r>
        <w:rPr>
          <w:lang w:val="en-GB"/>
        </w:rPr>
        <w:t>Niềm</w:t>
      </w:r>
      <w:r>
        <w:rPr>
          <w:lang w:val="vi-VN"/>
        </w:rPr>
        <w:t xml:space="preserve"> tin Số</w:t>
      </w:r>
    </w:p>
    <w:p w14:paraId="4CA9536C" w14:textId="28DCAED7" w:rsidR="00267F17" w:rsidRPr="004F1D15" w:rsidRDefault="00D80C38" w:rsidP="00FF6387">
      <w:pPr>
        <w:pStyle w:val="ListParagraph"/>
        <w:numPr>
          <w:ilvl w:val="0"/>
          <w:numId w:val="30"/>
        </w:numPr>
        <w:rPr>
          <w:rFonts w:ascii="Arial" w:eastAsia="Quattrocento Sans" w:hAnsi="Arial"/>
          <w:b/>
          <w:color w:val="auto"/>
          <w:lang w:val="en-GB" w:eastAsia="zh-CN"/>
        </w:rPr>
      </w:pPr>
      <w:r>
        <w:rPr>
          <w:rFonts w:ascii="Arial" w:eastAsia="Quattrocento Sans" w:hAnsi="Arial"/>
          <w:b/>
          <w:color w:val="auto"/>
          <w:lang w:val="en-GB" w:eastAsia="zh-CN"/>
        </w:rPr>
        <w:t>Tầm</w:t>
      </w:r>
      <w:r>
        <w:rPr>
          <w:rFonts w:ascii="Arial" w:eastAsia="Quattrocento Sans" w:hAnsi="Arial"/>
          <w:b/>
          <w:color w:val="auto"/>
          <w:lang w:val="vi-VN" w:eastAsia="zh-CN"/>
        </w:rPr>
        <w:t xml:space="preserve"> quan trọng của lĩnh vực được xác định đối với thương mại số của ASEAN</w:t>
      </w:r>
    </w:p>
    <w:p w14:paraId="628FB59F" w14:textId="7760D919" w:rsidR="00890D24" w:rsidRPr="00890D24" w:rsidRDefault="00890D24" w:rsidP="007664A3">
      <w:pPr>
        <w:rPr>
          <w:lang w:val="vi-VN"/>
        </w:rPr>
      </w:pPr>
      <w:r w:rsidRPr="00890D24">
        <w:rPr>
          <w:lang w:val="vi-VN"/>
        </w:rPr>
        <w:t>Sự mở rộng của nền kinh tế số ASEAN đang thúc đẩy gia tăng thương mại số, với nền tảng là lượng lớn dòng dữ liệu xuyên biên giới bao gồm dữ liệu cá nhân, xã hội và dữ liệu kinh doanh. Khi các luồng dữ liệu xuyên biên giới trong khu vực gia tăng, nhu cầu cấp thiết là củng cố khung khổ về quyền riêng tư và bảo vệ dữ liệu. Việc thiết lập một chế độ bảo vệ và quyền riêng tư dữ liệu vững chắc, cùng với một môi trường số an toàn, là điều thiết yếu nhằm xây dựng niềm tin giữa doanh nghiệp và người tiêu dùng, cũng như giữa các đối tác thương mại và các bên liên quan. Đây sẽ là yếu tố quan trọng cho sự phát triển liên tục của thương mại số.</w:t>
      </w:r>
    </w:p>
    <w:p w14:paraId="71262D12" w14:textId="4E509EC9" w:rsidR="00170C63" w:rsidRPr="00170C63" w:rsidRDefault="00170C63" w:rsidP="007664A3">
      <w:pPr>
        <w:rPr>
          <w:lang w:val="vi-VN"/>
        </w:rPr>
      </w:pPr>
      <w:r w:rsidRPr="00170C63">
        <w:rPr>
          <w:lang w:val="vi-VN"/>
        </w:rPr>
        <w:t>Giữa bối cảnh hệ sinh thái thương mại số ASEAN mở rộng nhanh chóng, khu vực cũng phải đối mặt với số lượng ngày càng tăng các mối đe dọa mạng. Báo cáo Đánh giá Mối đe dọa Mạng ASEAN 2021 của Interpol nêu bật một loạt các mối đe dọa mạng nhắm vào khu vực, bao gồm lừa đảo qua email (phishing), tấn công ransomware, đánh chặn dữ liệu thương mại điện tử và các hình thức lừa đảo mạng</w:t>
      </w:r>
      <w:r w:rsidR="00962530" w:rsidRPr="004F1D15">
        <w:rPr>
          <w:rStyle w:val="FootnoteReference"/>
          <w:rFonts w:eastAsia="Times New Roman"/>
        </w:rPr>
        <w:footnoteReference w:id="144"/>
      </w:r>
      <w:r w:rsidRPr="00170C63">
        <w:rPr>
          <w:lang w:val="vi-VN"/>
        </w:rPr>
        <w:t>. Tình hình dường như đã trở nên nghiêm trọng hơn đáng kể, với tội phạm mạng ở Đông Nam Á tăng tới 82% trong giai đoạn 2021–2022</w:t>
      </w:r>
      <w:r w:rsidR="00962530" w:rsidRPr="004F1D15">
        <w:rPr>
          <w:rStyle w:val="FootnoteReference"/>
          <w:rFonts w:eastAsia="Times New Roman"/>
        </w:rPr>
        <w:footnoteReference w:id="145"/>
      </w:r>
      <w:r w:rsidRPr="00170C63">
        <w:rPr>
          <w:lang w:val="vi-VN"/>
        </w:rPr>
        <w:t>. Đáng chú ý, Đông Nam Á chiếm một phần lớn trong các chiến dịch Tấn công Dai dẳng Tiên tiến (APT) toàn cầu, với 68 trên 86 cuộc tấn công nhắm vào các quốc gia như Singapore, Thái Lan, Việt Nam và Indonesia</w:t>
      </w:r>
      <w:r w:rsidR="00962530" w:rsidRPr="004F1D15">
        <w:rPr>
          <w:rStyle w:val="FootnoteReference"/>
          <w:rFonts w:eastAsia="Times New Roman"/>
        </w:rPr>
        <w:footnoteReference w:id="146"/>
      </w:r>
      <w:r w:rsidRPr="00170C63">
        <w:rPr>
          <w:lang w:val="vi-VN"/>
        </w:rPr>
        <w:t>.</w:t>
      </w:r>
    </w:p>
    <w:p w14:paraId="1EA74A06" w14:textId="752B598B" w:rsidR="00962530" w:rsidRPr="001D6223" w:rsidRDefault="00962530" w:rsidP="007664A3">
      <w:pPr>
        <w:rPr>
          <w:lang w:val="vi-VN"/>
        </w:rPr>
      </w:pPr>
      <w:r w:rsidRPr="00962530">
        <w:rPr>
          <w:lang w:val="vi-VN"/>
        </w:rPr>
        <w:t xml:space="preserve">Cuối cùng, khi các cá nhân, doanh nghiệp và chính phủ ngày càng dựa vào các giao dịch </w:t>
      </w:r>
      <w:r w:rsidR="00616696">
        <w:rPr>
          <w:lang w:val="vi-VN"/>
        </w:rPr>
        <w:t>số</w:t>
      </w:r>
      <w:r w:rsidRPr="00962530">
        <w:rPr>
          <w:lang w:val="vi-VN"/>
        </w:rPr>
        <w:t xml:space="preserve"> và hoạt động trực tuyến trong đời sống hằng ngày, nhu cầu về các danh tính số an toàn, đáng tin cậy và có thể xác minh ngay lập tức đang tăng nhanh. Danh tính số (digital ID) là nền tảng để xây dựng một nền kinh tế số vững mạnh, loại bỏ nhu cầu xác thực trực tiếp đối với cá nhân và tài liệu thông qua việc cung cấp quyền truy cập số vào nhiều dịch vụ trực tuyến. Hơn nữa, danh tính số là công cụ quan trọng để mở rộng tài chính toàn diện, đặc biệt có ý nghĩa tại </w:t>
      </w:r>
      <w:r w:rsidR="001D6223">
        <w:rPr>
          <w:lang w:val="vi-VN"/>
        </w:rPr>
        <w:t>ASEAN-</w:t>
      </w:r>
      <w:r w:rsidRPr="00962530">
        <w:rPr>
          <w:lang w:val="vi-VN"/>
        </w:rPr>
        <w:t xml:space="preserve">nơi ước tính có khoảng 65 triệu người </w:t>
      </w:r>
      <w:r w:rsidRPr="00962530">
        <w:rPr>
          <w:lang w:val="vi-VN"/>
        </w:rPr>
        <w:lastRenderedPageBreak/>
        <w:t>không sở hữu hình thức nhận dạng được pháp luật công nhận</w:t>
      </w:r>
      <w:r w:rsidRPr="004F1D15">
        <w:rPr>
          <w:rStyle w:val="FootnoteReference"/>
          <w:rFonts w:eastAsia="Times New Roman"/>
        </w:rPr>
        <w:footnoteReference w:id="147"/>
      </w:r>
      <w:r w:rsidRPr="00962530">
        <w:rPr>
          <w:lang w:val="vi-VN"/>
        </w:rPr>
        <w:t>. Đáng chú ý, việc áp dụng rộng rãi danh tính số được dự báo sẽ mang lại thêm 200–400 triệu USD giá trị kinh tế cho ASEAN vào năm 2030</w:t>
      </w:r>
      <w:r w:rsidRPr="004F1D15">
        <w:rPr>
          <w:vertAlign w:val="superscript"/>
        </w:rPr>
        <w:footnoteReference w:id="148"/>
      </w:r>
      <w:r w:rsidRPr="00962530">
        <w:rPr>
          <w:lang w:val="vi-VN"/>
        </w:rPr>
        <w:t>, tương đương mức lợi ích trung bình 6% GDP của mỗi quốc gia thành viên</w:t>
      </w:r>
      <w:r w:rsidR="001D6223" w:rsidRPr="004F1D15">
        <w:rPr>
          <w:vertAlign w:val="superscript"/>
        </w:rPr>
        <w:footnoteReference w:id="149"/>
      </w:r>
      <w:r w:rsidRPr="00962530">
        <w:rPr>
          <w:lang w:val="vi-VN"/>
        </w:rPr>
        <w:t>. Trong lĩnh vực niềm tin số, bốn phân khu vực trọng yếu đã được xác định, nơi các tiêu chuẩn đóng vai trò đặc biệt quan trọng.</w:t>
      </w:r>
    </w:p>
    <w:p w14:paraId="1FA39D23" w14:textId="1363159F" w:rsidR="00267F17" w:rsidRPr="004F1D15" w:rsidRDefault="001D6223" w:rsidP="00FF6387">
      <w:pPr>
        <w:pStyle w:val="ListParagraph"/>
        <w:numPr>
          <w:ilvl w:val="0"/>
          <w:numId w:val="30"/>
        </w:numPr>
        <w:rPr>
          <w:rFonts w:ascii="Arial" w:eastAsia="Quattrocento Sans" w:hAnsi="Arial"/>
          <w:b/>
          <w:color w:val="auto"/>
          <w:lang w:val="en-GB" w:eastAsia="zh-CN"/>
        </w:rPr>
      </w:pPr>
      <w:r>
        <w:rPr>
          <w:rFonts w:ascii="Arial" w:eastAsia="Quattrocento Sans" w:hAnsi="Arial"/>
          <w:b/>
          <w:color w:val="auto"/>
          <w:lang w:val="vi-VN" w:eastAsia="zh-CN"/>
        </w:rPr>
        <w:t xml:space="preserve">Mức độ </w:t>
      </w:r>
      <w:r>
        <w:rPr>
          <w:rFonts w:ascii="Arial" w:eastAsia="Quattrocento Sans" w:hAnsi="Arial"/>
          <w:b/>
          <w:color w:val="auto"/>
          <w:lang w:val="en-US" w:eastAsia="zh-CN"/>
        </w:rPr>
        <w:t>liên</w:t>
      </w:r>
      <w:r>
        <w:rPr>
          <w:rFonts w:ascii="Arial" w:eastAsia="Quattrocento Sans" w:hAnsi="Arial"/>
          <w:b/>
          <w:color w:val="auto"/>
          <w:lang w:val="vi-VN" w:eastAsia="zh-CN"/>
        </w:rPr>
        <w:t xml:space="preserve"> quan của các phân khu đối với ASEAN (ưu tiên của DTSCWG, ưu tiên của DEFA, chương trình/nghị định ASEAN)</w:t>
      </w:r>
    </w:p>
    <w:p w14:paraId="5BD67C38" w14:textId="510B18C9" w:rsidR="00DF1BC5" w:rsidRPr="00DF1BC5" w:rsidRDefault="00DF1BC5" w:rsidP="007664A3">
      <w:pPr>
        <w:rPr>
          <w:lang w:val="vi-VN"/>
        </w:rPr>
      </w:pPr>
      <w:r w:rsidRPr="00DF1BC5">
        <w:rPr>
          <w:lang w:val="vi-VN"/>
        </w:rPr>
        <w:t xml:space="preserve">Tầm quan trọng của danh tính số được nhấn mạnh như một ưu tiên của ASEAN trên nhiều phương diện. Danh tính số được công nhận là một lĩnh vực ưu tiên trong trụ cột </w:t>
      </w:r>
      <w:r w:rsidRPr="00DF1BC5">
        <w:rPr>
          <w:i/>
          <w:iCs/>
          <w:lang w:val="vi-VN"/>
        </w:rPr>
        <w:t>Niềm tin số</w:t>
      </w:r>
      <w:r w:rsidRPr="00DF1BC5">
        <w:rPr>
          <w:lang w:val="vi-VN"/>
        </w:rPr>
        <w:t xml:space="preserve"> của DTSCWG</w:t>
      </w:r>
      <w:r w:rsidRPr="004F1D15">
        <w:rPr>
          <w:rStyle w:val="FootnoteReference"/>
          <w:rFonts w:eastAsia="Times New Roman"/>
        </w:rPr>
        <w:footnoteReference w:id="150"/>
      </w:r>
      <w:r w:rsidRPr="00DF1BC5">
        <w:rPr>
          <w:lang w:val="vi-VN"/>
        </w:rPr>
        <w:t>. Ngoài ra, Nghiên cứu về DEFA ASEAN khuyến nghị việc ban hành khung pháp lý về danh tính và xác thực số, cho cả mục đích doanh nghiệp và cá nhân</w:t>
      </w:r>
      <w:r w:rsidRPr="004F1D15">
        <w:rPr>
          <w:vertAlign w:val="superscript"/>
        </w:rPr>
        <w:footnoteReference w:id="151"/>
      </w:r>
      <w:r w:rsidRPr="00DF1BC5">
        <w:rPr>
          <w:lang w:val="vi-VN"/>
        </w:rPr>
        <w:t xml:space="preserve">. Cụ thể, chữ ký điện tử được nhấn mạnh trong cả trụ cột </w:t>
      </w:r>
      <w:r w:rsidRPr="00EE6266">
        <w:rPr>
          <w:i/>
          <w:iCs/>
          <w:lang w:val="vi-VN"/>
        </w:rPr>
        <w:t>Niềm tin số</w:t>
      </w:r>
      <w:r w:rsidR="00EE6266" w:rsidRPr="004F1D15">
        <w:rPr>
          <w:rStyle w:val="FootnoteReference"/>
          <w:rFonts w:eastAsia="Times New Roman"/>
        </w:rPr>
        <w:footnoteReference w:id="152"/>
      </w:r>
      <w:r w:rsidR="00EE6266" w:rsidRPr="004F1D15">
        <w:t xml:space="preserve"> </w:t>
      </w:r>
      <w:r w:rsidRPr="00DF1BC5">
        <w:rPr>
          <w:lang w:val="vi-VN"/>
        </w:rPr>
        <w:t xml:space="preserve"> của DTSCWG và Nghiên cứu DEFA ASEAN, vốn khuyến nghị thúc đẩy áp dụng chữ ký điện tử</w:t>
      </w:r>
      <w:r w:rsidR="00EE6266" w:rsidRPr="004F1D15">
        <w:rPr>
          <w:vertAlign w:val="superscript"/>
        </w:rPr>
        <w:footnoteReference w:id="153"/>
      </w:r>
      <w:r w:rsidRPr="00DF1BC5">
        <w:rPr>
          <w:lang w:val="vi-VN"/>
        </w:rPr>
        <w:t xml:space="preserve">. Điều này kế thừa </w:t>
      </w:r>
      <w:r w:rsidRPr="00EE6266">
        <w:rPr>
          <w:b/>
          <w:bCs/>
          <w:lang w:val="vi-VN"/>
        </w:rPr>
        <w:t>Luật mẫu của UNCITRAL về Thương mại điện tử (MLEC)</w:t>
      </w:r>
      <w:r w:rsidR="00EE6266" w:rsidRPr="00EE6266">
        <w:rPr>
          <w:rStyle w:val="FooterChar"/>
          <w:rFonts w:eastAsia="Times New Roman"/>
          <w:b/>
        </w:rPr>
        <w:t xml:space="preserve"> </w:t>
      </w:r>
      <w:r w:rsidR="00EE6266" w:rsidRPr="003B7F98">
        <w:rPr>
          <w:rStyle w:val="FootnoteReference"/>
          <w:rFonts w:eastAsia="Times New Roman"/>
          <w:b/>
        </w:rPr>
        <w:footnoteReference w:id="154"/>
      </w:r>
      <w:r w:rsidRPr="00EE6266">
        <w:rPr>
          <w:b/>
          <w:bCs/>
          <w:lang w:val="vi-VN"/>
        </w:rPr>
        <w:t xml:space="preserve"> </w:t>
      </w:r>
      <w:r w:rsidRPr="00DF1BC5">
        <w:rPr>
          <w:lang w:val="vi-VN"/>
        </w:rPr>
        <w:t>và Khung tham chiếu e-ASEAN đầu tiên về Hạ tầng pháp lý thương mại điện tử ký năm 2001</w:t>
      </w:r>
      <w:r w:rsidR="00EE6266" w:rsidRPr="004F1D15">
        <w:rPr>
          <w:rStyle w:val="FootnoteReference"/>
          <w:rFonts w:eastAsia="Times New Roman"/>
        </w:rPr>
        <w:footnoteReference w:id="155"/>
      </w:r>
      <w:r w:rsidRPr="00DF1BC5">
        <w:rPr>
          <w:lang w:val="vi-VN"/>
        </w:rPr>
        <w:t>, vốn coi chữ ký số là một lĩnh vực chủ chốt của thương mại điện tử.</w:t>
      </w:r>
    </w:p>
    <w:p w14:paraId="6F6F1EAD" w14:textId="3758562A" w:rsidR="00EE6266" w:rsidRPr="00EE6266" w:rsidRDefault="00EE6266" w:rsidP="007664A3">
      <w:pPr>
        <w:rPr>
          <w:lang w:val="vi-VN"/>
        </w:rPr>
      </w:pPr>
      <w:r w:rsidRPr="00EE6266">
        <w:rPr>
          <w:lang w:val="vi-VN"/>
        </w:rPr>
        <w:t>Tầm quan trọng của an ninh mạng đối với ASEAN được thể hiện trên nhiều phương diện. Trong DTSCWG, an ninh mạng là lĩnh vực ưu tiên then chốt trong trụ cột "</w:t>
      </w:r>
      <w:r w:rsidRPr="00210827">
        <w:rPr>
          <w:i/>
          <w:iCs/>
          <w:lang w:val="vi-VN"/>
        </w:rPr>
        <w:t>Tạo thuận lợi cho niềm tin số</w:t>
      </w:r>
      <w:r w:rsidRPr="00EE6266">
        <w:rPr>
          <w:lang w:val="vi-VN"/>
        </w:rPr>
        <w:t>", một trong ba trụ cột của chương trình làm việc 2021–2025</w:t>
      </w:r>
      <w:r w:rsidR="00210827" w:rsidRPr="004F1D15">
        <w:rPr>
          <w:rStyle w:val="FootnoteReference"/>
          <w:rFonts w:eastAsia="Times New Roman"/>
        </w:rPr>
        <w:footnoteReference w:id="156"/>
      </w:r>
      <w:r w:rsidRPr="00EE6266">
        <w:rPr>
          <w:lang w:val="vi-VN"/>
        </w:rPr>
        <w:t>. Nghiên cứu DEFA ASEAN cũng nhấn mạnh nhu cầu nâng cao mức độ sẵn sàng và năng lực ứng phó an ninh mạng trong ASEAN, đồng thời khuyến nghị thiết lập các quy định và quy trình tiêu chuẩn hóa theo chuẩn quốc tế để tăng cường bảo mật và tạo điều kiện tuân thủ vận hành</w:t>
      </w:r>
      <w:r w:rsidR="00210827" w:rsidRPr="004F1D15">
        <w:rPr>
          <w:rStyle w:val="FootnoteReference"/>
          <w:rFonts w:eastAsia="Times New Roman"/>
        </w:rPr>
        <w:footnoteReference w:id="157"/>
      </w:r>
      <w:r w:rsidRPr="00EE6266">
        <w:rPr>
          <w:lang w:val="vi-VN"/>
        </w:rPr>
        <w:t>. Hơn nữa, ASEAN với tư cách một nền tảng khu vực cũng đã xây dựng Chiến lược Hợp tác An ninh mạng ASEAN 2018–2020 và 2021–2025, tập trung thúc đẩy các sáng kiến nhằm nâng cao hợp tác sẵn sàng ứng phó mạng, tăng cường điều phối chính sách an ninh mạng khu vực và củng cố niềm tin trong không gian mạng</w:t>
      </w:r>
      <w:r w:rsidR="00210827" w:rsidRPr="004F1D15">
        <w:rPr>
          <w:rStyle w:val="FootnoteReference"/>
          <w:rFonts w:eastAsia="Times New Roman"/>
        </w:rPr>
        <w:footnoteReference w:id="158"/>
      </w:r>
      <w:r w:rsidRPr="00EE6266">
        <w:rPr>
          <w:lang w:val="vi-VN"/>
        </w:rPr>
        <w:t>.</w:t>
      </w:r>
    </w:p>
    <w:p w14:paraId="0748DEF3" w14:textId="51894589" w:rsidR="00210827" w:rsidRPr="00210827" w:rsidRDefault="00210827" w:rsidP="007664A3">
      <w:pPr>
        <w:rPr>
          <w:rStyle w:val="Strong"/>
          <w:b w:val="0"/>
          <w:lang w:val="vi-VN"/>
        </w:rPr>
      </w:pPr>
      <w:r w:rsidRPr="00210827">
        <w:rPr>
          <w:rStyle w:val="Strong"/>
          <w:b w:val="0"/>
          <w:lang w:val="vi-VN"/>
        </w:rPr>
        <w:t xml:space="preserve">Song song với an ninh mạng, an toàn trực tuyến là một ưu tiên quan trọng khác đối với khu vực ASEAN. Kế hoạch Tổng thể Số ASEAN 2025 nhấn mạnh tầm quan trọng của việc cung cấp các dịch vụ số đáng </w:t>
      </w:r>
      <w:r w:rsidRPr="00210827">
        <w:rPr>
          <w:rStyle w:val="Strong"/>
          <w:b w:val="0"/>
          <w:lang w:val="vi-VN"/>
        </w:rPr>
        <w:lastRenderedPageBreak/>
        <w:t>tin cậy và ngăn ngừa rủi ro gây hại cho người tiêu dùng như một trong những kết quả trọng tâm</w:t>
      </w:r>
      <w:r w:rsidRPr="004F1D15">
        <w:rPr>
          <w:rStyle w:val="FootnoteReference"/>
          <w:rFonts w:eastAsia="Times New Roman"/>
        </w:rPr>
        <w:footnoteReference w:id="159"/>
      </w:r>
      <w:r w:rsidRPr="00210827">
        <w:rPr>
          <w:rStyle w:val="Strong"/>
          <w:b w:val="0"/>
          <w:lang w:val="vi-VN"/>
        </w:rPr>
        <w:t>. Ngoài ra, Nghiên cứu DEFA ASEAN khuyến nghị áp dụng và thúc đẩy Cơ chế Giải quyết Tranh chấp Trực tuyến ASEAN (ODR) trong tiểu mục liên quan, vốn đưa ra các lựa chọn và hướng dẫn cho thiết kế hệ thống ODR quốc gia phục vụ bảo vệ người tiêu dùng. Nghiên cứu cũng đề xuất củng cố khung pháp lý bảo vệ người tiêu dùng trực tuyến theo các chuẩn mực quốc tế</w:t>
      </w:r>
      <w:r w:rsidRPr="004F1D15">
        <w:rPr>
          <w:rStyle w:val="FootnoteReference"/>
          <w:rFonts w:eastAsia="Times New Roman"/>
        </w:rPr>
        <w:footnoteReference w:id="160"/>
      </w:r>
      <w:r w:rsidRPr="00210827">
        <w:rPr>
          <w:rStyle w:val="Strong"/>
          <w:b w:val="0"/>
          <w:lang w:val="vi-VN"/>
        </w:rPr>
        <w:t>.</w:t>
      </w:r>
    </w:p>
    <w:p w14:paraId="52C5478D" w14:textId="3D4885B2" w:rsidR="00210827" w:rsidRPr="00210827" w:rsidRDefault="00210827" w:rsidP="007664A3">
      <w:pPr>
        <w:rPr>
          <w:lang w:val="vi-VN"/>
        </w:rPr>
      </w:pPr>
      <w:r w:rsidRPr="00210827">
        <w:rPr>
          <w:lang w:val="vi-VN"/>
        </w:rPr>
        <w:t>Cuối cùng, bảo vệ dữ liệu và quyền riêng tư xuyên biên giới cũng được nhấn mạnh trên nhiều phương diện trong bối cảnh ASEAN. Nghiên cứu DEFA ASEAN khuyến nghị thúc đẩy dòng chảy thông tin tự do và tăng cường bảo vệ dữ liệu cá nhân tham chiếu theo các tiêu chuẩn quốc tế chung</w:t>
      </w:r>
      <w:r w:rsidRPr="004F1D15">
        <w:rPr>
          <w:vertAlign w:val="superscript"/>
        </w:rPr>
        <w:footnoteReference w:id="161"/>
      </w:r>
      <w:r w:rsidRPr="00210827">
        <w:rPr>
          <w:lang w:val="vi-VN"/>
        </w:rPr>
        <w:t>. Ngoài ra, Khung ASEAN về Quản trị Dữ liệu Số nêu rõ nhu cầu thiết lập các khung và chính sách hỗ trợ quản trị dữ liệu, cùng với việc điều phối phát triển và hài hòa hóa các quy định bảo vệ dữ liệu cá nhân</w:t>
      </w:r>
      <w:r w:rsidRPr="004F1D15">
        <w:rPr>
          <w:rStyle w:val="FootnoteReference"/>
          <w:rFonts w:eastAsia="Times New Roman"/>
        </w:rPr>
        <w:footnoteReference w:id="162"/>
      </w:r>
      <w:r w:rsidRPr="00210827">
        <w:rPr>
          <w:lang w:val="vi-VN"/>
        </w:rPr>
        <w:t>. Các ưu tiên này thể hiện cam kết của ASEAN trong việc xây dựng môi trường số an toàn và đáng tin cậy cho bảo vệ dữ liệu và quyền riêng tư xuyên biên giới.</w:t>
      </w:r>
    </w:p>
    <w:p w14:paraId="0A304156" w14:textId="5452AA7D" w:rsidR="00267F17" w:rsidRPr="004F1D15" w:rsidRDefault="00CD39CC" w:rsidP="00FF6387">
      <w:pPr>
        <w:pStyle w:val="ListParagraph"/>
        <w:numPr>
          <w:ilvl w:val="0"/>
          <w:numId w:val="30"/>
        </w:numPr>
        <w:rPr>
          <w:rFonts w:ascii="Arial" w:eastAsia="Quattrocento Sans" w:hAnsi="Arial"/>
          <w:b/>
          <w:color w:val="auto"/>
          <w:lang w:val="en-GB" w:eastAsia="zh-CN"/>
        </w:rPr>
      </w:pPr>
      <w:r w:rsidRPr="00CD39CC">
        <w:rPr>
          <w:rFonts w:ascii="Arial" w:eastAsia="Quattrocento Sans" w:hAnsi="Arial"/>
          <w:b/>
          <w:color w:val="auto"/>
          <w:lang w:val="vi-VN" w:eastAsia="zh-CN"/>
        </w:rPr>
        <w:t>Tầm quan trọng và vai trò của tiêu chuẩn trong khu vực thương mại số được xác định</w:t>
      </w:r>
    </w:p>
    <w:p w14:paraId="3BA63AED" w14:textId="4C0B8BC4" w:rsidR="00CD39CC" w:rsidRPr="00CD39CC" w:rsidRDefault="00CD39CC" w:rsidP="007664A3">
      <w:pPr>
        <w:rPr>
          <w:lang w:val="vi-VN"/>
        </w:rPr>
      </w:pPr>
      <w:r w:rsidRPr="00CD39CC">
        <w:rPr>
          <w:lang w:val="vi-VN"/>
        </w:rPr>
        <w:t>Khi các tương tác số gia tăng về quy mô, tần suất và mức độ phức tạp trong toàn ASEAN, nhu cầu tăng cường niềm tin số thông qua hài hòa hóa các tiêu chuẩn trở nên cấp thiết hơn. Các tiêu chuẩn này là thiết yếu để bảo đảm bảo vệ dữ liệu, quyền riêng tư và an ninh mạng</w:t>
      </w:r>
      <w:r>
        <w:rPr>
          <w:lang w:val="vi-VN"/>
        </w:rPr>
        <w:t xml:space="preserve"> - </w:t>
      </w:r>
      <w:r w:rsidRPr="00CD39CC">
        <w:rPr>
          <w:lang w:val="vi-VN"/>
        </w:rPr>
        <w:t>những yếu tố nền tảng để xây dựng niềm tin giữa doanh nghiệp và người tiêu dùng. Các tiêu chuẩn hài hòa có thể cải thiện khả năng quản lý rủi ro, giảm thiểu tổn thất tài chính từ các sự cố mạng và bảo đảm tính liên tục trong hoạt động kinh doanh. Ngoài ra, chúng bảo đảm tuân thủ các yêu cầu quy định trong nhiều ngành khác nhau, đặc biệt là các ngành được xác định là lĩnh vực trọng yếu quốc gia hoặc Hạ tầng Thông tin Quan trọng (CII).</w:t>
      </w:r>
    </w:p>
    <w:p w14:paraId="5F9A9FE0" w14:textId="25D394F5" w:rsidR="00267F17" w:rsidRPr="004F1D15" w:rsidRDefault="00CD39CC" w:rsidP="00C82E40">
      <w:pPr>
        <w:pStyle w:val="Heading4"/>
        <w:rPr>
          <w:lang w:val="en-GB"/>
        </w:rPr>
      </w:pPr>
      <w:r>
        <w:rPr>
          <w:lang w:val="en-GB"/>
        </w:rPr>
        <w:t>Danh</w:t>
      </w:r>
      <w:r>
        <w:rPr>
          <w:lang w:val="vi-VN"/>
        </w:rPr>
        <w:t xml:space="preserve"> tính Số và Xác thực </w:t>
      </w:r>
    </w:p>
    <w:p w14:paraId="49F43A81" w14:textId="5D089928" w:rsidR="00267F17" w:rsidRPr="004F1D15" w:rsidRDefault="00CD39CC" w:rsidP="00595FF2">
      <w:pPr>
        <w:pStyle w:val="ListParagraph"/>
        <w:numPr>
          <w:ilvl w:val="0"/>
          <w:numId w:val="12"/>
        </w:numPr>
        <w:rPr>
          <w:rFonts w:ascii="Arial" w:eastAsia="Quattrocento Sans" w:hAnsi="Arial"/>
          <w:b/>
          <w:color w:val="auto"/>
          <w:lang w:val="en-GB" w:eastAsia="zh-CN"/>
        </w:rPr>
      </w:pPr>
      <w:r w:rsidRPr="00CD39CC">
        <w:rPr>
          <w:rFonts w:ascii="Arial" w:eastAsia="Quattrocento Sans" w:hAnsi="Arial"/>
          <w:b/>
          <w:color w:val="auto"/>
          <w:lang w:val="en-GB" w:eastAsia="zh-CN"/>
        </w:rPr>
        <w:t>Tầm quan trọng của tiêu chuẩn trong phân khu vực này</w:t>
      </w:r>
    </w:p>
    <w:p w14:paraId="494B4096" w14:textId="426085AE" w:rsidR="00CD39CC" w:rsidRPr="00CD39CC" w:rsidRDefault="00CD39CC" w:rsidP="007664A3">
      <w:pPr>
        <w:rPr>
          <w:lang w:val="vi-VN"/>
        </w:rPr>
      </w:pPr>
      <w:r w:rsidRPr="00CD39CC">
        <w:rPr>
          <w:lang w:val="vi-VN"/>
        </w:rPr>
        <w:t>Các tiêu chuẩn về danh tính số là chìa khóa để khai mở tiềm năng thương mại số của ASEAN. Các tiêu chuẩn này thúc đẩy tính tương tác của danh tính số và cho phép cá nhân, doanh nghiệp tham gia vào các hoạt động trực tuyến một cách an toàn. Điều này, đến lượt nó, thúc đẩy và mở rộng thương mại nội khối và thương mại giữa ASEAN với các đối tác bằng cách tạo điều kiện cho các giao dịch xuyên biên giới an toàn và đáng tin cậy</w:t>
      </w:r>
      <w:r w:rsidR="00457C69" w:rsidRPr="004F1D15">
        <w:rPr>
          <w:rStyle w:val="FootnoteReference"/>
          <w:rFonts w:eastAsia="Times New Roman"/>
        </w:rPr>
        <w:footnoteReference w:id="163"/>
      </w:r>
      <w:r w:rsidRPr="00CD39CC">
        <w:rPr>
          <w:lang w:val="vi-VN"/>
        </w:rPr>
        <w:t>, củng cố niềm tin của người dùng vào danh tính số trong nhiều trường hợp sử dụng khác nhau</w:t>
      </w:r>
      <w:r w:rsidR="00457C69" w:rsidRPr="004F1D15">
        <w:rPr>
          <w:rStyle w:val="FootnoteReference"/>
          <w:rFonts w:eastAsia="Times New Roman"/>
        </w:rPr>
        <w:footnoteReference w:id="164"/>
      </w:r>
      <w:r w:rsidRPr="00CD39CC">
        <w:rPr>
          <w:lang w:val="vi-VN"/>
        </w:rPr>
        <w:t>, và giảm chi phí giao dịch cho các doanh nghiệp hoạt động trong khu vực</w:t>
      </w:r>
      <w:r w:rsidR="00457C69" w:rsidRPr="004F1D15">
        <w:rPr>
          <w:rStyle w:val="FootnoteReference"/>
          <w:rFonts w:eastAsia="Times New Roman"/>
        </w:rPr>
        <w:footnoteReference w:id="165"/>
      </w:r>
      <w:r w:rsidRPr="00CD39CC">
        <w:rPr>
          <w:lang w:val="vi-VN"/>
        </w:rPr>
        <w:t>.</w:t>
      </w:r>
    </w:p>
    <w:p w14:paraId="777C201C" w14:textId="5E3E9471" w:rsidR="00457C69" w:rsidRPr="00457C69" w:rsidRDefault="00457C69" w:rsidP="007664A3">
      <w:pPr>
        <w:rPr>
          <w:lang w:val="vi-VN"/>
        </w:rPr>
      </w:pPr>
      <w:r w:rsidRPr="00457C69">
        <w:rPr>
          <w:lang w:val="vi-VN"/>
        </w:rPr>
        <w:lastRenderedPageBreak/>
        <w:t>Các hệ thống định danh pháp nhân được tiêu chuẩn hóa đặc biệt quan trọng để khai mở tiềm năng của các MSME trong bối cảnh thương mại số đang phát triển mạnh mẽ tại ASEAN. Bằng cách phá vỡ các “kho dữ liệu định danh” rời rạc, các tiêu chuẩn này có thể đơn giản hóa quy trình xác minh, tạo điều kiện tiếp cận dịch vụ công và tài chính, đồng thời giảm đáng kể chi phí kinh doanh xuyên biên giới</w:t>
      </w:r>
      <w:r w:rsidRPr="004F1D15">
        <w:rPr>
          <w:rStyle w:val="FootnoteReference"/>
          <w:rFonts w:eastAsia="Times New Roman"/>
        </w:rPr>
        <w:footnoteReference w:id="166"/>
      </w:r>
      <w:r w:rsidRPr="00457C69">
        <w:rPr>
          <w:lang w:val="vi-VN"/>
        </w:rPr>
        <w:t>. Đối với MSME, định danh pháp nhân được tiêu chuẩn hóa giúp loại bỏ các thủ tục xác minh phức tạp, giảm gánh nặng hành chính, cũng như đơn giản hóa hệ thống và quy trình tuân thủ. Với việc MSME chiếm hơn 95% tổng số doanh nghiệp tại ASEAN nhưng chỉ đóng góp trung bình 18% tổng kim ngạch xuất khẩu</w:t>
      </w:r>
      <w:r w:rsidRPr="004F1D15">
        <w:rPr>
          <w:vertAlign w:val="superscript"/>
        </w:rPr>
        <w:footnoteReference w:id="167"/>
      </w:r>
      <w:r w:rsidRPr="00457C69">
        <w:rPr>
          <w:lang w:val="vi-VN"/>
        </w:rPr>
        <w:t>, việc tháo bỏ các rào cản này là chìa khóa để giúp họ phát triển, tiếp cận thị trường toàn cầu, qua đó thúc đẩy đổi mới và tạo việc làm.</w:t>
      </w:r>
    </w:p>
    <w:p w14:paraId="54457BED" w14:textId="4404DD41" w:rsidR="00267F17" w:rsidRPr="004F1D15" w:rsidRDefault="005B28E5" w:rsidP="007664A3">
      <w:r w:rsidRPr="005B28E5">
        <w:t>ASEAN cũng đang tích cực thúc đẩy các sáng kiến như phát triển Hệ thống Mã số Định danh Doanh nghiệp Duy nhất (UBIN) toàn khu vực và lộ trình thực hiện UBIN ASEAN</w:t>
      </w:r>
      <w:r w:rsidRPr="004F1D15">
        <w:rPr>
          <w:vertAlign w:val="superscript"/>
        </w:rPr>
        <w:footnoteReference w:id="168"/>
      </w:r>
      <w:r w:rsidRPr="005B28E5">
        <w:t>. Các nỗ lực này giữ vai trò then chốt trong việc nâng cao năng lực của doanh nghiệp, bao gồm cả MSME, để tham gia giao dịch số, tiếp cận dịch vụ số và thiết lập quyền sở hữu số.</w:t>
      </w:r>
      <w:r w:rsidR="00267F17" w:rsidRPr="004F1D15">
        <w:t xml:space="preserve"> </w:t>
      </w:r>
    </w:p>
    <w:p w14:paraId="08B0231F" w14:textId="5C3FDFCD" w:rsidR="00267F17" w:rsidRPr="005B28E5" w:rsidRDefault="00267F17" w:rsidP="007664A3">
      <w:pPr>
        <w:rPr>
          <w:lang w:val="vi-VN"/>
        </w:rPr>
      </w:pPr>
      <w:r w:rsidRPr="004F1D15">
        <w:rPr>
          <w:b/>
        </w:rPr>
        <w:t>2</w:t>
      </w:r>
      <w:r w:rsidRPr="004F1D15">
        <w:t xml:space="preserve">. </w:t>
      </w:r>
      <w:r w:rsidR="005B28E5">
        <w:rPr>
          <w:rFonts w:eastAsia="Quattrocento Sans"/>
          <w:b/>
          <w:lang w:eastAsia="zh-CN"/>
        </w:rPr>
        <w:t>Những</w:t>
      </w:r>
      <w:r w:rsidR="005B28E5">
        <w:rPr>
          <w:rFonts w:eastAsia="Quattrocento Sans"/>
          <w:b/>
          <w:lang w:val="vi-VN" w:eastAsia="zh-CN"/>
        </w:rPr>
        <w:t xml:space="preserve"> tiêu chuẩn quốc tế quan trọng đối với ASEAN </w:t>
      </w:r>
    </w:p>
    <w:p w14:paraId="5BFF5C72" w14:textId="6DF8E2EF" w:rsidR="008E4193" w:rsidRPr="008E4193" w:rsidRDefault="008E4193" w:rsidP="007664A3">
      <w:pPr>
        <w:rPr>
          <w:lang w:val="vi-VN"/>
        </w:rPr>
      </w:pPr>
      <w:r w:rsidRPr="008E4193">
        <w:rPr>
          <w:b/>
          <w:bCs/>
          <w:lang w:val="vi-VN"/>
        </w:rPr>
        <w:t>Mã định danh pháp nhân toàn cầu (Legal Entity Identifier – LEI)</w:t>
      </w:r>
      <w:r w:rsidRPr="008E4193">
        <w:rPr>
          <w:lang w:val="vi-VN"/>
        </w:rPr>
        <w:t xml:space="preserve"> là một trong những tiêu chuẩn cốt lõi cho danh tính số của pháp nhân. Được tạo ra sau cuộc khủng hoảng tài chính năm 2008, LEI</w:t>
      </w:r>
      <w:r>
        <w:rPr>
          <w:lang w:val="vi-VN"/>
        </w:rPr>
        <w:t xml:space="preserve"> - </w:t>
      </w:r>
      <w:r w:rsidRPr="008E4193">
        <w:rPr>
          <w:lang w:val="vi-VN"/>
        </w:rPr>
        <w:t>một mã gồm 20 ký tự chữ và số</w:t>
      </w:r>
      <w:r>
        <w:rPr>
          <w:lang w:val="vi-VN"/>
        </w:rPr>
        <w:t xml:space="preserve"> - </w:t>
      </w:r>
      <w:r w:rsidRPr="008E4193">
        <w:rPr>
          <w:lang w:val="vi-VN"/>
        </w:rPr>
        <w:t>dựa trên tiêu chuẩn ISO 17442 do ISO xây dựng</w:t>
      </w:r>
      <w:r w:rsidRPr="00F24E29">
        <w:rPr>
          <w:vertAlign w:val="superscript"/>
        </w:rPr>
        <w:footnoteReference w:id="169"/>
      </w:r>
      <w:r w:rsidRPr="008E4193">
        <w:rPr>
          <w:lang w:val="vi-VN"/>
        </w:rPr>
        <w:t>. LEI cho phép nhận dạng chính xác, tức thời và tự động đối với bất kỳ pháp nhân nào (gửi hoặc nhận) trong giao dịch xuyên biên giới. Đây là yêu cầu nền tảng để đảm bảo rằng người tiêu dùng, doanh nghiệp và tổ chức tài chính có thể xác minh rằng tiền được chuyển đúng pháp nhân trong giao dịch quốc tế</w:t>
      </w:r>
      <w:r w:rsidRPr="00F24E29">
        <w:rPr>
          <w:vertAlign w:val="superscript"/>
        </w:rPr>
        <w:footnoteReference w:id="170"/>
      </w:r>
      <w:r w:rsidRPr="008E4193">
        <w:rPr>
          <w:lang w:val="vi-VN"/>
        </w:rPr>
        <w:t>. Việc áp dụng hệ thống LEI sẽ gia tăng tính minh bạch trong nền kinh tế ASEAN, hỗ trợ ngân hàng trong quy trình thẩm định, và tăng khả năng tiếp cận tài chính cho MSME, cùng nhiều lợi ích khác</w:t>
      </w:r>
      <w:r w:rsidR="00A01A6E" w:rsidRPr="008D612C">
        <w:rPr>
          <w:rStyle w:val="FootnoteReference"/>
        </w:rPr>
        <w:footnoteReference w:id="171"/>
      </w:r>
      <w:r w:rsidRPr="008E4193">
        <w:rPr>
          <w:lang w:val="vi-VN"/>
        </w:rPr>
        <w:t>. Hội đồng Ổn định Tài chính (FSB) đã phê chuẩn LEI như một công cụ để thúc đẩy mục tiêu trong Lộ trình Nâng cao Thanh toán Xuyên biên giới được G20 thông qua</w:t>
      </w:r>
      <w:r w:rsidR="00A01A6E" w:rsidRPr="00485AD9">
        <w:rPr>
          <w:vertAlign w:val="superscript"/>
        </w:rPr>
        <w:footnoteReference w:id="172"/>
      </w:r>
      <w:r w:rsidRPr="008E4193">
        <w:rPr>
          <w:lang w:val="vi-VN"/>
        </w:rPr>
        <w:t>.</w:t>
      </w:r>
    </w:p>
    <w:p w14:paraId="45C5B84E" w14:textId="50A6B1AE" w:rsidR="00267F17" w:rsidRPr="004F1D15" w:rsidRDefault="00A01A6E" w:rsidP="007664A3">
      <w:r w:rsidRPr="00A01A6E">
        <w:t>Có nhiều tiêu chuẩn quốc tế liên quan đến sinh trắc học, bao gồm các tiêu chuẩn cạnh tranh về thu nhận dữ liệu khuôn mặt và dấu vân tay, cũng như các tiêu chuẩn ISO/IEC khác nhau về sinh trắc học vân tay, mống mắt và khuôn mặt.</w:t>
      </w:r>
      <w:r w:rsidR="00267F17" w:rsidRPr="004F1D15">
        <w:rPr>
          <w:rStyle w:val="FootnoteReference"/>
          <w:rFonts w:eastAsia="Times New Roman"/>
        </w:rPr>
        <w:footnoteReference w:id="173"/>
      </w:r>
      <w:r w:rsidR="00267F17" w:rsidRPr="004F1D15">
        <w:t xml:space="preserve"> </w:t>
      </w:r>
    </w:p>
    <w:p w14:paraId="31BB18B9" w14:textId="7B82B549" w:rsidR="00A01A6E" w:rsidRPr="00A01A6E" w:rsidRDefault="00A01A6E" w:rsidP="007664A3">
      <w:pPr>
        <w:rPr>
          <w:rFonts w:eastAsia="Times New Roman"/>
          <w:lang w:val="vi-VN"/>
        </w:rPr>
      </w:pPr>
      <w:r w:rsidRPr="00A01A6E">
        <w:rPr>
          <w:rFonts w:eastAsia="Times New Roman"/>
          <w:lang w:val="vi-VN"/>
        </w:rPr>
        <w:lastRenderedPageBreak/>
        <w:t xml:space="preserve">Trong số đó, một tiêu chuẩn quốc tế đáng chú ý là </w:t>
      </w:r>
      <w:r w:rsidRPr="00A01A6E">
        <w:rPr>
          <w:rFonts w:eastAsia="Times New Roman"/>
          <w:b/>
          <w:bCs/>
          <w:lang w:val="vi-VN"/>
        </w:rPr>
        <w:t>ISO/IEC 24745:2022 về An ninh thông tin, an ninh mạng và bảo vệ quyền riêng tư – Bảo vệ thông tin sinh trắc học</w:t>
      </w:r>
      <w:r w:rsidRPr="004F1D15">
        <w:rPr>
          <w:rStyle w:val="FootnoteReference"/>
        </w:rPr>
        <w:footnoteReference w:id="174"/>
      </w:r>
      <w:r w:rsidRPr="00A01A6E">
        <w:rPr>
          <w:rFonts w:eastAsia="Times New Roman"/>
          <w:lang w:val="vi-VN"/>
        </w:rPr>
        <w:t>. Tiêu chuẩn tiền nhiệm ISO/IEC 24745:2011 về Công nghệ thông tin – Kỹ thuật an ninh – Bảo vệ thông tin sinh trắc học đã được khuyến nghị trong báo cáo nghiên cứu về “Hợp tác Kinh tế số Australia–Singapore về Tiêu chuẩn”</w:t>
      </w:r>
      <w:r w:rsidRPr="00A01A6E">
        <w:rPr>
          <w:rStyle w:val="FooterChar"/>
        </w:rPr>
        <w:t xml:space="preserve"> </w:t>
      </w:r>
      <w:r w:rsidRPr="004F1D15">
        <w:rPr>
          <w:rStyle w:val="FootnoteReference"/>
        </w:rPr>
        <w:footnoteReference w:id="175"/>
      </w:r>
      <w:r w:rsidRPr="00A01A6E">
        <w:rPr>
          <w:rFonts w:eastAsia="Times New Roman"/>
          <w:lang w:val="vi-VN"/>
        </w:rPr>
        <w:t>. Tiêu chuẩn này đưa ra hướng dẫn về bảo vệ thông tin sinh trắc học theo các yêu cầu về tính bảo mật, toàn vẹn, cũng như khả năng gia hạn hoặc thu hồi trong quá trình lưu trữ và truyền tải. Nó nêu rõ các tiêu chí để quản lý và xử lý dữ liệu sinh trắc một cách an toàn và tuân thủ quyền riêng tư</w:t>
      </w:r>
      <w:r w:rsidRPr="004F1D15">
        <w:rPr>
          <w:rStyle w:val="FootnoteReference"/>
        </w:rPr>
        <w:footnoteReference w:id="176"/>
      </w:r>
      <w:r w:rsidRPr="00A01A6E">
        <w:rPr>
          <w:rFonts w:eastAsia="Times New Roman"/>
          <w:lang w:val="vi-VN"/>
        </w:rPr>
        <w:t>.</w:t>
      </w:r>
    </w:p>
    <w:p w14:paraId="7E252A64" w14:textId="39DBDA56" w:rsidR="00144426" w:rsidRPr="00144426" w:rsidRDefault="00144426" w:rsidP="00400C41">
      <w:pPr>
        <w:rPr>
          <w:rFonts w:eastAsia="Quattrocento Sans"/>
          <w:bCs/>
          <w:lang w:val="vi-VN" w:eastAsia="zh-CN"/>
        </w:rPr>
      </w:pPr>
      <w:r w:rsidRPr="00144426">
        <w:rPr>
          <w:rFonts w:eastAsia="Quattrocento Sans"/>
          <w:bCs/>
          <w:lang w:val="vi-VN" w:eastAsia="zh-CN"/>
        </w:rPr>
        <w:t xml:space="preserve">Ngoài ra, </w:t>
      </w:r>
      <w:r w:rsidRPr="00144426">
        <w:rPr>
          <w:rFonts w:eastAsia="Quattrocento Sans"/>
          <w:b/>
          <w:lang w:val="vi-VN" w:eastAsia="zh-CN"/>
        </w:rPr>
        <w:t>Khung Xác thực Chung của FIDO (FIDO Universal Authentication Framework)</w:t>
      </w:r>
      <w:r w:rsidRPr="00144426">
        <w:rPr>
          <w:rFonts w:eastAsia="Quattrocento Sans"/>
          <w:bCs/>
          <w:lang w:val="vi-VN" w:eastAsia="zh-CN"/>
        </w:rPr>
        <w:t xml:space="preserve"> là một tiêu chuẩn quan trọng được xây dựng bởi Liên minh FIDO—một hiệp hội ngành công nghiệp mở tập trung vào xác thực và xác minh thiết bị. Khung này xác định các giao thức hỗ trợ nhiều phương thức xác thực khác nhau, bao gồm sinh trắc học</w:t>
      </w:r>
      <w:r w:rsidRPr="004F1D15">
        <w:rPr>
          <w:rStyle w:val="FootnoteReference"/>
        </w:rPr>
        <w:footnoteReference w:id="177"/>
      </w:r>
      <w:r w:rsidRPr="00144426">
        <w:rPr>
          <w:rFonts w:eastAsia="Quattrocento Sans"/>
          <w:bCs/>
          <w:lang w:val="vi-VN" w:eastAsia="zh-CN"/>
        </w:rPr>
        <w:t>.</w:t>
      </w:r>
    </w:p>
    <w:p w14:paraId="58357967" w14:textId="40AE583D" w:rsidR="00267F17" w:rsidRPr="00516087" w:rsidRDefault="00144426" w:rsidP="00FF6387">
      <w:pPr>
        <w:pStyle w:val="ListParagraph"/>
        <w:numPr>
          <w:ilvl w:val="0"/>
          <w:numId w:val="37"/>
        </w:numPr>
        <w:rPr>
          <w:rFonts w:ascii="Arial" w:eastAsia="Quattrocento Sans" w:hAnsi="Arial"/>
          <w:b/>
          <w:lang w:val="en-GB" w:eastAsia="zh-CN"/>
        </w:rPr>
      </w:pPr>
      <w:r w:rsidRPr="00144426">
        <w:rPr>
          <w:rFonts w:ascii="Arial" w:eastAsia="Quattrocento Sans" w:hAnsi="Arial"/>
          <w:b/>
          <w:lang w:val="vi-VN" w:eastAsia="zh-CN"/>
        </w:rPr>
        <w:t>Tình hình hiện tại về việc áp dụng tiêu chuẩn trong ASEAN, bao gồm các nỗ lực đang diễn ra, kế hoạch sắp triển khai và các thách thức chính trong áp dụng tiêu chuẩn giữa các quốc gia thành viên ASEAN và toàn khu vực</w:t>
      </w:r>
    </w:p>
    <w:p w14:paraId="167F3E56" w14:textId="6C07DA8F" w:rsidR="00267F17" w:rsidRPr="004F1D15" w:rsidRDefault="00F37076" w:rsidP="007664A3">
      <w:r w:rsidRPr="00F37076">
        <w:t>Mức độ áp dụng LEI giữa các quốc gia thành viên ASEAN có sự khác biệt đáng kể, như minh họa trong Bảng 9 dưới đây. Trong khi các quốc gia như Singapore, Malaysia, Thái Lan và Indonesia đã đạt tiến triển đáng kể trong triển khai LEI, các quốc gia như Brunei Darussalam, Lào và Myanmar vẫn đang ở giai đoạn đầu của quá trình áp dụng. Mặc dù vậy, tỷ lệ áp dụng danh tính số trên toàn ASEAN hiện mới đạt 30%.</w:t>
      </w:r>
      <w:r w:rsidR="002619D8">
        <w:rPr>
          <w:rStyle w:val="FootnoteReference"/>
        </w:rPr>
        <w:footnoteReference w:id="178"/>
      </w:r>
    </w:p>
    <w:p w14:paraId="19CD026A" w14:textId="77777777" w:rsidR="0029425E" w:rsidRDefault="0029425E">
      <w:pPr>
        <w:spacing w:line="259" w:lineRule="auto"/>
        <w:jc w:val="left"/>
        <w:rPr>
          <w:rFonts w:eastAsia="Quattrocento Sans"/>
          <w:b/>
          <w:lang w:eastAsia="zh-CN"/>
        </w:rPr>
      </w:pPr>
      <w:r>
        <w:br w:type="page"/>
      </w:r>
    </w:p>
    <w:p w14:paraId="2A871B85" w14:textId="65FE1AB6" w:rsidR="00267F17" w:rsidRPr="004F1D15" w:rsidRDefault="00F37076" w:rsidP="00267F17">
      <w:pPr>
        <w:pStyle w:val="Caption"/>
      </w:pPr>
      <w:r>
        <w:lastRenderedPageBreak/>
        <w:t>Bảng</w:t>
      </w:r>
      <w:r w:rsidR="002B27D7">
        <w:t xml:space="preserve"> </w:t>
      </w:r>
      <w:r w:rsidR="00295520">
        <w:t>9</w:t>
      </w:r>
      <w:r w:rsidR="00267F17" w:rsidRPr="004F1D15">
        <w:t xml:space="preserve">. </w:t>
      </w:r>
      <w:r w:rsidR="00907B59">
        <w:t>Số</w:t>
      </w:r>
      <w:r w:rsidR="00907B59">
        <w:rPr>
          <w:lang w:val="vi-VN"/>
        </w:rPr>
        <w:t xml:space="preserve"> lượng LEI được áp dụng trên toàn</w:t>
      </w:r>
      <w:r w:rsidR="00267F17" w:rsidRPr="004F1D15">
        <w:t xml:space="preserve"> ASEAN</w:t>
      </w:r>
      <w:r w:rsidR="00A67D6C">
        <w:t xml:space="preserve"> </w:t>
      </w:r>
    </w:p>
    <w:tbl>
      <w:tblPr>
        <w:tblStyle w:val="ListTable3-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835"/>
      </w:tblGrid>
      <w:tr w:rsidR="00267F17" w:rsidRPr="004F1D15" w14:paraId="502387F3" w14:textId="77777777" w:rsidTr="00AC0AE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835" w:type="dxa"/>
            <w:shd w:val="clear" w:color="auto" w:fill="002060"/>
          </w:tcPr>
          <w:p w14:paraId="1C379296" w14:textId="29C9F4C9" w:rsidR="00267F17" w:rsidRPr="00F37076" w:rsidRDefault="00F37076" w:rsidP="00AC0AE1">
            <w:pPr>
              <w:jc w:val="center"/>
              <w:rPr>
                <w:lang w:val="vi-VN"/>
              </w:rPr>
            </w:pPr>
            <w:r>
              <w:t>Quốc</w:t>
            </w:r>
            <w:r>
              <w:rPr>
                <w:lang w:val="vi-VN"/>
              </w:rPr>
              <w:t xml:space="preserve"> gia thành viên </w:t>
            </w:r>
            <w:r w:rsidR="00267F17" w:rsidRPr="004F1D15">
              <w:t>ASEAN</w:t>
            </w:r>
          </w:p>
        </w:tc>
        <w:tc>
          <w:tcPr>
            <w:tcW w:w="2835" w:type="dxa"/>
            <w:shd w:val="clear" w:color="auto" w:fill="002060"/>
          </w:tcPr>
          <w:p w14:paraId="1AFF5318" w14:textId="1429CB00" w:rsidR="00267F17" w:rsidRPr="004F1D15" w:rsidRDefault="00907B59" w:rsidP="00AC0AE1">
            <w:pPr>
              <w:jc w:val="center"/>
              <w:cnfStyle w:val="100000000000" w:firstRow="1" w:lastRow="0" w:firstColumn="0" w:lastColumn="0" w:oddVBand="0" w:evenVBand="0" w:oddHBand="0" w:evenHBand="0" w:firstRowFirstColumn="0" w:firstRowLastColumn="0" w:lastRowFirstColumn="0" w:lastRowLastColumn="0"/>
            </w:pPr>
            <w:r>
              <w:t>Số</w:t>
            </w:r>
            <w:r>
              <w:rPr>
                <w:lang w:val="vi-VN"/>
              </w:rPr>
              <w:t xml:space="preserve"> LEI đang hoạt động tính đến tháng 3/</w:t>
            </w:r>
            <w:r w:rsidR="00267F17" w:rsidRPr="004F1D15">
              <w:t>2024</w:t>
            </w:r>
          </w:p>
        </w:tc>
      </w:tr>
      <w:tr w:rsidR="00267F17" w:rsidRPr="004F1D15" w14:paraId="74A653E4"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7E235302" w14:textId="77777777" w:rsidR="00267F17" w:rsidRPr="004F1D15" w:rsidRDefault="00267F17" w:rsidP="007664A3">
            <w:r w:rsidRPr="004F1D15">
              <w:t>Brunei Darussalam</w:t>
            </w:r>
          </w:p>
        </w:tc>
        <w:tc>
          <w:tcPr>
            <w:tcW w:w="2835" w:type="dxa"/>
          </w:tcPr>
          <w:p w14:paraId="2C347CD9" w14:textId="77777777" w:rsidR="00267F17" w:rsidRPr="004F1D15" w:rsidRDefault="00267F17" w:rsidP="007664A3">
            <w:pPr>
              <w:cnfStyle w:val="000000100000" w:firstRow="0" w:lastRow="0" w:firstColumn="0" w:lastColumn="0" w:oddVBand="0" w:evenVBand="0" w:oddHBand="1" w:evenHBand="0" w:firstRowFirstColumn="0" w:firstRowLastColumn="0" w:lastRowFirstColumn="0" w:lastRowLastColumn="0"/>
            </w:pPr>
            <w:r w:rsidRPr="004F1D15">
              <w:t>37</w:t>
            </w:r>
          </w:p>
        </w:tc>
      </w:tr>
      <w:tr w:rsidR="00267F17" w:rsidRPr="004F1D15" w14:paraId="31EE3310" w14:textId="77777777">
        <w:trPr>
          <w:jc w:val="center"/>
        </w:trPr>
        <w:tc>
          <w:tcPr>
            <w:cnfStyle w:val="001000000000" w:firstRow="0" w:lastRow="0" w:firstColumn="1" w:lastColumn="0" w:oddVBand="0" w:evenVBand="0" w:oddHBand="0" w:evenHBand="0" w:firstRowFirstColumn="0" w:firstRowLastColumn="0" w:lastRowFirstColumn="0" w:lastRowLastColumn="0"/>
            <w:tcW w:w="2835" w:type="dxa"/>
          </w:tcPr>
          <w:p w14:paraId="2BED4179" w14:textId="0738E042" w:rsidR="00267F17" w:rsidRPr="00BD2345" w:rsidRDefault="00BD2345" w:rsidP="007664A3">
            <w:pPr>
              <w:rPr>
                <w:lang w:val="vi-VN"/>
              </w:rPr>
            </w:pPr>
            <w:r>
              <w:t>Campuchia</w:t>
            </w:r>
          </w:p>
        </w:tc>
        <w:tc>
          <w:tcPr>
            <w:tcW w:w="2835" w:type="dxa"/>
          </w:tcPr>
          <w:p w14:paraId="47F58B4F" w14:textId="77777777" w:rsidR="00267F17" w:rsidRPr="004F1D15" w:rsidRDefault="00267F17" w:rsidP="007664A3">
            <w:pPr>
              <w:cnfStyle w:val="000000000000" w:firstRow="0" w:lastRow="0" w:firstColumn="0" w:lastColumn="0" w:oddVBand="0" w:evenVBand="0" w:oddHBand="0" w:evenHBand="0" w:firstRowFirstColumn="0" w:firstRowLastColumn="0" w:lastRowFirstColumn="0" w:lastRowLastColumn="0"/>
            </w:pPr>
            <w:r w:rsidRPr="004F1D15">
              <w:t>29</w:t>
            </w:r>
          </w:p>
        </w:tc>
      </w:tr>
      <w:tr w:rsidR="00267F17" w:rsidRPr="004F1D15" w14:paraId="26B8B2D4"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1A29ACBB" w14:textId="77777777" w:rsidR="00267F17" w:rsidRPr="004F1D15" w:rsidRDefault="00267F17" w:rsidP="007664A3">
            <w:r w:rsidRPr="004F1D15">
              <w:t>Indonesia</w:t>
            </w:r>
          </w:p>
        </w:tc>
        <w:tc>
          <w:tcPr>
            <w:tcW w:w="2835" w:type="dxa"/>
          </w:tcPr>
          <w:p w14:paraId="4BD43316" w14:textId="77777777" w:rsidR="00267F17" w:rsidRPr="004F1D15" w:rsidRDefault="00267F17" w:rsidP="007664A3">
            <w:pPr>
              <w:cnfStyle w:val="000000100000" w:firstRow="0" w:lastRow="0" w:firstColumn="0" w:lastColumn="0" w:oddVBand="0" w:evenVBand="0" w:oddHBand="1" w:evenHBand="0" w:firstRowFirstColumn="0" w:firstRowLastColumn="0" w:lastRowFirstColumn="0" w:lastRowLastColumn="0"/>
            </w:pPr>
            <w:r w:rsidRPr="004F1D15">
              <w:t>1,194</w:t>
            </w:r>
          </w:p>
        </w:tc>
      </w:tr>
      <w:tr w:rsidR="00267F17" w:rsidRPr="004F1D15" w14:paraId="563713FB" w14:textId="77777777">
        <w:trPr>
          <w:jc w:val="center"/>
        </w:trPr>
        <w:tc>
          <w:tcPr>
            <w:cnfStyle w:val="001000000000" w:firstRow="0" w:lastRow="0" w:firstColumn="1" w:lastColumn="0" w:oddVBand="0" w:evenVBand="0" w:oddHBand="0" w:evenHBand="0" w:firstRowFirstColumn="0" w:firstRowLastColumn="0" w:lastRowFirstColumn="0" w:lastRowLastColumn="0"/>
            <w:tcW w:w="2835" w:type="dxa"/>
          </w:tcPr>
          <w:p w14:paraId="16B12EB5" w14:textId="41DBB66F" w:rsidR="00267F17" w:rsidRPr="00BD2345" w:rsidRDefault="00BD2345" w:rsidP="007664A3">
            <w:pPr>
              <w:rPr>
                <w:lang w:val="vi-VN"/>
              </w:rPr>
            </w:pPr>
            <w:r>
              <w:t>Lào</w:t>
            </w:r>
          </w:p>
        </w:tc>
        <w:tc>
          <w:tcPr>
            <w:tcW w:w="2835" w:type="dxa"/>
          </w:tcPr>
          <w:p w14:paraId="2659985E" w14:textId="77777777" w:rsidR="00267F17" w:rsidRPr="004F1D15" w:rsidRDefault="00267F17" w:rsidP="007664A3">
            <w:pPr>
              <w:cnfStyle w:val="000000000000" w:firstRow="0" w:lastRow="0" w:firstColumn="0" w:lastColumn="0" w:oddVBand="0" w:evenVBand="0" w:oddHBand="0" w:evenHBand="0" w:firstRowFirstColumn="0" w:firstRowLastColumn="0" w:lastRowFirstColumn="0" w:lastRowLastColumn="0"/>
            </w:pPr>
            <w:r w:rsidRPr="004F1D15">
              <w:t>14</w:t>
            </w:r>
          </w:p>
        </w:tc>
      </w:tr>
      <w:tr w:rsidR="00267F17" w:rsidRPr="004F1D15" w14:paraId="7D6E0566"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1A06691D" w14:textId="77777777" w:rsidR="00267F17" w:rsidRPr="004F1D15" w:rsidRDefault="00267F17" w:rsidP="007664A3">
            <w:r w:rsidRPr="004F1D15">
              <w:t>Malaysia</w:t>
            </w:r>
          </w:p>
        </w:tc>
        <w:tc>
          <w:tcPr>
            <w:tcW w:w="2835" w:type="dxa"/>
          </w:tcPr>
          <w:p w14:paraId="02FB4AB7" w14:textId="77777777" w:rsidR="00267F17" w:rsidRPr="004F1D15" w:rsidRDefault="00267F17" w:rsidP="007664A3">
            <w:pPr>
              <w:cnfStyle w:val="000000100000" w:firstRow="0" w:lastRow="0" w:firstColumn="0" w:lastColumn="0" w:oddVBand="0" w:evenVBand="0" w:oddHBand="1" w:evenHBand="0" w:firstRowFirstColumn="0" w:firstRowLastColumn="0" w:lastRowFirstColumn="0" w:lastRowLastColumn="0"/>
            </w:pPr>
            <w:r w:rsidRPr="004F1D15">
              <w:t>1,744</w:t>
            </w:r>
          </w:p>
        </w:tc>
      </w:tr>
      <w:tr w:rsidR="00267F17" w:rsidRPr="004F1D15" w14:paraId="6EF56EE1" w14:textId="77777777">
        <w:trPr>
          <w:jc w:val="center"/>
        </w:trPr>
        <w:tc>
          <w:tcPr>
            <w:cnfStyle w:val="001000000000" w:firstRow="0" w:lastRow="0" w:firstColumn="1" w:lastColumn="0" w:oddVBand="0" w:evenVBand="0" w:oddHBand="0" w:evenHBand="0" w:firstRowFirstColumn="0" w:firstRowLastColumn="0" w:lastRowFirstColumn="0" w:lastRowLastColumn="0"/>
            <w:tcW w:w="2835" w:type="dxa"/>
          </w:tcPr>
          <w:p w14:paraId="00D21FBC" w14:textId="77777777" w:rsidR="00267F17" w:rsidRPr="004F1D15" w:rsidRDefault="00267F17" w:rsidP="007664A3">
            <w:r w:rsidRPr="004F1D15">
              <w:t>Myanmar</w:t>
            </w:r>
          </w:p>
        </w:tc>
        <w:tc>
          <w:tcPr>
            <w:tcW w:w="2835" w:type="dxa"/>
          </w:tcPr>
          <w:p w14:paraId="1818154A" w14:textId="77777777" w:rsidR="00267F17" w:rsidRPr="004F1D15" w:rsidRDefault="00267F17" w:rsidP="007664A3">
            <w:pPr>
              <w:cnfStyle w:val="000000000000" w:firstRow="0" w:lastRow="0" w:firstColumn="0" w:lastColumn="0" w:oddVBand="0" w:evenVBand="0" w:oddHBand="0" w:evenHBand="0" w:firstRowFirstColumn="0" w:firstRowLastColumn="0" w:lastRowFirstColumn="0" w:lastRowLastColumn="0"/>
            </w:pPr>
            <w:r w:rsidRPr="004F1D15">
              <w:t>6</w:t>
            </w:r>
          </w:p>
        </w:tc>
      </w:tr>
      <w:tr w:rsidR="00267F17" w:rsidRPr="004F1D15" w14:paraId="43EBBBF3"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58AB9F84" w14:textId="77777777" w:rsidR="00267F17" w:rsidRPr="004F1D15" w:rsidRDefault="00267F17" w:rsidP="007664A3">
            <w:r w:rsidRPr="004F1D15">
              <w:t>Philippines</w:t>
            </w:r>
          </w:p>
        </w:tc>
        <w:tc>
          <w:tcPr>
            <w:tcW w:w="2835" w:type="dxa"/>
          </w:tcPr>
          <w:p w14:paraId="4B13713B" w14:textId="77777777" w:rsidR="00267F17" w:rsidRPr="004F1D15" w:rsidRDefault="00267F17" w:rsidP="007664A3">
            <w:pPr>
              <w:cnfStyle w:val="000000100000" w:firstRow="0" w:lastRow="0" w:firstColumn="0" w:lastColumn="0" w:oddVBand="0" w:evenVBand="0" w:oddHBand="1" w:evenHBand="0" w:firstRowFirstColumn="0" w:firstRowLastColumn="0" w:lastRowFirstColumn="0" w:lastRowLastColumn="0"/>
            </w:pPr>
            <w:r w:rsidRPr="004F1D15">
              <w:t>598</w:t>
            </w:r>
          </w:p>
        </w:tc>
      </w:tr>
      <w:tr w:rsidR="00267F17" w:rsidRPr="004F1D15" w14:paraId="0BE2ECAF" w14:textId="77777777">
        <w:trPr>
          <w:jc w:val="center"/>
        </w:trPr>
        <w:tc>
          <w:tcPr>
            <w:cnfStyle w:val="001000000000" w:firstRow="0" w:lastRow="0" w:firstColumn="1" w:lastColumn="0" w:oddVBand="0" w:evenVBand="0" w:oddHBand="0" w:evenHBand="0" w:firstRowFirstColumn="0" w:firstRowLastColumn="0" w:lastRowFirstColumn="0" w:lastRowLastColumn="0"/>
            <w:tcW w:w="2835" w:type="dxa"/>
          </w:tcPr>
          <w:p w14:paraId="4596391C" w14:textId="77777777" w:rsidR="00267F17" w:rsidRPr="004F1D15" w:rsidRDefault="00267F17" w:rsidP="007664A3">
            <w:r w:rsidRPr="004F1D15">
              <w:t xml:space="preserve">Singapore </w:t>
            </w:r>
          </w:p>
        </w:tc>
        <w:tc>
          <w:tcPr>
            <w:tcW w:w="2835" w:type="dxa"/>
          </w:tcPr>
          <w:p w14:paraId="2F19CD3A" w14:textId="77777777" w:rsidR="00267F17" w:rsidRPr="004F1D15" w:rsidRDefault="00267F17" w:rsidP="007664A3">
            <w:pPr>
              <w:cnfStyle w:val="000000000000" w:firstRow="0" w:lastRow="0" w:firstColumn="0" w:lastColumn="0" w:oddVBand="0" w:evenVBand="0" w:oddHBand="0" w:evenHBand="0" w:firstRowFirstColumn="0" w:firstRowLastColumn="0" w:lastRowFirstColumn="0" w:lastRowLastColumn="0"/>
            </w:pPr>
            <w:r w:rsidRPr="004F1D15">
              <w:t>10,369</w:t>
            </w:r>
          </w:p>
        </w:tc>
      </w:tr>
      <w:tr w:rsidR="00267F17" w:rsidRPr="004F1D15" w14:paraId="134C384C"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1B9EBB69" w14:textId="488BD766" w:rsidR="00267F17" w:rsidRPr="00BD2345" w:rsidRDefault="00BD2345" w:rsidP="007664A3">
            <w:pPr>
              <w:rPr>
                <w:lang w:val="vi-VN"/>
              </w:rPr>
            </w:pPr>
            <w:r>
              <w:t>Thái</w:t>
            </w:r>
            <w:r>
              <w:rPr>
                <w:lang w:val="vi-VN"/>
              </w:rPr>
              <w:t xml:space="preserve"> Lan</w:t>
            </w:r>
          </w:p>
        </w:tc>
        <w:tc>
          <w:tcPr>
            <w:tcW w:w="2835" w:type="dxa"/>
          </w:tcPr>
          <w:p w14:paraId="338869B6" w14:textId="77777777" w:rsidR="00267F17" w:rsidRPr="004F1D15" w:rsidRDefault="00267F17" w:rsidP="007664A3">
            <w:pPr>
              <w:cnfStyle w:val="000000100000" w:firstRow="0" w:lastRow="0" w:firstColumn="0" w:lastColumn="0" w:oddVBand="0" w:evenVBand="0" w:oddHBand="1" w:evenHBand="0" w:firstRowFirstColumn="0" w:firstRowLastColumn="0" w:lastRowFirstColumn="0" w:lastRowLastColumn="0"/>
            </w:pPr>
            <w:r w:rsidRPr="004F1D15">
              <w:t>1,726</w:t>
            </w:r>
          </w:p>
        </w:tc>
      </w:tr>
      <w:tr w:rsidR="00267F17" w:rsidRPr="004F1D15" w14:paraId="71180A1D" w14:textId="77777777">
        <w:trPr>
          <w:jc w:val="center"/>
        </w:trPr>
        <w:tc>
          <w:tcPr>
            <w:cnfStyle w:val="001000000000" w:firstRow="0" w:lastRow="0" w:firstColumn="1" w:lastColumn="0" w:oddVBand="0" w:evenVBand="0" w:oddHBand="0" w:evenHBand="0" w:firstRowFirstColumn="0" w:firstRowLastColumn="0" w:lastRowFirstColumn="0" w:lastRowLastColumn="0"/>
            <w:tcW w:w="2835" w:type="dxa"/>
          </w:tcPr>
          <w:p w14:paraId="6E187288" w14:textId="087B0E3E" w:rsidR="00267F17" w:rsidRPr="00BD2345" w:rsidRDefault="00BD2345" w:rsidP="007664A3">
            <w:pPr>
              <w:rPr>
                <w:lang w:val="vi-VN"/>
              </w:rPr>
            </w:pPr>
            <w:r>
              <w:t>Việt</w:t>
            </w:r>
            <w:r>
              <w:rPr>
                <w:lang w:val="vi-VN"/>
              </w:rPr>
              <w:t xml:space="preserve"> Nam</w:t>
            </w:r>
          </w:p>
        </w:tc>
        <w:tc>
          <w:tcPr>
            <w:tcW w:w="2835" w:type="dxa"/>
          </w:tcPr>
          <w:p w14:paraId="3AEEAAB7" w14:textId="77777777" w:rsidR="00267F17" w:rsidRPr="004F1D15" w:rsidRDefault="00267F17" w:rsidP="007664A3">
            <w:pPr>
              <w:cnfStyle w:val="000000000000" w:firstRow="0" w:lastRow="0" w:firstColumn="0" w:lastColumn="0" w:oddVBand="0" w:evenVBand="0" w:oddHBand="0" w:evenHBand="0" w:firstRowFirstColumn="0" w:firstRowLastColumn="0" w:lastRowFirstColumn="0" w:lastRowLastColumn="0"/>
            </w:pPr>
            <w:r w:rsidRPr="004F1D15">
              <w:t>285</w:t>
            </w:r>
          </w:p>
        </w:tc>
      </w:tr>
    </w:tbl>
    <w:p w14:paraId="4249005B" w14:textId="7D0C0657" w:rsidR="00267F17" w:rsidRPr="00BE685B" w:rsidRDefault="007677A4" w:rsidP="007664A3">
      <w:pPr>
        <w:rPr>
          <w:i/>
          <w:sz w:val="20"/>
          <w:szCs w:val="20"/>
          <w:lang w:val="fr-FR"/>
        </w:rPr>
      </w:pPr>
      <w:r>
        <w:rPr>
          <w:i/>
          <w:sz w:val="20"/>
          <w:szCs w:val="20"/>
          <w:lang w:val="fr-FR"/>
        </w:rPr>
        <w:t>Nguồn</w:t>
      </w:r>
      <w:r w:rsidR="00267F17" w:rsidRPr="00BE685B">
        <w:rPr>
          <w:i/>
          <w:sz w:val="20"/>
          <w:szCs w:val="20"/>
          <w:lang w:val="fr-FR"/>
        </w:rPr>
        <w:t xml:space="preserve">: LEI (2024) </w:t>
      </w:r>
      <w:r w:rsidR="001D08E5">
        <w:rPr>
          <w:i/>
          <w:sz w:val="20"/>
          <w:szCs w:val="20"/>
          <w:lang w:val="fr-FR"/>
        </w:rPr>
        <w:t>Thống kê LEI</w:t>
      </w:r>
      <w:r w:rsidR="00267F17" w:rsidRPr="00BE685B">
        <w:rPr>
          <w:i/>
          <w:sz w:val="20"/>
          <w:szCs w:val="20"/>
          <w:lang w:val="fr-FR"/>
        </w:rPr>
        <w:t xml:space="preserve">, </w:t>
      </w:r>
      <w:hyperlink r:id="rId20">
        <w:r w:rsidR="00267F17" w:rsidRPr="00BE685B">
          <w:rPr>
            <w:rStyle w:val="Hyperlink"/>
            <w:rFonts w:eastAsia="Quattrocento Sans"/>
            <w:i/>
            <w:color w:val="auto"/>
            <w:sz w:val="20"/>
            <w:szCs w:val="20"/>
            <w:lang w:val="fr-FR"/>
          </w:rPr>
          <w:t>https://www.gleif.org/en/lei-data/global-lei-index/lei-statistics</w:t>
        </w:r>
      </w:hyperlink>
    </w:p>
    <w:p w14:paraId="059F8CC9" w14:textId="2EAD149F" w:rsidR="00267F17" w:rsidRPr="009727E0" w:rsidRDefault="009727E0" w:rsidP="007664A3">
      <w:pPr>
        <w:rPr>
          <w:rFonts w:eastAsia="Times New Roman"/>
          <w:i/>
          <w:sz w:val="20"/>
          <w:szCs w:val="20"/>
          <w:lang w:val="vi-VN"/>
        </w:rPr>
      </w:pPr>
      <w:r w:rsidRPr="009727E0">
        <w:rPr>
          <w:i/>
          <w:sz w:val="20"/>
          <w:szCs w:val="20"/>
          <w:lang w:val="vi-VN"/>
        </w:rPr>
        <w:t>Lưu ý: Do có hạn chế về thông tin liên quan đến mức độ áp dụng LEI trong ASEAN, chúng tôi cung cấp số lượng LEI đang hoạt động tại từng AMS để đưa ra một bức tranh tổng quan về tình hình áp dụng LEI trong khu vực.</w:t>
      </w:r>
    </w:p>
    <w:p w14:paraId="3F3B5BBE" w14:textId="591BEAC9" w:rsidR="009727E0" w:rsidRPr="009727E0" w:rsidRDefault="009727E0" w:rsidP="007664A3">
      <w:pPr>
        <w:rPr>
          <w:lang w:val="vi-VN"/>
        </w:rPr>
      </w:pPr>
      <w:r w:rsidRPr="009727E0">
        <w:rPr>
          <w:lang w:val="vi-VN"/>
        </w:rPr>
        <w:t>Tuy nhiên, nghiên cứu cho thấy một số lượng lớn doanh nghiệp vừa, nhỏ và siêu nhỏ (MSMEs) trong khu vực đã sử dụng danh tính số doanh nghiệp cho nhiều mục đích, bao gồm truy cập dịch vụ y tế và dịch vụ chính phủ</w:t>
      </w:r>
      <w:r w:rsidRPr="004F1D15">
        <w:rPr>
          <w:vertAlign w:val="superscript"/>
        </w:rPr>
        <w:footnoteReference w:id="179"/>
      </w:r>
      <w:r w:rsidRPr="009727E0">
        <w:rPr>
          <w:lang w:val="vi-VN"/>
        </w:rPr>
        <w:t>. Trong số các AMS, hệ thống danh tính số doanh nghiệp của Singapore là phát triển nhất, hỗ trợ giao dịch G2B, B2B và B2C. Corppass của nước này cho phép pháp nhân trong nước và nước ngoài truy cập dịch vụ số của chính phủ</w:t>
      </w:r>
      <w:r w:rsidRPr="004F1D15">
        <w:rPr>
          <w:vertAlign w:val="superscript"/>
        </w:rPr>
        <w:footnoteReference w:id="180"/>
      </w:r>
      <w:r w:rsidRPr="009727E0">
        <w:rPr>
          <w:lang w:val="vi-VN"/>
        </w:rPr>
        <w:t>, trong khi dịch vụ Myinfo business cho phép các tổ chức đồng ý chia sẻ an toàn dữ liệu doanh nghiệp và dữ liệu cá nhân của ứng viên với các doanh nghiệp khác.</w:t>
      </w:r>
    </w:p>
    <w:p w14:paraId="2FB8689F" w14:textId="583B96CA" w:rsidR="00D40DAC" w:rsidRPr="00D40DAC" w:rsidRDefault="00D40DAC" w:rsidP="007664A3">
      <w:pPr>
        <w:rPr>
          <w:lang w:val="vi-VN"/>
        </w:rPr>
      </w:pPr>
      <w:r w:rsidRPr="00D40DAC">
        <w:rPr>
          <w:lang w:val="vi-VN"/>
        </w:rPr>
        <w:t>Trên cơ sở các nỗ lực hiện có trong khu vực, ASEAN hiện đang thúc đẩy cải thiện khả năng tiếp cận tài chính của doanh nghiệp trên các AMS thông qua UBIN. Mục tiêu của UBIN là xây dựng hạ tầng số có khả năng tương tác nhằm thúc đẩy khả năng liên thông giữa các cơ sở dữ liệu đăng ký doanh nghiệp của các AMS</w:t>
      </w:r>
      <w:r w:rsidRPr="004F1D15">
        <w:rPr>
          <w:vertAlign w:val="superscript"/>
        </w:rPr>
        <w:footnoteReference w:id="181"/>
      </w:r>
      <w:r w:rsidRPr="00D40DAC">
        <w:rPr>
          <w:lang w:val="vi-VN"/>
        </w:rPr>
        <w:t>. Ngoài ra, công tác triển khai Nền tảng Chứng chỉ số ASEAN (AKREDI) trong năm nay sẽ hỗ trợ các tổ chức thông qua việc tạo ra một nền tảng tin cậy số cho danh tính, thuộc tính và tài sản của các tổ chức và cá nhân, qua đó tái định nghĩa quy trình công nhận, xác thực và KYC trong ASEAN, đặc biệt phục vụ di chuyển xuyên biên giới của nhân lực, doanh nghiệp và dòng vốn đầu tư</w:t>
      </w:r>
      <w:r w:rsidRPr="004F1D15">
        <w:rPr>
          <w:rStyle w:val="FootnoteReference"/>
          <w:rFonts w:eastAsia="Times New Roman"/>
        </w:rPr>
        <w:footnoteReference w:id="182"/>
      </w:r>
      <w:r w:rsidRPr="00D40DAC">
        <w:rPr>
          <w:lang w:val="vi-VN"/>
        </w:rPr>
        <w:t>. AKREDI sẽ hoạt động thông qua một ứng dụng di động tích hợp ví số.</w:t>
      </w:r>
    </w:p>
    <w:p w14:paraId="12E9A51B" w14:textId="1CA67958" w:rsidR="00D40DAC" w:rsidRPr="00D40DAC" w:rsidRDefault="00D40DAC" w:rsidP="007664A3">
      <w:pPr>
        <w:rPr>
          <w:lang w:val="vi-VN"/>
        </w:rPr>
      </w:pPr>
      <w:r w:rsidRPr="00D40DAC">
        <w:rPr>
          <w:lang w:val="vi-VN"/>
        </w:rPr>
        <w:t xml:space="preserve">Hiện có rất ít thông tin về mức độ áp dụng tiêu chuẩn ISO/IEC 24745:2022 tại các AMS. Đối với FIDO Universal Authentication Framework, hai </w:t>
      </w:r>
      <w:r>
        <w:rPr>
          <w:lang w:val="vi-VN"/>
        </w:rPr>
        <w:t xml:space="preserve">AMS - </w:t>
      </w:r>
      <w:r w:rsidRPr="00D40DAC">
        <w:rPr>
          <w:lang w:val="vi-VN"/>
        </w:rPr>
        <w:t xml:space="preserve">Cơ quan Phát triển Giao dịch Điện tử Thái Lan và Bộ </w:t>
      </w:r>
      <w:r w:rsidRPr="00D40DAC">
        <w:rPr>
          <w:lang w:val="vi-VN"/>
        </w:rPr>
        <w:lastRenderedPageBreak/>
        <w:t>Thông tin và Truyền thông Việt Nam</w:t>
      </w:r>
      <w:r>
        <w:rPr>
          <w:lang w:val="vi-VN"/>
        </w:rPr>
        <w:t xml:space="preserve"> - </w:t>
      </w:r>
      <w:r w:rsidRPr="00D40DAC">
        <w:rPr>
          <w:lang w:val="vi-VN"/>
        </w:rPr>
        <w:t>là số ít các cơ quan chính phủ trên thế giới là thành viên của Liên minh FIDO</w:t>
      </w:r>
      <w:r w:rsidRPr="004F1D15">
        <w:rPr>
          <w:rStyle w:val="FootnoteReference"/>
          <w:rFonts w:eastAsia="Times New Roman"/>
        </w:rPr>
        <w:footnoteReference w:id="183"/>
      </w:r>
      <w:r w:rsidRPr="00D40DAC">
        <w:rPr>
          <w:lang w:val="vi-VN"/>
        </w:rPr>
        <w:t>, đơn vị quản lý khung xác thực FIDO.</w:t>
      </w:r>
    </w:p>
    <w:p w14:paraId="0FF7479B" w14:textId="07504396" w:rsidR="00D40DAC" w:rsidRPr="00D40DAC" w:rsidRDefault="00D40DAC" w:rsidP="007664A3">
      <w:pPr>
        <w:rPr>
          <w:lang w:val="vi-VN"/>
        </w:rPr>
      </w:pPr>
      <w:r w:rsidRPr="00D40DAC">
        <w:rPr>
          <w:lang w:val="vi-VN"/>
        </w:rPr>
        <w:t>Hiện nay, chín trên mười AMS đã triển khai hệ thống định danh nền tảng (foundational ID), trong khi Philippines đang trong quá trình hoàn thiện</w:t>
      </w:r>
      <w:r w:rsidR="00E67F5B" w:rsidRPr="004F1D15">
        <w:rPr>
          <w:rStyle w:val="FootnoteReference"/>
          <w:rFonts w:eastAsia="Times New Roman"/>
        </w:rPr>
        <w:footnoteReference w:id="184"/>
      </w:r>
      <w:r w:rsidRPr="00D40DAC">
        <w:rPr>
          <w:lang w:val="vi-VN"/>
        </w:rPr>
        <w:t>. Mặc dù đạt tiến triển đáng kể, khu vực vẫn đối mặt với nhiều thách thức. Một thách thức lớn là đảm bảo khả năng tương tác giữa các hệ thống danh tính số nội địa của ASEAN</w:t>
      </w:r>
      <w:r w:rsidR="00E67F5B" w:rsidRPr="004F1D15">
        <w:rPr>
          <w:rStyle w:val="FootnoteReference"/>
          <w:rFonts w:eastAsia="Times New Roman"/>
        </w:rPr>
        <w:footnoteReference w:id="185"/>
      </w:r>
      <w:r w:rsidRPr="00D40DAC">
        <w:rPr>
          <w:lang w:val="vi-VN"/>
        </w:rPr>
        <w:t>. Khung pháp lý khác biệt điều chỉnh danh tính số khiến các hệ thống không thể sử dụng xuyên biên giới. Những khác biệt này hạn chế việc công nhận pháp lý danh tính số của một cá nhân tại quốc gia khác và cản trở người dân tiếp nhận các giải pháp danh tính số.</w:t>
      </w:r>
    </w:p>
    <w:p w14:paraId="66A99166" w14:textId="4BBEF04B" w:rsidR="00E67F5B" w:rsidRPr="00E67F5B" w:rsidRDefault="00E67F5B" w:rsidP="007664A3">
      <w:pPr>
        <w:rPr>
          <w:lang w:val="vi-VN"/>
        </w:rPr>
      </w:pPr>
      <w:r w:rsidRPr="00E67F5B">
        <w:rPr>
          <w:lang w:val="vi-VN"/>
        </w:rPr>
        <w:t>Đáng chú ý, mặc dù tỷ lệ bao phủ định danh quốc gia trung bình tại các AMS vượt 90%, tỷ lệ áp dụng danh tính số chỉ ở mức khoảng 30%</w:t>
      </w:r>
      <w:r w:rsidRPr="004F1D15">
        <w:rPr>
          <w:vertAlign w:val="superscript"/>
        </w:rPr>
        <w:footnoteReference w:id="186"/>
      </w:r>
      <w:r w:rsidRPr="00E67F5B">
        <w:rPr>
          <w:lang w:val="vi-VN"/>
        </w:rPr>
        <w:t>. Nghiên cứu về hành vi và thái độ người tiêu dùng tại các AMS cho thấy mặc dù có sự quan tâm và nhận thức đáng kể về danh tính số, việc áp dụng vẫn bị cản trở bởi nhiều yếu tố. Quan trọng nhất là lo ngại về quyền riêng tư và an ninh. Nhiều cá nhân cho rằng các biện pháp an ninh mạng hiện tại, hạ tầng danh tính số và khung pháp lý liên quan vẫn chưa đầy đủ để bảo vệ dữ liệu cá nhân và quyền của họ</w:t>
      </w:r>
      <w:r w:rsidRPr="004F1D15">
        <w:rPr>
          <w:vertAlign w:val="superscript"/>
        </w:rPr>
        <w:footnoteReference w:id="187"/>
      </w:r>
      <w:r w:rsidRPr="00E67F5B">
        <w:rPr>
          <w:lang w:val="vi-VN"/>
        </w:rPr>
        <w:t>. Ngoài ra, việc áp dụng danh tính số cá nhân bị hạn chế do thiếu kỹ năng số, thiếu hiểu biết về danh tính số và mức độ tin cậy thấp đối với các nhà cung cấp giải pháp danh tính số</w:t>
      </w:r>
      <w:r w:rsidRPr="004F1D15">
        <w:rPr>
          <w:vertAlign w:val="superscript"/>
        </w:rPr>
        <w:footnoteReference w:id="188"/>
      </w:r>
      <w:r w:rsidRPr="00E67F5B">
        <w:rPr>
          <w:lang w:val="vi-VN"/>
        </w:rPr>
        <w:t>. Đáng chú ý, Singapore là AMS duy nhất cho phép sử dụng danh tính số để thực hiện giao dịch điện tử trong cả khu vực công và tư</w:t>
      </w:r>
      <w:r w:rsidRPr="004F1D15">
        <w:rPr>
          <w:rStyle w:val="FootnoteReference"/>
          <w:rFonts w:eastAsia="Times New Roman"/>
        </w:rPr>
        <w:footnoteReference w:id="189"/>
      </w:r>
      <w:r w:rsidRPr="00E67F5B">
        <w:rPr>
          <w:lang w:val="vi-VN"/>
        </w:rPr>
        <w:t>.</w:t>
      </w:r>
    </w:p>
    <w:p w14:paraId="4E8FEC04" w14:textId="3243F5A5" w:rsidR="00E67F5B" w:rsidRPr="00E67F5B" w:rsidRDefault="00E67F5B" w:rsidP="007664A3">
      <w:pPr>
        <w:rPr>
          <w:lang w:val="vi-VN"/>
        </w:rPr>
      </w:pPr>
      <w:r w:rsidRPr="00E67F5B">
        <w:rPr>
          <w:lang w:val="vi-VN"/>
        </w:rPr>
        <w:t>Bên ngoài ASEAN, EU đã xây dựng Quy định về Danh tính Số EU nhằm tạo ra khả năng tương tác giữa chính phủ, công dân và doanh nghiệp trong một khuôn khổ thống nhất cho 27 quốc gia</w:t>
      </w:r>
      <w:r w:rsidR="00CE15F8" w:rsidRPr="00073C0D">
        <w:rPr>
          <w:rStyle w:val="FootnoteReference"/>
          <w:rFonts w:eastAsia="Quattrocento Sans"/>
          <w:bCs/>
          <w:lang w:eastAsia="zh-CN"/>
        </w:rPr>
        <w:footnoteReference w:id="190"/>
      </w:r>
      <w:r w:rsidRPr="00E67F5B">
        <w:rPr>
          <w:lang w:val="vi-VN"/>
        </w:rPr>
        <w:t>. Phạm vi áp dụng của quy định này còn mở rộng ra ngoài châu Âu, với việc EU tích cực theo đuổi khả năng tương tác quốc tế rộng hơn. Ví dụ, ngày 30/4, EU và Nhật Bản ký Biên bản Hợp tác để hài hòa hệ thống Danh tính Số của Nhật với ví định danh số và dịch vụ tin cậy của EU. Tương tự, các quốc gia chia sẻ giá trị và mục tiêu của EU về một nền kinh tế số an toàn và tin cậy, như Singapore, cũng đang được EU thúc đẩy hợp tác</w:t>
      </w:r>
      <w:r w:rsidR="00CE15F8" w:rsidRPr="00073C0D">
        <w:rPr>
          <w:rStyle w:val="FootnoteReference"/>
          <w:rFonts w:eastAsia="Quattrocento Sans"/>
          <w:bCs/>
          <w:lang w:eastAsia="zh-CN"/>
        </w:rPr>
        <w:footnoteReference w:id="191"/>
      </w:r>
      <w:r w:rsidRPr="00E67F5B">
        <w:rPr>
          <w:lang w:val="vi-VN"/>
        </w:rPr>
        <w:t>.</w:t>
      </w:r>
    </w:p>
    <w:p w14:paraId="7B464620" w14:textId="3E070C06" w:rsidR="00267F17" w:rsidRPr="004F1D15" w:rsidRDefault="00CE15F8" w:rsidP="00FF6387">
      <w:pPr>
        <w:pStyle w:val="ListParagraph"/>
        <w:numPr>
          <w:ilvl w:val="0"/>
          <w:numId w:val="31"/>
        </w:numPr>
        <w:rPr>
          <w:rFonts w:ascii="Arial" w:eastAsia="Quattrocento Sans" w:hAnsi="Arial"/>
          <w:b/>
          <w:color w:val="auto"/>
          <w:lang w:val="en-GB" w:eastAsia="zh-CN"/>
        </w:rPr>
      </w:pPr>
      <w:r w:rsidRPr="00CE15F8">
        <w:rPr>
          <w:rFonts w:ascii="Arial" w:eastAsia="Quattrocento Sans" w:hAnsi="Arial"/>
          <w:b/>
          <w:color w:val="auto"/>
          <w:lang w:val="vi-VN" w:eastAsia="zh-CN"/>
        </w:rPr>
        <w:t>Liên kết với các tiểu lĩnh vực khác / Các yếu tố cần xem xét khác</w:t>
      </w:r>
    </w:p>
    <w:p w14:paraId="51FD413F" w14:textId="68CBAE45" w:rsidR="00267F17" w:rsidRPr="00CE15F8" w:rsidRDefault="00CE15F8" w:rsidP="007664A3">
      <w:pPr>
        <w:rPr>
          <w:lang w:val="vi-VN"/>
        </w:rPr>
      </w:pPr>
      <w:r w:rsidRPr="00CE15F8">
        <w:rPr>
          <w:lang w:val="vi-VN"/>
        </w:rPr>
        <w:lastRenderedPageBreak/>
        <w:t>Nhận dạng và xác thực pháp nhân, cũng như sinh trắc học, đóng vai trò quan trọng trong thương mại điện tử xuyên biên giới và thanh toán xuyên biên giới khi hỗ trợ xác minh danh tính của cá nhân và doanh nghiệp.</w:t>
      </w:r>
    </w:p>
    <w:p w14:paraId="7BBCDF08" w14:textId="67D47C82" w:rsidR="00267F17" w:rsidRPr="004F1D15" w:rsidRDefault="00CE15F8" w:rsidP="007664A3">
      <w:r w:rsidRPr="00CE15F8">
        <w:rPr>
          <w:lang w:val="vi-VN"/>
        </w:rPr>
        <w:t>Năm 2022, ngân hàng trung ương Indonesia, Malaysia, Philippines, Singapore và Thái Lan đã thống nhất phát triển hệ thống thanh toán và danh tính số liên thông và tương thích để hỗ trợ giao dịch xuyên biên giới với chi phí rẻ hơn, tốc độ nhanh hơn, tính bao trùm cao hơn và tính minh bạch tốt hơn.</w:t>
      </w:r>
      <w:r w:rsidR="00267F17" w:rsidRPr="004F1D15">
        <w:rPr>
          <w:rStyle w:val="FootnoteReference"/>
          <w:rFonts w:eastAsia="Times New Roman"/>
        </w:rPr>
        <w:footnoteReference w:id="192"/>
      </w:r>
      <w:r w:rsidR="00267F17" w:rsidRPr="004F1D15">
        <w:t xml:space="preserve"> </w:t>
      </w:r>
    </w:p>
    <w:p w14:paraId="17C52B3F" w14:textId="009A6650" w:rsidR="00267F17" w:rsidRPr="004F1D15" w:rsidRDefault="00CE15F8" w:rsidP="007664A3">
      <w:r w:rsidRPr="00CE15F8">
        <w:rPr>
          <w:lang w:val="vi-VN"/>
        </w:rPr>
        <w:t>Cuối cùng, sinh trắc học cũng gắn liền với khung bảo vệ và quyền riêng tư dữ liệu xuyên biên giới, vốn cần thiết để đảm bảo việc truyền dữ liệu cá nhân được an toàn.</w:t>
      </w:r>
      <w:r w:rsidR="00267F17" w:rsidRPr="004F1D15">
        <w:rPr>
          <w:rStyle w:val="FootnoteReference"/>
          <w:rFonts w:eastAsia="Times New Roman"/>
        </w:rPr>
        <w:footnoteReference w:id="193"/>
      </w:r>
    </w:p>
    <w:p w14:paraId="0218D4C0" w14:textId="44641340" w:rsidR="00267F17" w:rsidRPr="004F1D15" w:rsidRDefault="00CE15F8" w:rsidP="4325A529">
      <w:pPr>
        <w:pStyle w:val="Heading4"/>
        <w:rPr>
          <w:lang w:val="en-GB"/>
        </w:rPr>
      </w:pPr>
      <w:r>
        <w:rPr>
          <w:lang w:val="en-GB"/>
        </w:rPr>
        <w:t>An</w:t>
      </w:r>
      <w:r>
        <w:rPr>
          <w:lang w:val="vi-VN"/>
        </w:rPr>
        <w:t xml:space="preserve"> ninh mạng</w:t>
      </w:r>
    </w:p>
    <w:p w14:paraId="0DA67A75" w14:textId="27BF445B" w:rsidR="00267F17" w:rsidRPr="004F1D15" w:rsidRDefault="002B03BB" w:rsidP="00595FF2">
      <w:pPr>
        <w:pStyle w:val="ListParagraph"/>
        <w:numPr>
          <w:ilvl w:val="0"/>
          <w:numId w:val="10"/>
        </w:numPr>
        <w:rPr>
          <w:rFonts w:ascii="Arial" w:eastAsia="Quattrocento Sans" w:hAnsi="Arial"/>
          <w:b/>
          <w:color w:val="auto"/>
          <w:lang w:val="en-GB" w:eastAsia="zh-CN"/>
        </w:rPr>
      </w:pPr>
      <w:r>
        <w:rPr>
          <w:rFonts w:ascii="Arial" w:eastAsia="Quattrocento Sans" w:hAnsi="Arial"/>
          <w:b/>
          <w:color w:val="auto"/>
          <w:lang w:val="vi-VN" w:eastAsia="zh-CN"/>
        </w:rPr>
        <w:t>Tầm quan trọng của tiêu chuẩn trong tiểu lĩnh vực này</w:t>
      </w:r>
    </w:p>
    <w:p w14:paraId="0501C27C" w14:textId="13D04F7E" w:rsidR="002B03BB" w:rsidRPr="002B03BB" w:rsidRDefault="002B03BB" w:rsidP="007664A3">
      <w:pPr>
        <w:rPr>
          <w:lang w:val="vi-VN"/>
        </w:rPr>
      </w:pPr>
      <w:r w:rsidRPr="002B03BB">
        <w:rPr>
          <w:lang w:val="vi-VN"/>
        </w:rPr>
        <w:t>Trong bối cảnh không gian số ngày càng trở nên thù địch, các khung khổ và chính sách an ninh mạng vững chắc đã trở nên không thể thiếu để thúc đẩy tăng trưởng thương mại số trong ASEAN. Các biện pháp bảo vệ an ninh mạng mạnh mẽ không chỉ tạo dựng niềm tin cho người tiêu dùng và doanh nghiệp khi thực hiện giao dịch trực tuyến, mà còn hỗ trợ phát triển các mạng lưới thương mại có khả năng chống chịu. Các biện pháp này đóng vai trò là “lá chắn” quan trọng trước các thiệt hại tài chính, từ gián đoạn chuỗi cung ứng đến lỗ hổng phần mềm</w:t>
      </w:r>
      <w:r w:rsidRPr="004F1D15">
        <w:rPr>
          <w:rStyle w:val="FootnoteReference"/>
          <w:rFonts w:eastAsia="Times New Roman"/>
        </w:rPr>
        <w:footnoteReference w:id="194"/>
      </w:r>
      <w:r w:rsidRPr="002B03BB">
        <w:rPr>
          <w:lang w:val="vi-VN"/>
        </w:rPr>
        <w:t>. Do đó, phát triển năng lực và tiêu chuẩn an ninh mạng là điều tối quan trọng nhằm bảo vệ tính toàn vẹn và tính bền vững của hệ sinh thái thương mại số trong ASEAN.</w:t>
      </w:r>
    </w:p>
    <w:p w14:paraId="18197A77" w14:textId="79AC46A9" w:rsidR="00267F17" w:rsidRPr="004F1D15" w:rsidRDefault="002B03BB" w:rsidP="00595FF2">
      <w:pPr>
        <w:pStyle w:val="ListParagraph"/>
        <w:numPr>
          <w:ilvl w:val="0"/>
          <w:numId w:val="10"/>
        </w:numPr>
        <w:rPr>
          <w:rFonts w:ascii="Arial" w:eastAsia="Quattrocento Sans" w:hAnsi="Arial"/>
          <w:b/>
          <w:color w:val="auto"/>
          <w:lang w:val="en-GB" w:eastAsia="zh-CN"/>
        </w:rPr>
      </w:pPr>
      <w:r>
        <w:rPr>
          <w:rFonts w:ascii="Arial" w:eastAsia="Quattrocento Sans" w:hAnsi="Arial"/>
          <w:b/>
          <w:color w:val="auto"/>
          <w:lang w:val="vi-VN" w:eastAsia="zh-CN"/>
        </w:rPr>
        <w:t>Các tiêu chuẩn quốc tế trọng yếu đối với ASEAN</w:t>
      </w:r>
    </w:p>
    <w:p w14:paraId="6DCDD76E" w14:textId="2B2A26F9" w:rsidR="00063307" w:rsidRDefault="00063307" w:rsidP="007664A3">
      <w:pPr>
        <w:rPr>
          <w:lang w:val="vi-VN"/>
        </w:rPr>
      </w:pPr>
      <w:r w:rsidRPr="00AF6B7C">
        <w:rPr>
          <w:i/>
          <w:iCs/>
          <w:lang w:val="vi-VN"/>
        </w:rPr>
        <w:t xml:space="preserve">Bộ tiêu chuẩn ISO/IEC 27000 </w:t>
      </w:r>
      <w:r w:rsidRPr="00063307">
        <w:rPr>
          <w:lang w:val="vi-VN"/>
        </w:rPr>
        <w:t>là một nhóm các tiêu chuẩn bao quát nhiều thực tiễn tốt nhất liên quan đến quản lý rủi ro an ninh thông tin và triển khai các biện pháp kiểm soát an ninh. Cụ thể, có hai tiêu chuẩn trong bộ này được các quốc gia thành viên ASEAN (AMS) áp dụng rộng rãi nhất, gồm ISO/IEC 27001 và ISO/IEC 27002</w:t>
      </w:r>
      <w:r w:rsidR="00AF6B7C" w:rsidRPr="004F1D15">
        <w:rPr>
          <w:rStyle w:val="FootnoteReference"/>
          <w:rFonts w:eastAsia="Times New Roman"/>
        </w:rPr>
        <w:footnoteReference w:id="195"/>
      </w:r>
      <w:r w:rsidRPr="00063307">
        <w:rPr>
          <w:lang w:val="vi-VN"/>
        </w:rPr>
        <w:t>.</w:t>
      </w:r>
      <w:r>
        <w:rPr>
          <w:lang w:val="vi-VN"/>
        </w:rPr>
        <w:t xml:space="preserve"> </w:t>
      </w:r>
      <w:r w:rsidRPr="00063307">
        <w:rPr>
          <w:b/>
          <w:bCs/>
          <w:lang w:val="vi-VN"/>
        </w:rPr>
        <w:t xml:space="preserve">ISO/IEC 27001 </w:t>
      </w:r>
      <w:r w:rsidR="00AF6B7C">
        <w:rPr>
          <w:b/>
          <w:bCs/>
          <w:lang w:val="vi-VN"/>
        </w:rPr>
        <w:t>-</w:t>
      </w:r>
      <w:r w:rsidRPr="00063307">
        <w:rPr>
          <w:b/>
          <w:bCs/>
          <w:lang w:val="vi-VN"/>
        </w:rPr>
        <w:t xml:space="preserve"> An ninh thông tin, an ninh mạng và bảo vệ quyền riêng tư </w:t>
      </w:r>
      <w:r w:rsidR="00AF6B7C">
        <w:rPr>
          <w:b/>
          <w:bCs/>
          <w:lang w:val="vi-VN"/>
        </w:rPr>
        <w:t>-</w:t>
      </w:r>
      <w:r w:rsidRPr="00063307">
        <w:rPr>
          <w:b/>
          <w:bCs/>
          <w:lang w:val="vi-VN"/>
        </w:rPr>
        <w:t xml:space="preserve"> Hệ thống quản lý an ninh thông tin </w:t>
      </w:r>
      <w:r w:rsidR="00AF6B7C">
        <w:rPr>
          <w:b/>
          <w:bCs/>
          <w:lang w:val="vi-VN"/>
        </w:rPr>
        <w:t>-</w:t>
      </w:r>
      <w:r w:rsidRPr="00063307">
        <w:rPr>
          <w:b/>
          <w:bCs/>
          <w:lang w:val="vi-VN"/>
        </w:rPr>
        <w:t xml:space="preserve"> Các yêu cầu</w:t>
      </w:r>
      <w:r w:rsidRPr="00063307">
        <w:rPr>
          <w:lang w:val="vi-VN"/>
        </w:rPr>
        <w:t xml:space="preserve"> là tiêu chuẩn đưa ra các yêu cầu đối với việc thiết lập hệ thống an ninh thông tin và đánh giá rủi ro an ninh thông tin trong tổ chức</w:t>
      </w:r>
      <w:r w:rsidR="00AF6B7C" w:rsidRPr="004F1D15">
        <w:rPr>
          <w:rStyle w:val="FootnoteReference"/>
          <w:rFonts w:eastAsia="Times New Roman"/>
        </w:rPr>
        <w:footnoteReference w:id="196"/>
      </w:r>
      <w:r w:rsidRPr="00063307">
        <w:rPr>
          <w:lang w:val="vi-VN"/>
        </w:rPr>
        <w:t>.</w:t>
      </w:r>
      <w:r>
        <w:rPr>
          <w:lang w:val="vi-VN"/>
        </w:rPr>
        <w:t xml:space="preserve"> </w:t>
      </w:r>
      <w:r w:rsidRPr="00063307">
        <w:rPr>
          <w:b/>
          <w:bCs/>
          <w:lang w:val="vi-VN"/>
        </w:rPr>
        <w:t xml:space="preserve">ISO/IEC 27002 </w:t>
      </w:r>
      <w:r w:rsidR="00AF6B7C">
        <w:rPr>
          <w:b/>
          <w:bCs/>
          <w:lang w:val="vi-VN"/>
        </w:rPr>
        <w:t>-</w:t>
      </w:r>
      <w:r w:rsidRPr="00063307">
        <w:rPr>
          <w:b/>
          <w:bCs/>
          <w:lang w:val="vi-VN"/>
        </w:rPr>
        <w:t xml:space="preserve"> Công nghệ thông tin </w:t>
      </w:r>
      <w:r w:rsidR="00AF6B7C">
        <w:rPr>
          <w:b/>
          <w:bCs/>
          <w:lang w:val="vi-VN"/>
        </w:rPr>
        <w:t>-</w:t>
      </w:r>
      <w:r w:rsidRPr="00063307">
        <w:rPr>
          <w:b/>
          <w:bCs/>
          <w:lang w:val="vi-VN"/>
        </w:rPr>
        <w:t xml:space="preserve"> Kỹ thuật an ninh </w:t>
      </w:r>
      <w:r w:rsidR="00AF6B7C">
        <w:rPr>
          <w:b/>
          <w:bCs/>
          <w:lang w:val="vi-VN"/>
        </w:rPr>
        <w:t>-</w:t>
      </w:r>
      <w:r w:rsidRPr="00063307">
        <w:rPr>
          <w:b/>
          <w:bCs/>
          <w:lang w:val="vi-VN"/>
        </w:rPr>
        <w:t xml:space="preserve"> Quy tắc thực hành về các biện pháp kiểm soát an ninh thông tin </w:t>
      </w:r>
      <w:r w:rsidRPr="00063307">
        <w:rPr>
          <w:lang w:val="vi-VN"/>
        </w:rPr>
        <w:t xml:space="preserve">cung cấp các hướng dẫn về tiêu chuẩn an ninh thông tin và các thực tiễn quản lý </w:t>
      </w:r>
      <w:r w:rsidRPr="00063307">
        <w:rPr>
          <w:lang w:val="vi-VN"/>
        </w:rPr>
        <w:lastRenderedPageBreak/>
        <w:t>mà các tổ chức có thể áp dụng khi quản lý môi trường rủi ro an ninh thông tin</w:t>
      </w:r>
      <w:r w:rsidR="00AF6B7C" w:rsidRPr="004F1D15">
        <w:rPr>
          <w:rStyle w:val="FootnoteReference"/>
          <w:rFonts w:eastAsia="Times New Roman"/>
        </w:rPr>
        <w:footnoteReference w:id="197"/>
      </w:r>
      <w:r w:rsidRPr="00063307">
        <w:rPr>
          <w:lang w:val="vi-VN"/>
        </w:rPr>
        <w:t>.</w:t>
      </w:r>
      <w:r>
        <w:rPr>
          <w:lang w:val="vi-VN"/>
        </w:rPr>
        <w:t xml:space="preserve"> </w:t>
      </w:r>
      <w:r w:rsidRPr="00063307">
        <w:rPr>
          <w:lang w:val="vi-VN"/>
        </w:rPr>
        <w:t xml:space="preserve">Bên cạnh ISO/IEC 27001 và 27002, còn có </w:t>
      </w:r>
      <w:r w:rsidRPr="00063307">
        <w:rPr>
          <w:b/>
          <w:bCs/>
          <w:lang w:val="vi-VN"/>
        </w:rPr>
        <w:t xml:space="preserve">ISO/IEC 27551:2021 </w:t>
      </w:r>
      <w:r w:rsidR="00AF6B7C">
        <w:rPr>
          <w:b/>
          <w:bCs/>
          <w:lang w:val="vi-VN"/>
        </w:rPr>
        <w:t>-</w:t>
      </w:r>
      <w:r w:rsidRPr="00063307">
        <w:rPr>
          <w:b/>
          <w:bCs/>
          <w:lang w:val="vi-VN"/>
        </w:rPr>
        <w:t xml:space="preserve"> An ninh thông tin, an ninh mạng và bảo vệ quyền riêng tư </w:t>
      </w:r>
      <w:r w:rsidR="00AF6B7C">
        <w:rPr>
          <w:b/>
          <w:bCs/>
          <w:lang w:val="vi-VN"/>
        </w:rPr>
        <w:t>-</w:t>
      </w:r>
      <w:r w:rsidRPr="00063307">
        <w:rPr>
          <w:b/>
          <w:bCs/>
          <w:lang w:val="vi-VN"/>
        </w:rPr>
        <w:t xml:space="preserve"> Các yêu cầu đối với xác thực thực thể không liên kết</w:t>
      </w:r>
      <w:r w:rsidRPr="00063307">
        <w:rPr>
          <w:lang w:val="vi-VN"/>
        </w:rPr>
        <w:t xml:space="preserve"> dựa trên thuộc tính (ABUEA), tiêu chuẩn này thiết lập các yêu cầu đối với cơ chế xác thực thực thể không thể liên kết dựa trên thuộc tính</w:t>
      </w:r>
      <w:r>
        <w:rPr>
          <w:rStyle w:val="FootnoteReference"/>
        </w:rPr>
        <w:footnoteReference w:id="198"/>
      </w:r>
      <w:r w:rsidRPr="00063307">
        <w:rPr>
          <w:lang w:val="vi-VN"/>
        </w:rPr>
        <w:t>.</w:t>
      </w:r>
    </w:p>
    <w:p w14:paraId="74239831" w14:textId="1F357BF7" w:rsidR="002C0B2D" w:rsidRPr="002C0B2D" w:rsidRDefault="002C0B2D" w:rsidP="007664A3">
      <w:pPr>
        <w:rPr>
          <w:lang w:val="vi-VN"/>
        </w:rPr>
      </w:pPr>
      <w:r w:rsidRPr="002C0B2D">
        <w:rPr>
          <w:lang w:val="vi-VN"/>
        </w:rPr>
        <w:t xml:space="preserve">Ngoài các tiêu chuẩn ISO/IEC, các tiêu chuẩn và khung khổ từ NIST cũng thường được tham chiếu trong thực tiễn an ninh mạng. Đáng chú ý, </w:t>
      </w:r>
      <w:r>
        <w:rPr>
          <w:b/>
          <w:bCs/>
          <w:lang w:val="vi-VN"/>
        </w:rPr>
        <w:t xml:space="preserve">Khung tham chiếu An ninh mạng </w:t>
      </w:r>
      <w:r w:rsidRPr="002C0B2D">
        <w:rPr>
          <w:b/>
          <w:bCs/>
          <w:lang w:val="vi-VN"/>
        </w:rPr>
        <w:t>NIST (CSF) 2.0</w:t>
      </w:r>
      <w:r w:rsidRPr="002C0B2D">
        <w:rPr>
          <w:lang w:val="vi-VN"/>
        </w:rPr>
        <w:t xml:space="preserve"> cung cấp một tổng quan cho ngành công nghiệp, chính phủ và các tổ chức trong việc quản lý các nỗ lực an ninh mạng, đồng thời đưa ra hướng dẫn về các biện pháp kiểm soát và thực tiễn có thể được áp dụng để đạt được các kết quả an ninh mạng mong muốn</w:t>
      </w:r>
      <w:r w:rsidRPr="004F1D15">
        <w:rPr>
          <w:rStyle w:val="FootnoteReference"/>
          <w:rFonts w:eastAsia="Times New Roman"/>
        </w:rPr>
        <w:footnoteReference w:id="199"/>
      </w:r>
      <w:r w:rsidRPr="002C0B2D">
        <w:rPr>
          <w:lang w:val="vi-VN"/>
        </w:rPr>
        <w:t xml:space="preserve">. </w:t>
      </w:r>
      <w:r w:rsidRPr="002C0B2D">
        <w:rPr>
          <w:b/>
          <w:bCs/>
          <w:lang w:val="vi-VN"/>
        </w:rPr>
        <w:t>Khung tham chiếu Quản trị Rủi ro NIST</w:t>
      </w:r>
      <w:r w:rsidRPr="002C0B2D">
        <w:rPr>
          <w:lang w:val="vi-VN"/>
        </w:rPr>
        <w:t>, mặt khác, cung cấp thông tin về các quy trình mà các tổ chức có thể tận dụng để quản lý rủi ro an ninh thông tin và quyền riêng tư</w:t>
      </w:r>
      <w:r w:rsidRPr="004F1D15">
        <w:rPr>
          <w:rStyle w:val="FootnoteReference"/>
          <w:rFonts w:eastAsia="Times New Roman"/>
        </w:rPr>
        <w:footnoteReference w:id="200"/>
      </w:r>
      <w:r w:rsidRPr="002C0B2D">
        <w:rPr>
          <w:lang w:val="vi-VN"/>
        </w:rPr>
        <w:t>.</w:t>
      </w:r>
    </w:p>
    <w:p w14:paraId="52FB3B71" w14:textId="1019668A" w:rsidR="002C0B2D" w:rsidRPr="002C0B2D" w:rsidRDefault="002C0B2D" w:rsidP="007664A3">
      <w:pPr>
        <w:rPr>
          <w:lang w:val="vi-VN"/>
        </w:rPr>
      </w:pPr>
      <w:r w:rsidRPr="002C0B2D">
        <w:rPr>
          <w:lang w:val="vi-VN"/>
        </w:rPr>
        <w:t>Bên cạnh những điều nêu trên, Trung tâm An ninh Internet (CIS) cũng cung cấp hướng dẫn về các thực tiễn an ninh mạng. Tổ chức này xây dựng CIS Benchmarks, trong đó trình bày chi tiết các thực tiễn tốt nhất và các cấu hình hệ thống an toàn chuẩn cho nhiều nhà cung cấp và nhóm sản phẩm khác nhau</w:t>
      </w:r>
      <w:r w:rsidR="002E2404" w:rsidRPr="004F1D15">
        <w:rPr>
          <w:rStyle w:val="FootnoteReference"/>
          <w:rFonts w:eastAsia="Times New Roman"/>
        </w:rPr>
        <w:footnoteReference w:id="201"/>
      </w:r>
      <w:r w:rsidRPr="002C0B2D">
        <w:rPr>
          <w:lang w:val="vi-VN"/>
        </w:rPr>
        <w:t>. CIS Controls, chẳng hạn như CIS Controls v8, được phát triển dựa trên tham chiếu các tiêu chuẩn và khung khổ quốc tế nhằm hỗ trợ các tổ chức cải thiện năng lực an ninh mạng của mình</w:t>
      </w:r>
      <w:r w:rsidR="002E2404" w:rsidRPr="004F1D15">
        <w:rPr>
          <w:rStyle w:val="FootnoteReference"/>
          <w:rFonts w:eastAsia="Times New Roman"/>
        </w:rPr>
        <w:footnoteReference w:id="202"/>
      </w:r>
      <w:r w:rsidRPr="002C0B2D">
        <w:rPr>
          <w:lang w:val="vi-VN"/>
        </w:rPr>
        <w:t xml:space="preserve">. </w:t>
      </w:r>
      <w:r w:rsidRPr="002E2404">
        <w:rPr>
          <w:b/>
          <w:bCs/>
          <w:i/>
          <w:iCs/>
          <w:lang w:val="vi-VN"/>
        </w:rPr>
        <w:t>CIS Controls</w:t>
      </w:r>
      <w:r w:rsidRPr="002C0B2D">
        <w:rPr>
          <w:lang w:val="vi-VN"/>
        </w:rPr>
        <w:t xml:space="preserve"> được khuyến nghị và công nhận bởi NIST, Viện Tiêu chuẩn Viễn thông Châu Âu (ETSI), và Trung tâm Bảo vệ Cơ sở Hạ tầng Quốc gia (CPNI) của Vương quốc Anh</w:t>
      </w:r>
      <w:r w:rsidR="002E2404" w:rsidRPr="00516087">
        <w:rPr>
          <w:rStyle w:val="FootnoteReference"/>
          <w:rFonts w:eastAsia="Times New Roman"/>
        </w:rPr>
        <w:footnoteReference w:id="203"/>
      </w:r>
      <w:r w:rsidRPr="002C0B2D">
        <w:rPr>
          <w:lang w:val="vi-VN"/>
        </w:rPr>
        <w:t>.</w:t>
      </w:r>
    </w:p>
    <w:p w14:paraId="36D8E37A" w14:textId="4446F9A7" w:rsidR="00267F17" w:rsidRPr="004F1D15" w:rsidRDefault="00CA557B" w:rsidP="001B53AD">
      <w:pPr>
        <w:pStyle w:val="ListParagraph"/>
        <w:numPr>
          <w:ilvl w:val="0"/>
          <w:numId w:val="10"/>
        </w:numPr>
        <w:rPr>
          <w:rFonts w:ascii="Arial" w:eastAsia="Quattrocento Sans" w:hAnsi="Arial"/>
          <w:b/>
          <w:color w:val="auto"/>
          <w:lang w:val="en-GB" w:eastAsia="zh-CN"/>
        </w:rPr>
      </w:pPr>
      <w:r w:rsidRPr="00CA557B">
        <w:rPr>
          <w:rFonts w:ascii="Arial" w:eastAsia="Quattrocento Sans" w:hAnsi="Arial"/>
          <w:b/>
          <w:color w:val="auto"/>
          <w:lang w:val="vi-VN" w:eastAsia="zh-CN"/>
        </w:rPr>
        <w:t>Tình hình hiện tại về việc áp dụng tiêu chuẩn trong ASEAN, bao gồm các nỗ lực đang triển khai, kế hoạch sắp tới và các thách thức chính trong việc áp dụng tiêu chuẩn giữa các quốc gia thành viên và toàn ASEAN</w:t>
      </w:r>
    </w:p>
    <w:p w14:paraId="7689EB70" w14:textId="24DA075B" w:rsidR="00246FAF" w:rsidRPr="00246FAF" w:rsidRDefault="00246FAF" w:rsidP="007664A3">
      <w:pPr>
        <w:rPr>
          <w:shd w:val="clear" w:color="auto" w:fill="FFFFFF"/>
          <w:lang w:val="vi-VN"/>
        </w:rPr>
      </w:pPr>
      <w:r w:rsidRPr="00246FAF">
        <w:rPr>
          <w:shd w:val="clear" w:color="auto" w:fill="FFFFFF"/>
          <w:lang w:val="vi-VN"/>
        </w:rPr>
        <w:t>Việc áp dụng các tiêu chuẩn an ninh mạng quốc tế giữa các quốc gia thành viên ASEAN (AMS) là khác nhau. Các tiêu chuẩn ISO/IEC 27001 và 27002 được công nhận và áp dụng rộng rãi tại Singapore</w:t>
      </w:r>
      <w:r w:rsidRPr="004F1D15">
        <w:rPr>
          <w:rStyle w:val="FootnoteReference"/>
          <w:color w:val="0D0D0D"/>
          <w:shd w:val="clear" w:color="auto" w:fill="FFFFFF"/>
        </w:rPr>
        <w:footnoteReference w:id="204"/>
      </w:r>
      <w:r w:rsidRPr="00246FAF">
        <w:rPr>
          <w:shd w:val="clear" w:color="auto" w:fill="FFFFFF"/>
          <w:lang w:val="vi-VN"/>
        </w:rPr>
        <w:t>, Indonesia, Malaysia, Philippines và Việt Nam</w:t>
      </w:r>
      <w:r w:rsidRPr="004F1D15">
        <w:rPr>
          <w:rStyle w:val="FootnoteReference"/>
          <w:color w:val="0D0D0D"/>
          <w:shd w:val="clear" w:color="auto" w:fill="FFFFFF"/>
        </w:rPr>
        <w:footnoteReference w:id="205"/>
      </w:r>
      <w:r w:rsidRPr="00246FAF">
        <w:rPr>
          <w:shd w:val="clear" w:color="auto" w:fill="FFFFFF"/>
          <w:lang w:val="vi-VN"/>
        </w:rPr>
        <w:t xml:space="preserve">. Ví dụ, Singapore đã phát triển Cyber Essentials như các tiêu chuẩn an ninh mạng “đơn giản” để các tổ chức bắt đầu hành trình an ninh mạng, và Cyber </w:t>
      </w:r>
      <w:r w:rsidRPr="00246FAF">
        <w:rPr>
          <w:shd w:val="clear" w:color="auto" w:fill="FFFFFF"/>
          <w:lang w:val="vi-VN"/>
        </w:rPr>
        <w:lastRenderedPageBreak/>
        <w:t>Trust như một bước đệm để hướng tới các chứng nhận quốc tế như ISO/IEC 27001</w:t>
      </w:r>
      <w:r w:rsidRPr="005B4AA6">
        <w:rPr>
          <w:shd w:val="clear" w:color="auto" w:fill="FFFFFF"/>
          <w:vertAlign w:val="superscript"/>
        </w:rPr>
        <w:footnoteReference w:id="206"/>
      </w:r>
      <w:r w:rsidRPr="00246FAF">
        <w:rPr>
          <w:shd w:val="clear" w:color="auto" w:fill="FFFFFF"/>
          <w:lang w:val="vi-VN"/>
        </w:rPr>
        <w:t>. Tuy nhiên, có rất ít bằng chứng cho thấy việc áp dụng các tiêu chuẩn này tại các AMS khác.</w:t>
      </w:r>
    </w:p>
    <w:p w14:paraId="75FF9650" w14:textId="0AC4AA1E" w:rsidR="00246FAF" w:rsidRPr="00246FAF" w:rsidRDefault="00246FAF" w:rsidP="007664A3">
      <w:pPr>
        <w:rPr>
          <w:shd w:val="clear" w:color="auto" w:fill="FFFFFF"/>
          <w:lang w:val="vi-VN"/>
        </w:rPr>
      </w:pPr>
      <w:r w:rsidRPr="00246FAF">
        <w:rPr>
          <w:shd w:val="clear" w:color="auto" w:fill="FFFFFF"/>
          <w:lang w:val="vi-VN"/>
        </w:rPr>
        <w:t>Tiến độ áp dụng các tiêu chuẩn an ninh mạng quốc tế vẫn còn chậm do nhiều yếu tố. Thứ nhất, các AMS có quan điểm khác nhau về các vấn đề mạng, dẫn đến mức độ ưu tiên khác nhau dành cho an ninh mạng trong chính sách quốc gia</w:t>
      </w:r>
      <w:r w:rsidRPr="004F1D15">
        <w:rPr>
          <w:rStyle w:val="FootnoteReference"/>
          <w:color w:val="0D0D0D"/>
          <w:shd w:val="clear" w:color="auto" w:fill="FFFFFF"/>
        </w:rPr>
        <w:footnoteReference w:id="207"/>
      </w:r>
      <w:r w:rsidRPr="00246FAF">
        <w:rPr>
          <w:shd w:val="clear" w:color="auto" w:fill="FFFFFF"/>
          <w:lang w:val="vi-VN"/>
        </w:rPr>
        <w:t>. Thứ hai, tồn tại sự chênh lệch đáng kể về năng lực an ninh mạng giữa các AMS, bắt nguồn từ mức độ cam kết khác nhau đối với an ninh mạng. Theo Chỉ số An ninh mạng Toàn cầu do Liên minh Viễn thông Quốc tế công bố năm 2020, một số AMS có năng lực kỹ thuật hạn chế ở cả cấp quốc gia và cấp ngành, gây cản trở việc xây dựng chiến lược an ninh mạng và thành lập các cơ quan chuyên trách</w:t>
      </w:r>
      <w:r w:rsidR="00674063" w:rsidRPr="004F1D15">
        <w:rPr>
          <w:rStyle w:val="FootnoteReference"/>
          <w:color w:val="0D0D0D"/>
          <w:shd w:val="clear" w:color="auto" w:fill="FFFFFF"/>
        </w:rPr>
        <w:footnoteReference w:id="208"/>
      </w:r>
      <w:r w:rsidRPr="00246FAF">
        <w:rPr>
          <w:shd w:val="clear" w:color="auto" w:fill="FFFFFF"/>
          <w:lang w:val="vi-VN"/>
        </w:rPr>
        <w:t>. Thứ ba, vẫn còn thiếu kỹ năng và nhân lực an ninh mạng trong lực lượng lao động ASEAN, mặc dù các quan hệ đối tác với các cơ sở học thuật đang giúp thu hẹp khoảng cách kỹ năng này</w:t>
      </w:r>
      <w:r w:rsidR="00674063" w:rsidRPr="004F1D15">
        <w:rPr>
          <w:rStyle w:val="FootnoteReference"/>
          <w:color w:val="0D0D0D"/>
          <w:shd w:val="clear" w:color="auto" w:fill="FFFFFF"/>
        </w:rPr>
        <w:footnoteReference w:id="209"/>
      </w:r>
      <w:r w:rsidRPr="00246FAF">
        <w:rPr>
          <w:shd w:val="clear" w:color="auto" w:fill="FFFFFF"/>
          <w:lang w:val="vi-VN"/>
        </w:rPr>
        <w:t>. Cuối cùng, chi phí vẫn là thách thức đối với doanh nghiệp, đặc biệt là MSME, trong việc áp dụng các tiêu chuẩn an ninh mạng. Mặc dù các tiêu chuẩn và chứng nhận có thể đo lường được là cần thiết để xây dựng niềm tin số, nhưng cần có sự linh hoạt trong việc cung cấp nhiều lựa chọn tuân thủ phù hợp với các mức chi phí triển khai và khung thời gian khác nhau</w:t>
      </w:r>
      <w:r w:rsidR="00674063" w:rsidRPr="004F1D15">
        <w:rPr>
          <w:rStyle w:val="FootnoteReference"/>
          <w:color w:val="0D0D0D"/>
          <w:shd w:val="clear" w:color="auto" w:fill="FFFFFF"/>
        </w:rPr>
        <w:footnoteReference w:id="210"/>
      </w:r>
      <w:r w:rsidRPr="00246FAF">
        <w:rPr>
          <w:shd w:val="clear" w:color="auto" w:fill="FFFFFF"/>
          <w:lang w:val="vi-VN"/>
        </w:rPr>
        <w:t>.</w:t>
      </w:r>
    </w:p>
    <w:p w14:paraId="6163305D" w14:textId="0D34BC8E" w:rsidR="00674063" w:rsidRPr="00674063" w:rsidRDefault="00674063" w:rsidP="007664A3">
      <w:pPr>
        <w:rPr>
          <w:shd w:val="clear" w:color="auto" w:fill="FFFFFF"/>
          <w:lang w:val="vi-VN"/>
        </w:rPr>
      </w:pPr>
      <w:r w:rsidRPr="00674063">
        <w:rPr>
          <w:shd w:val="clear" w:color="auto" w:fill="FFFFFF"/>
          <w:lang w:val="vi-VN"/>
        </w:rPr>
        <w:t xml:space="preserve">Bất chấp những thách thức này, ASEAN nhận thức rõ tầm quan trọng của các tiêu chuẩn an ninh mạng hài hòa. Đáng chú ý, </w:t>
      </w:r>
      <w:r w:rsidRPr="00674063">
        <w:rPr>
          <w:b/>
          <w:bCs/>
          <w:shd w:val="clear" w:color="auto" w:fill="FFFFFF"/>
          <w:lang w:val="vi-VN"/>
        </w:rPr>
        <w:t>Chiến lược An ninh mạng ASEAN (2021–2025)</w:t>
      </w:r>
      <w:r w:rsidRPr="00674063">
        <w:rPr>
          <w:shd w:val="clear" w:color="auto" w:fill="FFFFFF"/>
          <w:lang w:val="vi-VN"/>
        </w:rPr>
        <w:t xml:space="preserve"> nhấn mạnh tầm quan trọng của việc thúc đẩy các tiêu chuẩn và khung khổ an ninh chung thông qua việc khuyến khích áp dụng các tiêu chuẩn an ninh mạng quốc tế</w:t>
      </w:r>
      <w:r w:rsidRPr="004F1D15">
        <w:rPr>
          <w:rStyle w:val="FootnoteReference"/>
          <w:color w:val="0D0D0D"/>
          <w:shd w:val="clear" w:color="auto" w:fill="FFFFFF"/>
        </w:rPr>
        <w:footnoteReference w:id="211"/>
      </w:r>
      <w:r w:rsidRPr="00674063">
        <w:rPr>
          <w:shd w:val="clear" w:color="auto" w:fill="FFFFFF"/>
          <w:lang w:val="vi-VN"/>
        </w:rPr>
        <w:t>.</w:t>
      </w:r>
    </w:p>
    <w:p w14:paraId="7E3BF66A" w14:textId="19DADA0E" w:rsidR="00DD754A" w:rsidRPr="004F1D15" w:rsidRDefault="00674063" w:rsidP="007664A3">
      <w:pPr>
        <w:rPr>
          <w:shd w:val="clear" w:color="auto" w:fill="FFFFFF"/>
        </w:rPr>
      </w:pPr>
      <w:r w:rsidRPr="00674063">
        <w:rPr>
          <w:shd w:val="clear" w:color="auto" w:fill="FFFFFF"/>
          <w:lang w:val="vi-VN"/>
        </w:rPr>
        <w:t>Để thích ứng với bối cảnh số đang phát triển nhanh chóng, điều quan trọng là nhấn mạnh rằng các tiêu chuẩn quốc tế đóng vai trò bổ trợ, chứ không thay thế, các quy định đặc thù ngành hiện có, đặc biệt trong các lĩnh vực như ngân hàng và tài chính. Bên cạnh đó, với việc điện toán đám mây được áp dụng ngày càng rộng rãi, cần thiết phải đánh giá lại các tiêu chuẩn an ninh để đảm bảo chúng vẫn phù hợp và hiệu quả trong môi trường năng động này.</w:t>
      </w:r>
      <w:r w:rsidR="00267F17" w:rsidRPr="004F1D15">
        <w:rPr>
          <w:rStyle w:val="FootnoteReference"/>
          <w:color w:val="0D0D0D"/>
          <w:shd w:val="clear" w:color="auto" w:fill="FFFFFF"/>
        </w:rPr>
        <w:footnoteReference w:id="212"/>
      </w:r>
      <w:r w:rsidR="00267F17" w:rsidRPr="004F1D15">
        <w:rPr>
          <w:shd w:val="clear" w:color="auto" w:fill="FFFFFF"/>
        </w:rPr>
        <w:t xml:space="preserve"> </w:t>
      </w:r>
    </w:p>
    <w:p w14:paraId="2EE6CFF2" w14:textId="615C0B0A" w:rsidR="00267F17" w:rsidRPr="004F1D15" w:rsidRDefault="00674063" w:rsidP="00595FF2">
      <w:pPr>
        <w:pStyle w:val="ListParagraph"/>
        <w:numPr>
          <w:ilvl w:val="0"/>
          <w:numId w:val="10"/>
        </w:numPr>
        <w:rPr>
          <w:rFonts w:ascii="Arial" w:eastAsia="Quattrocento Sans" w:hAnsi="Arial"/>
          <w:b/>
          <w:color w:val="auto"/>
          <w:lang w:val="en-GB" w:eastAsia="zh-CN"/>
        </w:rPr>
      </w:pPr>
      <w:r w:rsidRPr="00674063">
        <w:rPr>
          <w:rFonts w:ascii="Arial" w:eastAsia="Quattrocento Sans" w:hAnsi="Arial"/>
          <w:b/>
          <w:color w:val="auto"/>
          <w:lang w:val="vi-VN" w:eastAsia="zh-CN"/>
        </w:rPr>
        <w:t>Liên kết với các tiểu khu vực khác / Các lưu ý khác</w:t>
      </w:r>
    </w:p>
    <w:p w14:paraId="67C4534C" w14:textId="77777777" w:rsidR="00267F17" w:rsidRPr="004F1D15" w:rsidRDefault="00267F17" w:rsidP="007664A3">
      <w:pPr>
        <w:rPr>
          <w:color w:val="000000" w:themeColor="text1"/>
        </w:rPr>
      </w:pPr>
      <w:r w:rsidRPr="004F1D15">
        <w:t>N/A</w:t>
      </w:r>
    </w:p>
    <w:p w14:paraId="71BC8963" w14:textId="7B677500" w:rsidR="00267F17" w:rsidRPr="004F1D15" w:rsidRDefault="00685CD0" w:rsidP="00C82E40">
      <w:pPr>
        <w:pStyle w:val="Heading4"/>
        <w:rPr>
          <w:lang w:val="en-GB"/>
        </w:rPr>
      </w:pPr>
      <w:r>
        <w:rPr>
          <w:lang w:val="en-GB"/>
        </w:rPr>
        <w:lastRenderedPageBreak/>
        <w:t>An</w:t>
      </w:r>
      <w:r>
        <w:rPr>
          <w:lang w:val="vi-VN"/>
        </w:rPr>
        <w:t xml:space="preserve"> toàn trực tuyến</w:t>
      </w:r>
    </w:p>
    <w:p w14:paraId="68EF81B0" w14:textId="609E89E9" w:rsidR="00267F17" w:rsidRPr="004F1D15" w:rsidRDefault="00685CD0" w:rsidP="00595FF2">
      <w:pPr>
        <w:pStyle w:val="ListParagraph"/>
        <w:numPr>
          <w:ilvl w:val="0"/>
          <w:numId w:val="11"/>
        </w:numPr>
        <w:rPr>
          <w:rFonts w:ascii="Arial" w:eastAsia="Quattrocento Sans" w:hAnsi="Arial"/>
          <w:b/>
          <w:color w:val="auto"/>
          <w:lang w:val="en-GB" w:eastAsia="zh-CN"/>
        </w:rPr>
      </w:pPr>
      <w:r>
        <w:rPr>
          <w:rFonts w:ascii="Arial" w:eastAsia="Quattrocento Sans" w:hAnsi="Arial"/>
          <w:b/>
          <w:color w:val="auto"/>
          <w:lang w:val="vi-VN" w:eastAsia="zh-CN"/>
        </w:rPr>
        <w:t>Tầm quan trọng của tiêu chuẩn trong tiểu khu vực này</w:t>
      </w:r>
    </w:p>
    <w:p w14:paraId="474F3E57" w14:textId="3942DA2B" w:rsidR="00267F17" w:rsidRPr="00685CD0" w:rsidRDefault="00685CD0" w:rsidP="007664A3">
      <w:pPr>
        <w:rPr>
          <w:rStyle w:val="Strong"/>
          <w:b w:val="0"/>
          <w:lang w:val="vi-VN"/>
        </w:rPr>
      </w:pPr>
      <w:r w:rsidRPr="00685CD0">
        <w:rPr>
          <w:rStyle w:val="Strong"/>
          <w:b w:val="0"/>
          <w:lang w:val="vi-VN"/>
        </w:rPr>
        <w:t>Các tiêu chuẩn đóng vai trò then chốt trong việc bảo đảm an toàn trực tuyến, đặc biệt trong bối cảnh số phát triển nhanh chóng nơi mà các quy định thường lạc hậu so với tiến bộ công nghệ. Tại khu vực ASEAN, nhiều luật pháp và chính sách điều chỉnh các khía cạnh của thương mại điện tử đã được ban hành hơn một thập kỷ trước, khiến việc áp dụng các tiêu chuẩn an toàn cập nhật càng trở nên thiết yếu.</w:t>
      </w:r>
    </w:p>
    <w:p w14:paraId="4402916E" w14:textId="3AA12E36" w:rsidR="00685CD0" w:rsidRPr="00685CD0" w:rsidRDefault="00685CD0" w:rsidP="007664A3">
      <w:pPr>
        <w:rPr>
          <w:rStyle w:val="Strong"/>
          <w:b w:val="0"/>
          <w:lang w:val="vi-VN"/>
        </w:rPr>
      </w:pPr>
      <w:r w:rsidRPr="00685CD0">
        <w:rPr>
          <w:rStyle w:val="Strong"/>
          <w:b w:val="0"/>
          <w:lang w:val="vi-VN"/>
        </w:rPr>
        <w:t>Việc tuân thủ các tiêu chuẩn an toàn được công nhận thúc đẩy khả năng tương tác giữa các hệ thống khác nhau, qua đó tăng cường niềm tin giữa doanh nghiệp, người tiêu dùng và các đối tác thương mại. Khi các bên liên quan tuân thủ các tiêu chuẩn chung, điều này thiết lập một mức kỳ vọng an ninh cơ bản, giúp nâng cao sự tin cậy trong giao dịch số. Sự tin tưởng này là nền tảng để thương mại số tiếp tục phát triển, vì nó khuyến khích nhiều doanh nghiệp và người tiêu dùng tham gia vào các hoạt động trực tuyến mà không lo ngại rủi ro bảo mật hay gian lận.</w:t>
      </w:r>
    </w:p>
    <w:p w14:paraId="0971C065" w14:textId="3BA8A452" w:rsidR="00267F17" w:rsidRPr="00685CD0" w:rsidRDefault="00685CD0" w:rsidP="007664A3">
      <w:pPr>
        <w:rPr>
          <w:rStyle w:val="Strong"/>
          <w:b w:val="0"/>
          <w:lang w:val="vi-VN"/>
        </w:rPr>
      </w:pPr>
      <w:r w:rsidRPr="00685CD0">
        <w:rPr>
          <w:rStyle w:val="Strong"/>
          <w:b w:val="0"/>
          <w:lang w:val="vi-VN"/>
        </w:rPr>
        <w:t>Hơn nữa, các tiêu chuẩn an toàn trực tuyến thường phù hợp với các yêu cầu pháp lý và quy định liên quan đến bảo vệ dữ liệu và quyền riêng tư. Bằng việc tuân thủ các tiêu chuẩn này, doanh nghiệp có thể đảm bảo đáp ứng các nghĩa vụ tuân thủ, từ đó giảm nguy cơ gặp rắc rối pháp lý và bị phạt. Sự phù hợp này không chỉ bảo vệ người tiêu dùng mà còn hỗ trợ doanh nghiệp duy trì uy tín và tránh các khoản phạt nghiêm trọng.</w:t>
      </w:r>
    </w:p>
    <w:p w14:paraId="6BEE908C" w14:textId="693A8521" w:rsidR="00267F17" w:rsidRPr="00685CD0" w:rsidRDefault="00685CD0" w:rsidP="007664A3">
      <w:pPr>
        <w:rPr>
          <w:lang w:val="vi-VN"/>
        </w:rPr>
      </w:pPr>
      <w:r w:rsidRPr="00685CD0">
        <w:rPr>
          <w:rStyle w:val="Strong"/>
          <w:b w:val="0"/>
          <w:lang w:val="vi-VN"/>
        </w:rPr>
        <w:t xml:space="preserve">Tầm quan trọng của các tiêu chuẩn trong an toàn trực tuyến nằm ở khả năng thu hẹp khoảng cách giữa các quy định lỗi thời và nhu cầu công nghệ hiện tại. Chúng cung cấp một khuôn khổ thống nhất giúp tăng cường an ninh, thúc đẩy niềm tin và bảo đảm tuân thủ yêu cầu pháp lý </w:t>
      </w:r>
      <w:r>
        <w:rPr>
          <w:rStyle w:val="Strong"/>
          <w:b w:val="0"/>
          <w:lang w:val="vi-VN"/>
        </w:rPr>
        <w:t>-</w:t>
      </w:r>
      <w:r w:rsidRPr="00685CD0">
        <w:rPr>
          <w:rStyle w:val="Strong"/>
          <w:b w:val="0"/>
          <w:lang w:val="vi-VN"/>
        </w:rPr>
        <w:t xml:space="preserve"> tất cả đều là yếu tố thiết yếu cho sự phát triển bền vững của thương mại số trong khu vực ASEAN.</w:t>
      </w:r>
    </w:p>
    <w:p w14:paraId="3A2C2AFE" w14:textId="5769A764" w:rsidR="00267F17" w:rsidRPr="004F1D15" w:rsidRDefault="0028603C" w:rsidP="00595FF2">
      <w:pPr>
        <w:pStyle w:val="ListParagraph"/>
        <w:numPr>
          <w:ilvl w:val="0"/>
          <w:numId w:val="11"/>
        </w:numPr>
        <w:rPr>
          <w:rFonts w:ascii="Arial" w:eastAsia="Quattrocento Sans" w:hAnsi="Arial"/>
          <w:b/>
          <w:color w:val="auto"/>
          <w:lang w:val="en-GB" w:eastAsia="zh-CN"/>
        </w:rPr>
      </w:pPr>
      <w:r>
        <w:rPr>
          <w:rFonts w:ascii="Arial" w:eastAsia="Quattrocento Sans" w:hAnsi="Arial"/>
          <w:b/>
          <w:color w:val="auto"/>
          <w:lang w:val="en-GB" w:eastAsia="zh-CN"/>
        </w:rPr>
        <w:t>Các</w:t>
      </w:r>
      <w:r>
        <w:rPr>
          <w:rFonts w:ascii="Arial" w:eastAsia="Quattrocento Sans" w:hAnsi="Arial"/>
          <w:b/>
          <w:color w:val="auto"/>
          <w:lang w:val="vi-VN" w:eastAsia="zh-CN"/>
        </w:rPr>
        <w:t xml:space="preserve"> tiêu chuẩn quốc tế chủ chốt mà ASEAN quan tâm </w:t>
      </w:r>
    </w:p>
    <w:p w14:paraId="61ABD8C3" w14:textId="1B39AB1C" w:rsidR="00C05343" w:rsidRPr="00C05343" w:rsidRDefault="00C05343" w:rsidP="007664A3">
      <w:pPr>
        <w:rPr>
          <w:lang w:val="vi-VN"/>
        </w:rPr>
      </w:pPr>
      <w:r w:rsidRPr="00C05343">
        <w:rPr>
          <w:lang w:val="vi-VN"/>
        </w:rPr>
        <w:t xml:space="preserve">Các tiêu chuẩn quốc tế chủ chốt bao gồm </w:t>
      </w:r>
      <w:r w:rsidRPr="00C05343">
        <w:rPr>
          <w:b/>
          <w:bCs/>
          <w:lang w:val="vi-VN"/>
        </w:rPr>
        <w:t>ISO/IEC 27001:2022</w:t>
      </w:r>
      <w:r w:rsidRPr="00C05343">
        <w:rPr>
          <w:lang w:val="vi-VN"/>
        </w:rPr>
        <w:t xml:space="preserve"> và </w:t>
      </w:r>
      <w:r w:rsidRPr="00C05343">
        <w:rPr>
          <w:b/>
          <w:bCs/>
          <w:lang w:val="vi-VN"/>
        </w:rPr>
        <w:t>ISO/IEC 27002:2022</w:t>
      </w:r>
      <w:r w:rsidRPr="00C05343">
        <w:rPr>
          <w:lang w:val="vi-VN"/>
        </w:rPr>
        <w:t xml:space="preserve">, vốn cung cấp nền tảng cho an ninh thông tin, an ninh mạng và bảo vệ quyền riêng tư, và là cơ sở cho nhiều hướng dẫn hiện nay. </w:t>
      </w:r>
      <w:r w:rsidRPr="00B570CD">
        <w:rPr>
          <w:b/>
          <w:bCs/>
          <w:lang w:val="vi-VN"/>
        </w:rPr>
        <w:t>ISO/DIS 32122</w:t>
      </w:r>
      <w:r w:rsidRPr="004F1D15">
        <w:rPr>
          <w:rStyle w:val="FootnoteReference"/>
          <w:rFonts w:eastAsia="Times New Roman"/>
        </w:rPr>
        <w:footnoteReference w:id="213"/>
      </w:r>
      <w:r w:rsidRPr="00C05343">
        <w:rPr>
          <w:lang w:val="vi-VN"/>
        </w:rPr>
        <w:t xml:space="preserve">, một tiêu chuẩn đang được phát triển, sẽ đưa ra hướng dẫn về bảo đảm giao dịch trong thương mại điện tử, bao gồm các dịch vụ giải quyết tranh chấp trực tuyến (ODR). </w:t>
      </w:r>
      <w:r w:rsidRPr="00B570CD">
        <w:rPr>
          <w:b/>
          <w:bCs/>
          <w:lang w:val="vi-VN"/>
        </w:rPr>
        <w:t>NIST SP 800-53</w:t>
      </w:r>
      <w:r w:rsidRPr="00C05343">
        <w:rPr>
          <w:lang w:val="vi-VN"/>
        </w:rPr>
        <w:t xml:space="preserve"> thiết lập các hướng dẫn và thực tiễn tốt nhất về kiểm soát an ninh và quyền riêng tư trong hệ thống thông tin và tổ chức, giúp bảo đảm sự bảo vệ mạnh mẽ trước các mối đe dọa mạng và bảo vệ dữ liệu nhạy cảm trong thương mại số.</w:t>
      </w:r>
    </w:p>
    <w:p w14:paraId="48C4A54C" w14:textId="7DC6D53B" w:rsidR="00025B90" w:rsidRPr="00025B90" w:rsidRDefault="00025B90" w:rsidP="007664A3">
      <w:pPr>
        <w:rPr>
          <w:lang w:val="vi-VN"/>
        </w:rPr>
      </w:pPr>
      <w:r w:rsidRPr="00025B90">
        <w:rPr>
          <w:b/>
          <w:bCs/>
          <w:lang w:val="vi-VN"/>
        </w:rPr>
        <w:t>Kế hoạch Hành động Chiến lược ASEAN về Bảo vệ Người tiêu dùng (ASAPCP) 2016-2025</w:t>
      </w:r>
      <w:r w:rsidRPr="00025B90">
        <w:rPr>
          <w:lang w:val="vi-VN"/>
        </w:rPr>
        <w:t xml:space="preserve"> nhấn mạnh tầm quan trọng của việc xây dựng </w:t>
      </w:r>
      <w:r w:rsidRPr="00025B90">
        <w:rPr>
          <w:b/>
          <w:bCs/>
          <w:lang w:val="vi-VN"/>
        </w:rPr>
        <w:t>Hướng dẫn ODR ASEAN</w:t>
      </w:r>
      <w:r w:rsidRPr="00025B90">
        <w:rPr>
          <w:lang w:val="vi-VN"/>
        </w:rPr>
        <w:t xml:space="preserve"> như một kết quả ưu tiên. Hướng dẫn ODR ASEAN cung cấp định hướng thực tiễn và các bước hành động để các quốc gia thành viên ASEAN (AMS) thiết kế và vận hành hệ thống ODR quốc gia</w:t>
      </w:r>
      <w:r w:rsidRPr="004F1D15">
        <w:rPr>
          <w:rStyle w:val="FootnoteReference"/>
          <w:rFonts w:eastAsia="Times New Roman"/>
        </w:rPr>
        <w:footnoteReference w:id="214"/>
      </w:r>
      <w:r w:rsidRPr="00025B90">
        <w:rPr>
          <w:lang w:val="vi-VN"/>
        </w:rPr>
        <w:t xml:space="preserve">. Bằng cách tuân thủ các tiêu chuẩn này, AMS có thể hướng tới một Mạng lưới ODR ASEAN thống nhất và hiệu quả, qua đó tăng cường đáng </w:t>
      </w:r>
      <w:r w:rsidRPr="00025B90">
        <w:rPr>
          <w:lang w:val="vi-VN"/>
        </w:rPr>
        <w:lastRenderedPageBreak/>
        <w:t>kể niềm tin của người tiêu dùng vào Cộng đồng Kinh tế ASEAN (AEC) và các giao dịch xuyên biên giới.</w:t>
      </w:r>
    </w:p>
    <w:p w14:paraId="6D6AF361" w14:textId="43DD0162" w:rsidR="00025B90" w:rsidRPr="00025B90" w:rsidRDefault="00025B90" w:rsidP="007664A3">
      <w:pPr>
        <w:rPr>
          <w:shd w:val="clear" w:color="auto" w:fill="FFFFFF"/>
          <w:lang w:val="vi-VN"/>
        </w:rPr>
      </w:pPr>
      <w:r w:rsidRPr="00025B90">
        <w:rPr>
          <w:shd w:val="clear" w:color="auto" w:fill="FFFFFF"/>
          <w:lang w:val="vi-VN"/>
        </w:rPr>
        <w:t xml:space="preserve">Hiện nay, không có một tiêu chuẩn “bảo vệ người tiêu dùng trực tuyến” thống nhất nào từ các tổ chức tiêu chuẩn hóa quốc tế. Thay vào đó, bảo vệ người tiêu dùng trực tuyến thường được đề cập trong các nỗ lực tiêu chuẩn hóa rộng hơn như phát triển phần mềm hoặc thương mại điện tử. Bản chất đa chiều của an toàn trực tuyến </w:t>
      </w:r>
      <w:r>
        <w:rPr>
          <w:shd w:val="clear" w:color="auto" w:fill="FFFFFF"/>
          <w:lang w:val="vi-VN"/>
        </w:rPr>
        <w:t>-</w:t>
      </w:r>
      <w:r w:rsidRPr="00025B90">
        <w:rPr>
          <w:shd w:val="clear" w:color="auto" w:fill="FFFFFF"/>
          <w:lang w:val="vi-VN"/>
        </w:rPr>
        <w:t xml:space="preserve"> bao gồm các khía cạnh tài chính, kỹ thuật và đạo đức </w:t>
      </w:r>
      <w:r>
        <w:rPr>
          <w:shd w:val="clear" w:color="auto" w:fill="FFFFFF"/>
          <w:lang w:val="vi-VN"/>
        </w:rPr>
        <w:t>-</w:t>
      </w:r>
      <w:r w:rsidRPr="00025B90">
        <w:rPr>
          <w:shd w:val="clear" w:color="auto" w:fill="FFFFFF"/>
          <w:lang w:val="vi-VN"/>
        </w:rPr>
        <w:t xml:space="preserve"> khiến việc xây dựng các tiêu chuẩn được thống nhất trên phạm vi toàn cầu trở nên phức tạp.</w:t>
      </w:r>
    </w:p>
    <w:p w14:paraId="6E8A428B" w14:textId="0AF03A9C" w:rsidR="00C2419B" w:rsidRPr="00C2419B" w:rsidRDefault="00C2419B" w:rsidP="007664A3">
      <w:pPr>
        <w:rPr>
          <w:shd w:val="clear" w:color="auto" w:fill="FFFFFF"/>
          <w:lang w:val="vi-VN"/>
        </w:rPr>
      </w:pPr>
      <w:r w:rsidRPr="00C2419B">
        <w:rPr>
          <w:shd w:val="clear" w:color="auto" w:fill="FFFFFF"/>
          <w:lang w:val="vi-VN"/>
        </w:rPr>
        <w:t>Trong ASEAN, Ủy ban ASEAN về Bảo vệ Người tiêu dùng (ACCP) đang xem xét đưa việc xây dựng một bộ quy tắc ứng xử toàn diện và một cam kết bảo vệ người tiêu dùng vào ASAPCP 2030.</w:t>
      </w:r>
    </w:p>
    <w:p w14:paraId="0939559E" w14:textId="1C47DDE8" w:rsidR="00C2419B" w:rsidRPr="00C2419B" w:rsidRDefault="00C2419B" w:rsidP="00A44F8D">
      <w:pPr>
        <w:rPr>
          <w:shd w:val="clear" w:color="auto" w:fill="FFFFFF"/>
          <w:lang w:val="vi-VN"/>
        </w:rPr>
      </w:pPr>
      <w:r w:rsidRPr="00C2419B">
        <w:rPr>
          <w:shd w:val="clear" w:color="auto" w:fill="FFFFFF"/>
          <w:lang w:val="vi-VN"/>
        </w:rPr>
        <w:t>Trên phạm vi toàn cầu, các quốc gia và khu vực khác đã có những bước tiến trong việc tăng cường bảo vệ người tiêu dùng trong nền kinh tế số. Năm 2021, G7 đã thống nhất về các Nguyên tắc Thương mại Số, bao gồm các biện pháp bảo vệ người lao động, người tiêu dùng và doanh nghiệp. Theo các Nguyên tắc Thương mại Số của G7, các tiêu chuẩn quốc tế về công nghệ thông tin và truyền thông cần được xây dựng phù hợp với sáu nguyên tắc do Ủy ban Rào cản Kỹ thuật đối với Thương mại của WTO đưa ra: (1) minh bạch, (2) mở, (3) khách quan và đồng thuận, (4) hiệu quả và phù hợp, (5) nhất quán, và (6) khía cạnh phát triển</w:t>
      </w:r>
      <w:r w:rsidRPr="00073C0D">
        <w:rPr>
          <w:rStyle w:val="FootnoteReference"/>
          <w:shd w:val="clear" w:color="auto" w:fill="FFFFFF"/>
        </w:rPr>
        <w:footnoteReference w:id="215"/>
      </w:r>
      <w:r w:rsidRPr="00C2419B">
        <w:rPr>
          <w:shd w:val="clear" w:color="auto" w:fill="FFFFFF"/>
          <w:lang w:val="vi-VN"/>
        </w:rPr>
        <w:t>. Đây là các nguyên tắc mang tính định hướng cao nhưng nhấn mạnh tầm quan trọng của việc xây dựng tiêu chuẩn nhằm bảo vệ người tiêu dùng trực tuyến</w:t>
      </w:r>
      <w:r w:rsidRPr="00073C0D">
        <w:rPr>
          <w:rStyle w:val="FootnoteReference"/>
          <w:shd w:val="clear" w:color="auto" w:fill="FFFFFF"/>
        </w:rPr>
        <w:footnoteReference w:id="216"/>
      </w:r>
      <w:r w:rsidRPr="00C2419B">
        <w:rPr>
          <w:shd w:val="clear" w:color="auto" w:fill="FFFFFF"/>
          <w:lang w:val="vi-VN"/>
        </w:rPr>
        <w:t>.</w:t>
      </w:r>
    </w:p>
    <w:p w14:paraId="61DEE8B6" w14:textId="2DA5BD4B" w:rsidR="00C2419B" w:rsidRPr="00C2419B" w:rsidRDefault="00C2419B" w:rsidP="007664A3">
      <w:pPr>
        <w:rPr>
          <w:rStyle w:val="Strong"/>
          <w:b w:val="0"/>
          <w:lang w:val="vi-VN"/>
        </w:rPr>
      </w:pPr>
      <w:r w:rsidRPr="00C2419B">
        <w:rPr>
          <w:rStyle w:val="Strong"/>
          <w:b w:val="0"/>
          <w:lang w:val="vi-VN"/>
        </w:rPr>
        <w:t>Đáng chú ý, vào năm 2023, EU đã thông qua Cam kết Bảo vệ Người tiêu dùng, nhận được sự ủng hộ từ nhiều doanh nghiệp. Cam kết này nêu rõ các biện pháp trọng tâm nhằm trao quyền cho người tiêu dùng và thúc đẩy tính minh bạch trong các giao dịch trực tuyến. Các biện pháp này bao gồm hỗ trợ thực thi các quyền cụ thể của người tiêu dùng, nâng cao tính minh bạch và độ tin cậy của đánh giá người tiêu dùng, thúc đẩy các thực hành tiếp thị minh bạch của người ảnh hưởng, và cung cấp đào tạo toàn diện về luật bảo vệ người tiêu dùng của EU</w:t>
      </w:r>
      <w:r w:rsidRPr="004F1D15">
        <w:rPr>
          <w:rStyle w:val="FootnoteReference"/>
          <w:rFonts w:eastAsia="Times New Roman"/>
        </w:rPr>
        <w:footnoteReference w:id="217"/>
      </w:r>
      <w:r w:rsidRPr="00C2419B">
        <w:rPr>
          <w:rStyle w:val="Strong"/>
          <w:b w:val="0"/>
          <w:lang w:val="vi-VN"/>
        </w:rPr>
        <w:t>. Mặc dù sáng kiến này không phải là một tiêu chuẩn theo nghĩa chính thức, nó có thể là một ví dụ hữu ích khi ASEAN tiếp tục nỗ lực xây dựng môi trường trực tuyến an toàn hơn cho người tiêu dùng.</w:t>
      </w:r>
    </w:p>
    <w:p w14:paraId="50062E3B" w14:textId="1F9D4572" w:rsidR="00267F17" w:rsidRPr="004F1D15" w:rsidRDefault="00951859" w:rsidP="00FF6387">
      <w:pPr>
        <w:pStyle w:val="ListParagraph"/>
        <w:numPr>
          <w:ilvl w:val="0"/>
          <w:numId w:val="32"/>
        </w:numPr>
        <w:rPr>
          <w:rFonts w:ascii="Arial" w:eastAsia="Quattrocento Sans" w:hAnsi="Arial"/>
          <w:b/>
          <w:color w:val="auto"/>
          <w:lang w:val="en-GB" w:eastAsia="zh-CN"/>
        </w:rPr>
      </w:pPr>
      <w:r w:rsidRPr="00951859">
        <w:rPr>
          <w:rFonts w:ascii="Arial" w:eastAsia="Quattrocento Sans" w:hAnsi="Arial"/>
          <w:b/>
          <w:color w:val="auto"/>
          <w:lang w:val="vi-VN" w:eastAsia="zh-CN"/>
        </w:rPr>
        <w:t>Hiện trạng áp dụng tiêu chuẩn trong ASEAN, bao gồm các nỗ lực đang triển khai, kế hoạch sắp tới và các thách thức chính trong quá trình áp dụng tiêu chuẩn giữa các quốc gia thành viên ASEAN (AMS) và toàn khu vực.</w:t>
      </w:r>
    </w:p>
    <w:p w14:paraId="4DF6C524" w14:textId="40E0A0AC" w:rsidR="00951859" w:rsidRPr="00951859" w:rsidRDefault="00951859" w:rsidP="007664A3">
      <w:pPr>
        <w:rPr>
          <w:shd w:val="clear" w:color="auto" w:fill="FFFFFF"/>
          <w:lang w:val="vi-VN"/>
        </w:rPr>
      </w:pPr>
      <w:r w:rsidRPr="00951859">
        <w:rPr>
          <w:shd w:val="clear" w:color="auto" w:fill="FFFFFF"/>
          <w:lang w:val="vi-VN"/>
        </w:rPr>
        <w:t>Việc áp dụng các tiêu chuẩn an toàn trực tuyến quốc tế giữa các AMS có sự khác biệt. Trong khi các tiêu chuẩn ISO/IEC 27001 và 27002 được công nhận và áp dụng rộng rãi tại Singapore</w:t>
      </w:r>
      <w:r w:rsidRPr="004F1D15">
        <w:rPr>
          <w:rStyle w:val="FootnoteReference"/>
          <w:color w:val="0D0D0D"/>
          <w:shd w:val="clear" w:color="auto" w:fill="FFFFFF"/>
        </w:rPr>
        <w:footnoteReference w:id="218"/>
      </w:r>
      <w:r w:rsidRPr="00951859">
        <w:rPr>
          <w:shd w:val="clear" w:color="auto" w:fill="FFFFFF"/>
          <w:lang w:val="vi-VN"/>
        </w:rPr>
        <w:t xml:space="preserve">, Indonesia, </w:t>
      </w:r>
      <w:r w:rsidRPr="00951859">
        <w:rPr>
          <w:shd w:val="clear" w:color="auto" w:fill="FFFFFF"/>
          <w:lang w:val="vi-VN"/>
        </w:rPr>
        <w:lastRenderedPageBreak/>
        <w:t>Malaysia, Philippines và Việt Nam</w:t>
      </w:r>
      <w:r w:rsidRPr="004F1D15">
        <w:rPr>
          <w:rStyle w:val="FootnoteReference"/>
          <w:color w:val="0D0D0D"/>
          <w:shd w:val="clear" w:color="auto" w:fill="FFFFFF"/>
        </w:rPr>
        <w:footnoteReference w:id="219"/>
      </w:r>
      <w:r w:rsidRPr="00951859">
        <w:rPr>
          <w:shd w:val="clear" w:color="auto" w:fill="FFFFFF"/>
          <w:lang w:val="vi-VN"/>
        </w:rPr>
        <w:t>, thì có rất ít bằng chứng cho thấy các tiêu chuẩn này được áp dụng tại những AMS khác.</w:t>
      </w:r>
    </w:p>
    <w:p w14:paraId="5F9BEAC8" w14:textId="2B52895F" w:rsidR="00267F17" w:rsidRPr="00951859" w:rsidRDefault="00951859" w:rsidP="007664A3">
      <w:pPr>
        <w:rPr>
          <w:rStyle w:val="Strong"/>
          <w:b w:val="0"/>
          <w:lang w:val="vi-VN"/>
        </w:rPr>
      </w:pPr>
      <w:r w:rsidRPr="00951859">
        <w:rPr>
          <w:rStyle w:val="Strong"/>
          <w:b w:val="0"/>
          <w:lang w:val="vi-VN"/>
        </w:rPr>
        <w:t>Việc áp dụng các tiêu chuẩn ODR đã trở thành một ưu tiên mới nổi của ASEAN, và Lộ trình Bandar Seri Begawan đã nhấn mạnh sự cần thiết phải xây dựng và triển khai cơ chế ODR ASEAN cho các khiếu nại người tiêu dùng xuyên biên giới</w:t>
      </w:r>
      <w:r w:rsidRPr="004F1D15">
        <w:rPr>
          <w:rStyle w:val="FootnoteReference"/>
          <w:rFonts w:eastAsia="Times New Roman"/>
        </w:rPr>
        <w:footnoteReference w:id="220"/>
      </w:r>
      <w:r w:rsidRPr="00951859">
        <w:rPr>
          <w:rStyle w:val="Strong"/>
          <w:b w:val="0"/>
          <w:lang w:val="vi-VN"/>
        </w:rPr>
        <w:t>.</w:t>
      </w:r>
    </w:p>
    <w:p w14:paraId="540BBB28" w14:textId="0AA9F191" w:rsidR="001315C7" w:rsidRPr="001315C7" w:rsidRDefault="001315C7" w:rsidP="007664A3">
      <w:pPr>
        <w:rPr>
          <w:rStyle w:val="Strong"/>
          <w:b w:val="0"/>
          <w:lang w:val="vi-VN"/>
        </w:rPr>
      </w:pPr>
      <w:r w:rsidRPr="001315C7">
        <w:rPr>
          <w:rStyle w:val="Strong"/>
          <w:b w:val="0"/>
          <w:lang w:val="vi-VN"/>
        </w:rPr>
        <w:t>Tiến độ áp dụng các tiêu chuẩn ODR trên toàn ASEAN còn chậm do nhiều thách thức. Thứ nhất, sự đa dạng của các khung pháp lý và những khó khăn trong việc tiêu chuẩn hóa kỹ thuật của các hệ thống ODR khác nhau khiến AMS khó áp dụng ODR ASEAN. Thứ hai, chính phủ, doanh nghiệp và người dùng nền tảng ODR đều có mức độ hiểu biết và năng lực hạn chế. Thứ ba, nhận thức và niềm tin của công chúng đối với cơ chế ODR còn thấp. Do đó, cần có sự hỗ trợ mạnh mẽ từ cơ quan quản lý và thể chế để thực thi các tiêu chuẩn ODR và đảm bảo tuân thủ, bao gồm quy định pháp lý về ODR và các cơ quan giám sát, quản lý quy trình ODR.</w:t>
      </w:r>
    </w:p>
    <w:p w14:paraId="37FBFC13" w14:textId="621CB97E" w:rsidR="001315C7" w:rsidRPr="001315C7" w:rsidRDefault="001315C7" w:rsidP="007664A3">
      <w:pPr>
        <w:rPr>
          <w:lang w:val="vi-VN"/>
        </w:rPr>
      </w:pPr>
      <w:r w:rsidRPr="001315C7">
        <w:rPr>
          <w:lang w:val="vi-VN"/>
        </w:rPr>
        <w:t>Ở cấp độ quốc gia, các AMS đang ở những giai đoạn rất khác nhau trong việc xây dựng khung pháp lý về bảo vệ người tiêu dùng và thương mại điện tử. Một số AMS hiện chưa có luật bảo vệ người tiêu dùng được xây dựng riêng cho giao dịch thương mại điện tử, trong khi những nước khác đã có dự thảo luật hoặc ban hành nghị định điều chỉnh các khía cạnh cụ thể của thương mại điện tử.</w:t>
      </w:r>
    </w:p>
    <w:p w14:paraId="735B1CFE" w14:textId="693C75B7" w:rsidR="001315C7" w:rsidRPr="001315C7" w:rsidRDefault="001315C7" w:rsidP="007664A3">
      <w:pPr>
        <w:rPr>
          <w:lang w:val="vi-VN"/>
        </w:rPr>
      </w:pPr>
      <w:r w:rsidRPr="001315C7">
        <w:rPr>
          <w:lang w:val="vi-VN"/>
        </w:rPr>
        <w:t>Bức tranh đa dạng về phát triển pháp luật phản ánh sự tương tác phức tạp giữa các yếu tố kinh tế – xã hội, công nghệ và thể chế định hình hệ sinh thái thương mại số trong ASEAN. Thứ nhất, sự khác biệt về hệ thống pháp lý, chuẩn mực văn hóa và trình độ phát triển kinh tế giữa các AMS dẫn đến các cách tiếp cận xây dựng chính sách khác nhau. Một số AMS có thể ưu tiên các chương trình lập pháp khác hơn là bảo vệ người tiêu dùng và thương mại điện tử, phản ánh sự khác biệt về ưu tiên và phân bổ nguồn lực quốc gia. Ngoài ra, sự phức tạp của thương mại số đặt ra những thách thức riêng đòi hỏi phải xem xét và điều chỉnh cẩn thận trong từng bối cảnh quốc gia. Các yếu tố như mức độ sẵn sàng về công nghệ, năng lực thể chế và mức độ tham gia của các bên liên quan tiếp tục ảnh hưởng đến tốc độ và phạm vi phát triển pháp luật. Hơn nữa, sự thay đổi liên tục của công nghệ số đòi hỏi phải rà soát và điều chỉnh khung pháp lý thường xuyên, dẫn đến sự khác biệt về tiến độ giữa các AMS.</w:t>
      </w:r>
    </w:p>
    <w:p w14:paraId="04727E60" w14:textId="1A8E9D81" w:rsidR="001315C7" w:rsidRPr="001315C7" w:rsidRDefault="001315C7" w:rsidP="007664A3">
      <w:pPr>
        <w:rPr>
          <w:lang w:val="vi-VN"/>
        </w:rPr>
      </w:pPr>
      <w:r w:rsidRPr="001315C7">
        <w:rPr>
          <w:lang w:val="vi-VN"/>
        </w:rPr>
        <w:t xml:space="preserve">Ở cấp độ khu vực, ASEAN đã thực hiện các bước quan trọng nhằm giải quyết vấn đề an toàn trực tuyến trên nhiều phương diện. Một nỗ lực then chốt liên quan đến việc chống bóc lột và lạm dụng trẻ em trên môi trường mạng. ASEAN đã xây dựng Tuyên bố và Kế hoạch Hành động Khu vực về Bảo vệ Trẻ em khỏi mọi hình thức bóc lột và lạm dụng trực tuyến (ASEAN RPA on COEA) nhằm đảm bảo cách tiếp cận phối hợp giữa các quốc gia thành viên. Các sáng kiến này ưu tiên nhiều biện pháp bảo vệ trẻ em trực tuyến, bao gồm tăng cường khung pháp lý, củng cố năng lực thực thi pháp luật, thành lập các đơn vị chuyên trách điều phối điều tra, cải thiện dịch vụ hỗ trợ trẻ em và thúc đẩy nhận thức thông qua chương trình giáo dục và giáo trình nhà trường. ASEAN cũng nhấn mạnh vai trò của khu </w:t>
      </w:r>
      <w:r w:rsidRPr="001315C7">
        <w:rPr>
          <w:lang w:val="vi-VN"/>
        </w:rPr>
        <w:lastRenderedPageBreak/>
        <w:t>vực tư nhân trong việc phát triển các cơ chế hiệu quả nhằm phát hiện và báo cáo nội dung bất hợp pháp liên quan đến bóc lột trẻ em</w:t>
      </w:r>
      <w:r w:rsidRPr="004F1D15">
        <w:rPr>
          <w:rStyle w:val="FootnoteReference"/>
          <w:rFonts w:eastAsia="Times New Roman"/>
        </w:rPr>
        <w:footnoteReference w:id="221"/>
      </w:r>
      <w:r w:rsidRPr="001315C7">
        <w:rPr>
          <w:lang w:val="vi-VN"/>
        </w:rPr>
        <w:t>.</w:t>
      </w:r>
    </w:p>
    <w:p w14:paraId="58C760E9" w14:textId="224CBCCD" w:rsidR="001315C7" w:rsidRPr="001315C7" w:rsidRDefault="001315C7" w:rsidP="007664A3">
      <w:pPr>
        <w:rPr>
          <w:lang w:val="vi-VN"/>
        </w:rPr>
      </w:pPr>
      <w:r w:rsidRPr="001315C7">
        <w:rPr>
          <w:lang w:val="vi-VN"/>
        </w:rPr>
        <w:t xml:space="preserve">Bên cạnh đó, khu vực đã xây dựng </w:t>
      </w:r>
      <w:r w:rsidRPr="000A43F0">
        <w:rPr>
          <w:b/>
          <w:bCs/>
          <w:lang w:val="vi-VN"/>
        </w:rPr>
        <w:t>Hướng dẫn ASEAN về Bảo vệ Người tiêu dùng trong Thương mại Điện tử</w:t>
      </w:r>
      <w:r w:rsidRPr="001315C7">
        <w:rPr>
          <w:lang w:val="vi-VN"/>
        </w:rPr>
        <w:t>, một công cụ “luật mềm” nhằm định hướng cho các nhà hoạch định chính sách</w:t>
      </w:r>
      <w:r w:rsidR="000A43F0" w:rsidRPr="004F1D15">
        <w:rPr>
          <w:vertAlign w:val="superscript"/>
        </w:rPr>
        <w:footnoteReference w:id="222"/>
      </w:r>
      <w:r w:rsidRPr="001315C7">
        <w:rPr>
          <w:lang w:val="vi-VN"/>
        </w:rPr>
        <w:t xml:space="preserve">. Hướng dẫn này là một kết quả ưu tiên trong </w:t>
      </w:r>
      <w:r w:rsidRPr="000A43F0">
        <w:rPr>
          <w:b/>
          <w:bCs/>
          <w:lang w:val="vi-VN"/>
        </w:rPr>
        <w:t>Kế hoạch Hành động Chiến lược ASEAN về Bảo vệ Người tiêu dùng (ASAPCP) 2016-2025 (phiên bản cập nhật),</w:t>
      </w:r>
      <w:r w:rsidRPr="001315C7">
        <w:rPr>
          <w:lang w:val="vi-VN"/>
        </w:rPr>
        <w:t xml:space="preserve"> hỗ trợ hiện đại hóa và tiến tới hội tụ dần các luật bảo vệ người tiêu dùng giữa các AMS</w:t>
      </w:r>
      <w:r w:rsidR="000A43F0" w:rsidRPr="004F1D15">
        <w:rPr>
          <w:rStyle w:val="FootnoteReference"/>
          <w:rFonts w:eastAsia="Times New Roman"/>
        </w:rPr>
        <w:footnoteReference w:id="223"/>
      </w:r>
      <w:r w:rsidRPr="001315C7">
        <w:rPr>
          <w:lang w:val="vi-VN"/>
        </w:rPr>
        <w:t xml:space="preserve">. Ngoài ra, Hướng dẫn cũng củng cố </w:t>
      </w:r>
      <w:r w:rsidRPr="000A43F0">
        <w:rPr>
          <w:b/>
          <w:bCs/>
          <w:lang w:val="vi-VN"/>
        </w:rPr>
        <w:t>Nguyên tắc Cấp cao số 8 của ASEAN về Bảo vệ Người tiêu dùng (AHLPCP),</w:t>
      </w:r>
      <w:r w:rsidRPr="001315C7">
        <w:rPr>
          <w:lang w:val="vi-VN"/>
        </w:rPr>
        <w:t xml:space="preserve"> trong đó nhấn mạnh việc bảo vệ người tiêu dùng tham gia thương mại điện tử</w:t>
      </w:r>
      <w:r w:rsidR="00C55B7B" w:rsidRPr="004F1D15">
        <w:rPr>
          <w:rStyle w:val="FootnoteReference"/>
          <w:rFonts w:eastAsia="Times New Roman"/>
        </w:rPr>
        <w:footnoteReference w:id="224"/>
      </w:r>
      <w:r w:rsidRPr="001315C7">
        <w:rPr>
          <w:lang w:val="vi-VN"/>
        </w:rPr>
        <w:t>. Thêm vào đó, đã có nghiên cứu về Chương trình Trust Mark để xem xét liệu công cụ này có mang lại lợi ích cho khu vực hay không</w:t>
      </w:r>
      <w:r w:rsidR="00C55B7B" w:rsidRPr="004F1D15">
        <w:rPr>
          <w:rStyle w:val="FootnoteReference"/>
          <w:rFonts w:eastAsia="Times New Roman"/>
        </w:rPr>
        <w:footnoteReference w:id="225"/>
      </w:r>
      <w:r w:rsidRPr="001315C7">
        <w:rPr>
          <w:lang w:val="vi-VN"/>
        </w:rPr>
        <w:t>.</w:t>
      </w:r>
    </w:p>
    <w:p w14:paraId="78173D12" w14:textId="6414AF6F" w:rsidR="00C55B7B" w:rsidRPr="00C55B7B" w:rsidRDefault="00C55B7B" w:rsidP="007664A3">
      <w:pPr>
        <w:rPr>
          <w:lang w:val="vi-VN"/>
        </w:rPr>
      </w:pPr>
      <w:r w:rsidRPr="00C55B7B">
        <w:rPr>
          <w:lang w:val="vi-VN"/>
        </w:rPr>
        <w:t xml:space="preserve">Hướng dẫn này cũng bổ trợ và tăng cường </w:t>
      </w:r>
      <w:r w:rsidRPr="00C55B7B">
        <w:rPr>
          <w:b/>
          <w:bCs/>
          <w:lang w:val="vi-VN"/>
        </w:rPr>
        <w:t>Bộ Quy tắc Ứng xử Kinh doanh Trực tuyến ASEAN (ASEAN COC)</w:t>
      </w:r>
      <w:r w:rsidRPr="00C55B7B">
        <w:rPr>
          <w:lang w:val="vi-VN"/>
        </w:rPr>
        <w:t>, một công cụ khuyến khích các doanh nghiệp trực tuyến (bao gồm MSME) tự nguyện cam kết hành xử có trách nhiệm và công bằng đối với người tiêu dùng</w:t>
      </w:r>
      <w:r w:rsidRPr="004F1D15">
        <w:rPr>
          <w:rStyle w:val="FootnoteReference"/>
          <w:rFonts w:eastAsia="Times New Roman"/>
        </w:rPr>
        <w:footnoteReference w:id="226"/>
      </w:r>
      <w:r w:rsidRPr="00C55B7B">
        <w:rPr>
          <w:lang w:val="vi-VN"/>
        </w:rPr>
        <w:t>. Bộ Quy tắc bao gồm 15 cam kết cốt lõi có thể dễ dàng áp dụng và điều chỉnh trong các bối cảnh khác nhau, như tuân thủ pháp luật và quy định, đảm bảo chất lượng và an toàn của sản phẩm và dịch vụ, đảm bảo quyền riêng tư dữ liệu và đảm bảo an toàn thanh toán trực tuyến. Các cam kết này được xây dựng bằng ngôn ngữ khái quát, nhằm thúc đẩy các cuộc thảo luận giữa doanh nghiệp đồng thời đưa ra hướng dẫn tuân thủ phù hợp với bối cảnh pháp lý của từng AMS.</w:t>
      </w:r>
    </w:p>
    <w:p w14:paraId="57BDD2E5" w14:textId="311AF81E" w:rsidR="00267F17" w:rsidRPr="004F1D15" w:rsidRDefault="00262E2A" w:rsidP="00FF6387">
      <w:pPr>
        <w:pStyle w:val="ListParagraph"/>
        <w:numPr>
          <w:ilvl w:val="0"/>
          <w:numId w:val="33"/>
        </w:numPr>
        <w:rPr>
          <w:rFonts w:ascii="Arial" w:eastAsia="Quattrocento Sans" w:hAnsi="Arial"/>
          <w:b/>
          <w:color w:val="auto"/>
          <w:lang w:val="en-GB" w:eastAsia="zh-CN"/>
        </w:rPr>
      </w:pPr>
      <w:r w:rsidRPr="00262E2A">
        <w:rPr>
          <w:rFonts w:ascii="Arial" w:eastAsia="Quattrocento Sans" w:hAnsi="Arial"/>
          <w:b/>
          <w:color w:val="auto"/>
          <w:lang w:val="vi-VN" w:eastAsia="zh-CN"/>
        </w:rPr>
        <w:t>Mối liên hệ với các tiểu lĩnh vực khác / Các cân nhắc khác</w:t>
      </w:r>
    </w:p>
    <w:p w14:paraId="01BCA07E" w14:textId="5AABE1FB" w:rsidR="00262E2A" w:rsidRPr="00262E2A" w:rsidRDefault="00262E2A" w:rsidP="007664A3">
      <w:pPr>
        <w:rPr>
          <w:lang w:val="vi-VN"/>
        </w:rPr>
      </w:pPr>
      <w:r w:rsidRPr="00262E2A">
        <w:rPr>
          <w:lang w:val="vi-VN"/>
        </w:rPr>
        <w:t>Online Dispute Resolution (ODR) có mối liên hệ chặt chẽ với các tiêu chuẩn thương mại số khác như thanh toán trực tuyến, mã QR và thương mại xuyên biên giới. Những mối liên hệ này rất quan trọng để tạo ra một môi trường thương mại số liền mạch và đáng tin cậy.</w:t>
      </w:r>
    </w:p>
    <w:p w14:paraId="70D847EF" w14:textId="701282E2" w:rsidR="00262E2A" w:rsidRPr="00262E2A" w:rsidRDefault="00262E2A" w:rsidP="007664A3">
      <w:pPr>
        <w:rPr>
          <w:lang w:val="vi-VN"/>
        </w:rPr>
      </w:pPr>
      <w:r w:rsidRPr="00262E2A">
        <w:rPr>
          <w:lang w:val="vi-VN"/>
        </w:rPr>
        <w:t xml:space="preserve">Đối với thanh toán trực tuyến, các hệ thống ODR đảm bảo rằng các tranh chấp phát sinh từ giao dịch được giải quyết hiệu quả, qua đó tăng cường niềm tin của người tiêu dùng và thúc đẩy việc sử dụng các phương thức thanh toán số. Trong bối cảnh mã QR </w:t>
      </w:r>
      <w:r>
        <w:rPr>
          <w:lang w:val="vi-VN"/>
        </w:rPr>
        <w:t>-</w:t>
      </w:r>
      <w:r w:rsidRPr="00262E2A">
        <w:rPr>
          <w:lang w:val="vi-VN"/>
        </w:rPr>
        <w:t xml:space="preserve"> vốn hỗ trợ giao dịch nhanh và an toàn </w:t>
      </w:r>
      <w:r>
        <w:rPr>
          <w:lang w:val="vi-VN"/>
        </w:rPr>
        <w:t>-</w:t>
      </w:r>
      <w:r w:rsidRPr="00262E2A">
        <w:rPr>
          <w:lang w:val="vi-VN"/>
        </w:rPr>
        <w:t xml:space="preserve"> ODR cung cấp cơ chế để xử lý các vấn đề có thể phát sinh, từ đó hỗ trợ độ tin cậy của công nghệ này.</w:t>
      </w:r>
    </w:p>
    <w:p w14:paraId="289D0577" w14:textId="6EB48CE7" w:rsidR="00267F17" w:rsidRPr="00262E2A" w:rsidRDefault="00262E2A" w:rsidP="007664A3">
      <w:pPr>
        <w:rPr>
          <w:lang w:val="vi-VN"/>
        </w:rPr>
      </w:pPr>
      <w:r w:rsidRPr="00262E2A">
        <w:rPr>
          <w:lang w:val="vi-VN"/>
        </w:rPr>
        <w:t xml:space="preserve">Thương mại xuyên biên giới đặc biệt hưởng lợi từ ODR nhờ việc cung cấp một phương thức tiêu chuẩn hóa để giải quyết tranh chấp giữa các bên ở các quốc gia khác nhau. Sự hài hòa hóa các tiêu </w:t>
      </w:r>
      <w:r w:rsidRPr="00262E2A">
        <w:rPr>
          <w:lang w:val="vi-VN"/>
        </w:rPr>
        <w:lastRenderedPageBreak/>
        <w:t>chuẩn trên các khía cạnh khác nhau của thương mại số giúp giảm ma sát, thúc đẩy giao dịch trôi chảy hơn và củng cố niềm tin giữa các đối tác thương mại quốc tế.</w:t>
      </w:r>
    </w:p>
    <w:p w14:paraId="358E646D" w14:textId="66B1BC69" w:rsidR="00262E2A" w:rsidRPr="00262E2A" w:rsidRDefault="00262E2A" w:rsidP="007664A3">
      <w:pPr>
        <w:rPr>
          <w:rFonts w:eastAsia="Times New Roman"/>
          <w:lang w:val="vi-VN"/>
        </w:rPr>
      </w:pPr>
      <w:r w:rsidRPr="00262E2A">
        <w:rPr>
          <w:rFonts w:eastAsia="Times New Roman"/>
          <w:lang w:val="vi-VN"/>
        </w:rPr>
        <w:t>Mặt khác, bảo vệ người tiêu dùng trực tuyến có liên hệ chặt chẽ với các công nghệ mới nổi như AI, blockchain và điện toán đám mây. Đảm bảo an toàn cho các nền tảng trực tuyến là điều thiết yếu để xây dựng niềm tin và thúc đẩy việc ứng dụng rộng rãi các công nghệ đổi mới này.</w:t>
      </w:r>
    </w:p>
    <w:p w14:paraId="0BF59D90" w14:textId="16E11748" w:rsidR="00267F17" w:rsidRPr="004F1D15" w:rsidRDefault="00262E2A" w:rsidP="00C82E40">
      <w:pPr>
        <w:pStyle w:val="Heading4"/>
        <w:rPr>
          <w:lang w:val="en-GB"/>
        </w:rPr>
      </w:pPr>
      <w:r>
        <w:rPr>
          <w:lang w:val="en-GB"/>
        </w:rPr>
        <w:t>Bảo</w:t>
      </w:r>
      <w:r>
        <w:rPr>
          <w:lang w:val="vi-VN"/>
        </w:rPr>
        <w:t xml:space="preserve"> vệ dữ liệu và quyền riêng tư xuyên biên giới</w:t>
      </w:r>
    </w:p>
    <w:p w14:paraId="68AA526F" w14:textId="56301C0C" w:rsidR="00267F17" w:rsidRPr="004F1D15" w:rsidRDefault="00F52E80" w:rsidP="00C82E40">
      <w:pPr>
        <w:pStyle w:val="ListParagraph"/>
        <w:numPr>
          <w:ilvl w:val="0"/>
          <w:numId w:val="13"/>
        </w:numPr>
        <w:rPr>
          <w:rFonts w:ascii="Arial" w:eastAsia="Quattrocento Sans" w:hAnsi="Arial"/>
          <w:b/>
          <w:color w:val="auto"/>
          <w:lang w:val="en-GB" w:eastAsia="zh-CN"/>
        </w:rPr>
      </w:pPr>
      <w:r w:rsidRPr="00F52E80">
        <w:rPr>
          <w:rFonts w:ascii="Arial" w:eastAsia="Quattrocento Sans" w:hAnsi="Arial"/>
          <w:b/>
          <w:color w:val="auto"/>
          <w:lang w:val="vi-VN" w:eastAsia="zh-CN"/>
        </w:rPr>
        <w:t>Tầm quan trọng của các tiêu chuẩn trong tiểu lĩnh vực này</w:t>
      </w:r>
    </w:p>
    <w:p w14:paraId="3037C34E" w14:textId="0457D680" w:rsidR="00F52E80" w:rsidRPr="00F52E80" w:rsidRDefault="00F52E80" w:rsidP="007664A3">
      <w:pPr>
        <w:rPr>
          <w:lang w:val="vi-VN"/>
        </w:rPr>
      </w:pPr>
      <w:r w:rsidRPr="00F52E80">
        <w:rPr>
          <w:lang w:val="vi-VN"/>
        </w:rPr>
        <w:t xml:space="preserve">Việc thực thi các tiêu chuẩn hài hòa trong ASEAN có thể thúc đẩy mạnh mẽ sự phát triển của thương mại số. Từ góc độ doanh nghiệp, việc triển khai một khuôn khổ bảo vệ dữ liệu và quyền riêng tư hài hòa có thể mang lại sự chắc chắn lớn hơn, đặc biệt tại các AMS như Brunei Darussalam, Campuchia, Lào và Myanmar </w:t>
      </w:r>
      <w:r>
        <w:rPr>
          <w:lang w:val="vi-VN"/>
        </w:rPr>
        <w:t>-</w:t>
      </w:r>
      <w:r w:rsidRPr="00F52E80">
        <w:rPr>
          <w:lang w:val="vi-VN"/>
        </w:rPr>
        <w:t xml:space="preserve"> nơi hiện vẫn thiếu các quy định liên quan</w:t>
      </w:r>
      <w:r w:rsidRPr="004F1D15">
        <w:rPr>
          <w:rStyle w:val="FootnoteReference"/>
          <w:rFonts w:eastAsia="Times New Roman"/>
        </w:rPr>
        <w:footnoteReference w:id="227"/>
      </w:r>
      <w:r w:rsidRPr="00F52E80">
        <w:rPr>
          <w:lang w:val="vi-VN"/>
        </w:rPr>
        <w:t>. Quan trọng hơn, các quy tắc bảo vệ dữ liệu và quyền riêng tư hài hòa giúp giảm chi phí tuân thủ cho doanh nghiệp hoạt động trong khu vực. Hiện tại, các doanh nghiệp phải đối mặt với sự khác biệt lớn giữa các quy định về bảo vệ dữ liệu cá nhân, chuyển giao dữ liệu, yêu cầu lưu trữ và thu thập dữ liệu. Trong bối cảnh đó, việc tiêu chuẩn hóa các quy định bảo vệ dữ liệu và quyền riêng tư có thể loại bỏ các rào cản đối với hoạt động kinh doanh xuyên biên giới, chẳng hạn như yêu cầu nội địa hóa dữ liệu và hạn chế chuyển giao dữ liệu</w:t>
      </w:r>
      <w:r w:rsidRPr="004F1D15">
        <w:rPr>
          <w:rStyle w:val="FootnoteReference"/>
          <w:rFonts w:eastAsia="Times New Roman"/>
        </w:rPr>
        <w:footnoteReference w:id="228"/>
      </w:r>
      <w:r w:rsidRPr="00F52E80">
        <w:rPr>
          <w:lang w:val="vi-VN"/>
        </w:rPr>
        <w:t>. Ở cấp độ khu vực, xây dựng khung bảo vệ dữ liệu và quyền riêng tư hài hòa là nền tảng giúp củng cố vai trò của ASEAN trong các cuộc thảo luận toàn cầu về quản trị dữ liệu, tiêu chuẩn và thiết lập chuẩn mực</w:t>
      </w:r>
      <w:r w:rsidRPr="004F1D15">
        <w:rPr>
          <w:rStyle w:val="FootnoteReference"/>
          <w:rFonts w:eastAsia="Times New Roman"/>
        </w:rPr>
        <w:footnoteReference w:id="229"/>
      </w:r>
      <w:r w:rsidRPr="00F52E80">
        <w:rPr>
          <w:lang w:val="vi-VN"/>
        </w:rPr>
        <w:t>.</w:t>
      </w:r>
    </w:p>
    <w:p w14:paraId="73F63711" w14:textId="3666BB8F" w:rsidR="00267F17" w:rsidRPr="004F1D15" w:rsidRDefault="00CA50B1" w:rsidP="00C82E40">
      <w:pPr>
        <w:pStyle w:val="ListParagraph"/>
        <w:numPr>
          <w:ilvl w:val="0"/>
          <w:numId w:val="13"/>
        </w:numPr>
        <w:rPr>
          <w:rFonts w:ascii="Arial" w:eastAsia="Quattrocento Sans" w:hAnsi="Arial"/>
          <w:b/>
          <w:color w:val="auto"/>
          <w:lang w:val="en-GB" w:eastAsia="zh-CN"/>
        </w:rPr>
      </w:pPr>
      <w:r>
        <w:rPr>
          <w:rFonts w:ascii="Arial" w:eastAsia="Quattrocento Sans" w:hAnsi="Arial"/>
          <w:b/>
          <w:color w:val="auto"/>
          <w:lang w:val="vi-VN" w:eastAsia="zh-CN"/>
        </w:rPr>
        <w:t>Các tiêu chuẩn quốc tế chính mà ASEAN quan tâm</w:t>
      </w:r>
    </w:p>
    <w:p w14:paraId="48278999" w14:textId="1C064077" w:rsidR="00CA50B1" w:rsidRPr="00CA50B1" w:rsidRDefault="00CA50B1" w:rsidP="007664A3">
      <w:pPr>
        <w:rPr>
          <w:lang w:val="vi-VN" w:eastAsia="zh-CN"/>
        </w:rPr>
      </w:pPr>
      <w:r w:rsidRPr="00CA50B1">
        <w:rPr>
          <w:lang w:val="vi-VN" w:eastAsia="zh-CN"/>
        </w:rPr>
        <w:t>Trong lĩnh vực bảo vệ dữ liệu và quyền riêng tư xuyên biên giới, các tiêu chuẩn quốc tế thường đóng vai trò như hướng dẫn thực hành tốt thay vì quy định có tính ràng buộc pháp lý. Điều này chủ yếu do thách thức trong việc thiết lập các tiêu chuẩn có thể áp dụng hoặc được chấp nhận phổ quát giữa các quốc gia có khung pháp lý, chuẩn mực văn hóa và lợi ích địa chính trị khác nhau.</w:t>
      </w:r>
    </w:p>
    <w:p w14:paraId="169611E4" w14:textId="51A0B16F" w:rsidR="00CA50B1" w:rsidRPr="00CA50B1" w:rsidRDefault="00CA50B1" w:rsidP="007664A3">
      <w:pPr>
        <w:rPr>
          <w:lang w:val="vi-VN" w:eastAsia="zh-CN"/>
        </w:rPr>
      </w:pPr>
      <w:r w:rsidRPr="00CA50B1">
        <w:rPr>
          <w:lang w:val="vi-VN" w:eastAsia="zh-CN"/>
        </w:rPr>
        <w:t xml:space="preserve">Tuy nhiên, các tiêu chuẩn quốc tế quan trọng bao gồm bộ tiêu chuẩn ISO/IEC 27000, đặt ra các nguyên tắc cơ bản về bảo vệ dữ liệu. Ví dụ, tiêu chuẩn </w:t>
      </w:r>
      <w:r w:rsidRPr="004F7E02">
        <w:rPr>
          <w:b/>
          <w:bCs/>
          <w:lang w:val="vi-VN" w:eastAsia="zh-CN"/>
        </w:rPr>
        <w:t>ISO/IEC 27701 - phần mở rộng của ISO/IEC 27001 và 27002 về quản lý thông tin quyền riêng tư</w:t>
      </w:r>
      <w:r w:rsidRPr="00CA50B1">
        <w:rPr>
          <w:lang w:val="vi-VN" w:eastAsia="zh-CN"/>
        </w:rPr>
        <w:t xml:space="preserve"> </w:t>
      </w:r>
      <w:r>
        <w:rPr>
          <w:lang w:val="vi-VN" w:eastAsia="zh-CN"/>
        </w:rPr>
        <w:t>-</w:t>
      </w:r>
      <w:r w:rsidRPr="00CA50B1">
        <w:rPr>
          <w:lang w:val="vi-VN" w:eastAsia="zh-CN"/>
        </w:rPr>
        <w:t xml:space="preserve"> cung cấp hướng dẫn về quản lý thông tin cá nhân</w:t>
      </w:r>
      <w:r w:rsidR="004F7E02" w:rsidRPr="004F1D15">
        <w:rPr>
          <w:rStyle w:val="FootnoteReference"/>
          <w:rFonts w:eastAsia="Times New Roman"/>
          <w:kern w:val="2"/>
          <w:lang w:eastAsia="zh-CN"/>
          <w14:ligatures w14:val="standardContextual"/>
        </w:rPr>
        <w:footnoteReference w:id="230"/>
      </w:r>
      <w:r w:rsidRPr="00CA50B1">
        <w:rPr>
          <w:lang w:val="vi-VN" w:eastAsia="zh-CN"/>
        </w:rPr>
        <w:t xml:space="preserve">, và </w:t>
      </w:r>
      <w:r w:rsidRPr="00F50692">
        <w:rPr>
          <w:b/>
          <w:bCs/>
          <w:lang w:val="vi-VN" w:eastAsia="zh-CN"/>
        </w:rPr>
        <w:t xml:space="preserve">ISO/IEC 27010 về kỹ thuật an ninh - quản lý an ninh thông tin cho truyền thông liên ngành và liên tổ </w:t>
      </w:r>
      <w:r w:rsidR="00F50692">
        <w:rPr>
          <w:b/>
          <w:bCs/>
          <w:lang w:val="vi-VN" w:eastAsia="zh-CN"/>
        </w:rPr>
        <w:t>chức</w:t>
      </w:r>
      <w:r>
        <w:rPr>
          <w:lang w:val="vi-VN" w:eastAsia="zh-CN"/>
        </w:rPr>
        <w:t xml:space="preserve"> -</w:t>
      </w:r>
      <w:r w:rsidRPr="00CA50B1">
        <w:rPr>
          <w:lang w:val="vi-VN" w:eastAsia="zh-CN"/>
        </w:rPr>
        <w:t xml:space="preserve"> đưa ra nguyên tắc chung về khởi tạo, triển khai, duy trì và cải thiện an ninh thông tin trong trao đổi thông tin liên tổ chức. Ngoài ra, các tiêu chuẩn quan trọng từ NIST như </w:t>
      </w:r>
      <w:r w:rsidRPr="00F50692">
        <w:rPr>
          <w:b/>
          <w:bCs/>
          <w:lang w:val="vi-VN" w:eastAsia="zh-CN"/>
        </w:rPr>
        <w:t xml:space="preserve">NIST SP 800-60 (Hướng dẫn phân loại loại hình thông tin và hệ thống theo cấp độ an ninh) và FIPS 199 (Tiêu </w:t>
      </w:r>
      <w:r w:rsidRPr="00F50692">
        <w:rPr>
          <w:b/>
          <w:bCs/>
          <w:lang w:val="vi-VN" w:eastAsia="zh-CN"/>
        </w:rPr>
        <w:lastRenderedPageBreak/>
        <w:t>chuẩn phân loại an ninh cho hệ thống thông tin)</w:t>
      </w:r>
      <w:r w:rsidRPr="00CA50B1">
        <w:rPr>
          <w:lang w:val="vi-VN" w:eastAsia="zh-CN"/>
        </w:rPr>
        <w:t xml:space="preserve"> cũng được tham chiếu rộng rãi trong khu vực và quốc tế</w:t>
      </w:r>
      <w:r w:rsidR="00F50692" w:rsidRPr="004F1D15">
        <w:rPr>
          <w:rStyle w:val="FootnoteReference"/>
          <w:rFonts w:eastAsia="Times New Roman"/>
          <w:kern w:val="2"/>
          <w:lang w:eastAsia="zh-CN"/>
          <w14:ligatures w14:val="standardContextual"/>
        </w:rPr>
        <w:footnoteReference w:id="231"/>
      </w:r>
      <w:r w:rsidRPr="00CA50B1">
        <w:rPr>
          <w:lang w:val="vi-VN" w:eastAsia="zh-CN"/>
        </w:rPr>
        <w:t>.</w:t>
      </w:r>
    </w:p>
    <w:p w14:paraId="427897B2" w14:textId="6CD36808" w:rsidR="00267F17" w:rsidRPr="001B29F6" w:rsidRDefault="001B29F6" w:rsidP="007664A3">
      <w:pPr>
        <w:rPr>
          <w:lang w:val="vi-VN" w:eastAsia="zh-CN"/>
        </w:rPr>
      </w:pPr>
      <w:r w:rsidRPr="001B29F6">
        <w:rPr>
          <w:lang w:val="vi-VN" w:eastAsia="zh-CN"/>
        </w:rPr>
        <w:t>Do các tiêu chuẩn quốc tế thường mang tính định hướng, ASEAN đã có các bước chủ động phát triển một số khuôn khổ nhằm cung cấp hướng dẫn phù hợp với đặc thù khu vực về bảo vệ dữ liệu, quản lý dữ liệu và dòng chảy dữ liệu.</w:t>
      </w:r>
    </w:p>
    <w:p w14:paraId="272BC2F5" w14:textId="162B30C8" w:rsidR="001B29F6" w:rsidRPr="001B29F6" w:rsidRDefault="001B29F6" w:rsidP="007664A3">
      <w:pPr>
        <w:rPr>
          <w:lang w:val="vi-VN" w:eastAsia="zh-CN"/>
        </w:rPr>
      </w:pPr>
      <w:r w:rsidRPr="001B29F6">
        <w:rPr>
          <w:b/>
          <w:bCs/>
          <w:lang w:val="vi-VN" w:eastAsia="zh-CN"/>
        </w:rPr>
        <w:t xml:space="preserve">Khung ASEAN về Bảo vệ Dữ liệu Cá nhân (PDP) </w:t>
      </w:r>
      <w:r w:rsidRPr="001B29F6">
        <w:rPr>
          <w:lang w:val="vi-VN" w:eastAsia="zh-CN"/>
        </w:rPr>
        <w:t>được xây dựng năm 2016 nhằm thiết lập các nguyên tắc tăng cường bảo vệ dữ liệu cá nhân giữa các AMS. Các AMS được kỳ vọng thúc đẩy và triển khai các Nguyên tắc Bảo vệ Dữ liệu Cá nhân trong pháp luật quốc gia của mình theo Khung này</w:t>
      </w:r>
      <w:r w:rsidRPr="004F1D15">
        <w:rPr>
          <w:rStyle w:val="FootnoteReference"/>
          <w:rFonts w:eastAsia="Times New Roman"/>
          <w:kern w:val="2"/>
          <w:lang w:eastAsia="zh-CN"/>
          <w14:ligatures w14:val="standardContextual"/>
        </w:rPr>
        <w:footnoteReference w:id="232"/>
      </w:r>
      <w:r w:rsidRPr="001B29F6">
        <w:rPr>
          <w:lang w:val="vi-VN" w:eastAsia="zh-CN"/>
        </w:rPr>
        <w:t>. Các nguyên tắc bao gồm các quy định về đồng thuận, thông báo, mục đích, quyền truy cập và chỉnh sửa dữ liệu, cùng các nguyên tắc khác</w:t>
      </w:r>
      <w:r w:rsidRPr="004F1D15">
        <w:rPr>
          <w:rStyle w:val="FootnoteReference"/>
          <w:rFonts w:eastAsia="Times New Roman"/>
          <w:kern w:val="2"/>
          <w:lang w:eastAsia="zh-CN"/>
          <w14:ligatures w14:val="standardContextual"/>
        </w:rPr>
        <w:footnoteReference w:id="233"/>
      </w:r>
      <w:r w:rsidRPr="001B29F6">
        <w:rPr>
          <w:lang w:val="vi-VN" w:eastAsia="zh-CN"/>
        </w:rPr>
        <w:t>.</w:t>
      </w:r>
    </w:p>
    <w:p w14:paraId="639B0D89" w14:textId="668FCADD" w:rsidR="001B29F6" w:rsidRPr="001B29F6" w:rsidRDefault="001B29F6" w:rsidP="007664A3">
      <w:pPr>
        <w:rPr>
          <w:lang w:val="vi-VN" w:eastAsia="zh-CN"/>
        </w:rPr>
      </w:pPr>
      <w:r w:rsidRPr="001B29F6">
        <w:rPr>
          <w:b/>
          <w:bCs/>
          <w:lang w:val="vi-VN" w:eastAsia="zh-CN"/>
        </w:rPr>
        <w:t xml:space="preserve">Khung Quản lý Dữ liệu ASEAN (DMF) </w:t>
      </w:r>
      <w:r w:rsidRPr="001B29F6">
        <w:rPr>
          <w:lang w:val="vi-VN" w:eastAsia="zh-CN"/>
        </w:rPr>
        <w:t>được thông qua năm 2018. Trong Khung này, ASEAN đề ra các ưu tiên chiến lược, nguyên tắc và sáng kiến nhằm điều phối cách tiếp cận quản trị dữ liệu của AMS. Các ưu tiên chiến lược bao gồm vòng đời và hệ sinh thái dữ liệu, dòng chảy dữ liệu xuyên biên giới, số hóa công nghệ mới nổi và hài hòa pháp lý – quy định</w:t>
      </w:r>
      <w:r w:rsidR="0022118D" w:rsidRPr="004F1D15">
        <w:rPr>
          <w:rStyle w:val="FootnoteReference"/>
          <w:rFonts w:eastAsia="Times New Roman"/>
          <w:kern w:val="2"/>
          <w:lang w:eastAsia="zh-CN"/>
          <w14:ligatures w14:val="standardContextual"/>
        </w:rPr>
        <w:footnoteReference w:id="234"/>
      </w:r>
      <w:r w:rsidRPr="001B29F6">
        <w:rPr>
          <w:lang w:val="vi-VN" w:eastAsia="zh-CN"/>
        </w:rPr>
        <w:t>. Dưới các ưu tiên này, bốn sáng kiến được xác định để hỗ trợ quản trị dữ liệu số: Khung Phân loại Dữ liệu ASEAN, Cơ chế Dòng chảy Dữ liệu Xuyên biên giới ASEAN (CBDF), Diễn đàn Đổi mới Số ASEAN và Diễn đàn Bảo vệ Dữ liệu &amp; Quyền riêng tư ASEAN</w:t>
      </w:r>
      <w:r w:rsidR="0022118D" w:rsidRPr="004F1D15">
        <w:rPr>
          <w:rStyle w:val="FootnoteReference"/>
          <w:rFonts w:eastAsia="Times New Roman"/>
          <w:kern w:val="2"/>
          <w:lang w:eastAsia="zh-CN"/>
          <w14:ligatures w14:val="standardContextual"/>
        </w:rPr>
        <w:footnoteReference w:id="235"/>
      </w:r>
      <w:r w:rsidRPr="001B29F6">
        <w:rPr>
          <w:lang w:val="vi-VN" w:eastAsia="zh-CN"/>
        </w:rPr>
        <w:t>.</w:t>
      </w:r>
    </w:p>
    <w:p w14:paraId="577725E7" w14:textId="19058D9B" w:rsidR="0022118D" w:rsidRPr="0022118D" w:rsidRDefault="0022118D" w:rsidP="007664A3">
      <w:pPr>
        <w:rPr>
          <w:lang w:val="vi-VN" w:eastAsia="zh-CN"/>
        </w:rPr>
      </w:pPr>
      <w:r w:rsidRPr="0022118D">
        <w:rPr>
          <w:lang w:val="vi-VN" w:eastAsia="zh-CN"/>
        </w:rPr>
        <w:t xml:space="preserve">Năm 2021, ASEAN xây dựng </w:t>
      </w:r>
      <w:r w:rsidRPr="0022118D">
        <w:rPr>
          <w:b/>
          <w:bCs/>
          <w:lang w:val="vi-VN" w:eastAsia="zh-CN"/>
        </w:rPr>
        <w:t>Các Điều khoản Hợp đồng Mẫu về Dòng chảy Dữ liệu Xuyên biên giới (MCCs)</w:t>
      </w:r>
      <w:r w:rsidRPr="0022118D">
        <w:rPr>
          <w:lang w:val="vi-VN" w:eastAsia="zh-CN"/>
        </w:rPr>
        <w:t>. MCCs đóng vai trò là mẫu điều khoản hợp đồng để doanh nghiệp đưa vào các thỏa thuận pháp lý ràng buộc nhằm điều chỉnh việc chuyển giao dữ liệu cá nhân xuyên biên giới. MCCs được giới thiệu như một công cụ giúp doanh nghiệp tuân thủ yêu cầu pháp lý và quy định của các AMS.</w:t>
      </w:r>
      <w:r>
        <w:rPr>
          <w:lang w:val="vi-VN" w:eastAsia="zh-CN"/>
        </w:rPr>
        <w:t xml:space="preserve"> </w:t>
      </w:r>
      <w:r w:rsidRPr="0022118D">
        <w:rPr>
          <w:lang w:val="vi-VN" w:eastAsia="zh-CN"/>
        </w:rPr>
        <w:t xml:space="preserve">Các khuôn khổ quan trọng khác trong khu vực bao gồm </w:t>
      </w:r>
      <w:r w:rsidRPr="000817D2">
        <w:rPr>
          <w:b/>
          <w:bCs/>
          <w:lang w:val="vi-VN" w:eastAsia="zh-CN"/>
        </w:rPr>
        <w:t>APEC CBPR</w:t>
      </w:r>
      <w:r w:rsidRPr="0022118D">
        <w:rPr>
          <w:lang w:val="vi-VN" w:eastAsia="zh-CN"/>
        </w:rPr>
        <w:t xml:space="preserve"> </w:t>
      </w:r>
      <w:r w:rsidR="000817D2">
        <w:rPr>
          <w:lang w:val="vi-VN" w:eastAsia="zh-CN"/>
        </w:rPr>
        <w:t>-</w:t>
      </w:r>
      <w:r w:rsidRPr="0022118D">
        <w:rPr>
          <w:lang w:val="vi-VN" w:eastAsia="zh-CN"/>
        </w:rPr>
        <w:t xml:space="preserve"> được xây dựng bởi các nền kinh tế APEC nhằm thiết lập mức bảo vệ cơ bản cho việc chuyển giao dữ liệu cá nhân xuyên biên giới phù hợp với </w:t>
      </w:r>
      <w:r w:rsidRPr="000817D2">
        <w:rPr>
          <w:i/>
          <w:iCs/>
          <w:lang w:val="vi-VN" w:eastAsia="zh-CN"/>
        </w:rPr>
        <w:t>Khung Quyền riêng tư của APEC</w:t>
      </w:r>
      <w:r w:rsidR="000817D2" w:rsidRPr="004F1D15">
        <w:rPr>
          <w:rStyle w:val="FootnoteReference"/>
          <w:rFonts w:eastAsia="Times New Roman"/>
          <w:kern w:val="2"/>
          <w:lang w:eastAsia="zh-CN"/>
          <w14:ligatures w14:val="standardContextual"/>
        </w:rPr>
        <w:footnoteReference w:id="236"/>
      </w:r>
      <w:r w:rsidRPr="0022118D">
        <w:rPr>
          <w:lang w:val="vi-VN" w:eastAsia="zh-CN"/>
        </w:rPr>
        <w:t>. Theo CBPR, doanh nghiệp có thể tham gia cơ chế chứng nhận tự nguyện, cho phép họ chuyển giao dữ liệu cá nhân giữa các công ty đã được chứng nhận CBPR ở các khu vực pháp lý khác nhau</w:t>
      </w:r>
      <w:r w:rsidR="000817D2" w:rsidRPr="004F1D15">
        <w:rPr>
          <w:rStyle w:val="FootnoteReference"/>
          <w:rFonts w:eastAsia="Times New Roman"/>
          <w:kern w:val="2"/>
          <w:lang w:eastAsia="zh-CN"/>
          <w14:ligatures w14:val="standardContextual"/>
        </w:rPr>
        <w:footnoteReference w:id="237"/>
      </w:r>
      <w:r w:rsidRPr="0022118D">
        <w:rPr>
          <w:lang w:val="vi-VN" w:eastAsia="zh-CN"/>
        </w:rPr>
        <w:t>.</w:t>
      </w:r>
    </w:p>
    <w:p w14:paraId="27B15222" w14:textId="2550916A" w:rsidR="00267F17" w:rsidRPr="004F1D15" w:rsidRDefault="00FD2118" w:rsidP="00C82E40">
      <w:pPr>
        <w:pStyle w:val="ListParagraph"/>
        <w:numPr>
          <w:ilvl w:val="0"/>
          <w:numId w:val="13"/>
        </w:numPr>
        <w:rPr>
          <w:rFonts w:ascii="Arial" w:eastAsia="Quattrocento Sans" w:hAnsi="Arial"/>
          <w:b/>
          <w:color w:val="auto"/>
          <w:lang w:val="en-GB" w:eastAsia="zh-CN"/>
        </w:rPr>
      </w:pPr>
      <w:r w:rsidRPr="00FD2118">
        <w:rPr>
          <w:rFonts w:ascii="Arial" w:eastAsia="Quattrocento Sans" w:hAnsi="Arial"/>
          <w:b/>
          <w:color w:val="auto"/>
          <w:lang w:val="vi-VN" w:eastAsia="zh-CN"/>
        </w:rPr>
        <w:lastRenderedPageBreak/>
        <w:t>Tình hình hiện tại về việc áp dụng tiêu chuẩn trong ASEAN, bao gồm các nỗ lực đang triển khai, kế hoạch sắp tới và các thách thức chính trong việc áp dụng tiêu chuẩn giữa các AMS và toàn ASEAN</w:t>
      </w:r>
    </w:p>
    <w:p w14:paraId="2DC17884" w14:textId="6D07CE7F" w:rsidR="00FD2118" w:rsidRPr="00FD2118" w:rsidRDefault="00FD2118" w:rsidP="007664A3">
      <w:pPr>
        <w:rPr>
          <w:lang w:val="vi-VN" w:eastAsia="zh-CN"/>
        </w:rPr>
      </w:pPr>
      <w:r w:rsidRPr="00FD2118">
        <w:rPr>
          <w:lang w:val="vi-VN" w:eastAsia="zh-CN"/>
        </w:rPr>
        <w:t>Mặc dù dữ liệu về mức độ áp dụng các tiêu chuẩn quốc tế của các AMS còn hạn chế, khu vực đã ghi nhận một số trường hợp hài hòa hóa tiêu chuẩn trong các quy định bảo vệ dữ liệu quốc gia. Ví dụ, Luật Bảo vệ Dữ liệu Cá nhân (PDPA) của Singapore tuân theo các tiêu chuẩn quyền riêng tư quốc tế như ISO 27001 và APEC CBPR thông qua việc phân biệt giữa tổ chức và đơn vị trung gian dữ liệu</w:t>
      </w:r>
      <w:r w:rsidRPr="004F1D15">
        <w:rPr>
          <w:rStyle w:val="FootnoteReference"/>
          <w:rFonts w:eastAsia="Times New Roman"/>
          <w:kern w:val="2"/>
          <w:lang w:eastAsia="zh-CN"/>
          <w14:ligatures w14:val="standardContextual"/>
        </w:rPr>
        <w:footnoteReference w:id="238"/>
      </w:r>
      <w:r w:rsidRPr="00FD2118">
        <w:rPr>
          <w:lang w:val="vi-VN" w:eastAsia="zh-CN"/>
        </w:rPr>
        <w:t>.</w:t>
      </w:r>
    </w:p>
    <w:p w14:paraId="1492E7FF" w14:textId="064978F1" w:rsidR="00FD2118" w:rsidRPr="00FD2118" w:rsidRDefault="00FD2118" w:rsidP="007664A3">
      <w:pPr>
        <w:rPr>
          <w:lang w:val="vi-VN" w:eastAsia="zh-CN"/>
        </w:rPr>
      </w:pPr>
      <w:r w:rsidRPr="00FD2118">
        <w:rPr>
          <w:lang w:val="vi-VN" w:eastAsia="zh-CN"/>
        </w:rPr>
        <w:t>Về mức độ áp dụng các khung ASEAN, tất cả các AMS đều đã thừa nhận và phê chuẩn PDP, DMF và MCCs. Tuy nhiên, thông tin về mức độ thực thi thực tế các khung này tại từng quốc gia vẫn còn hạn chế. Để thúc đẩy việc áp dụng, các AMS được khuyến nghị xây dựng các chương trình phát triển năng lực và hướng dẫn triển khai DMF</w:t>
      </w:r>
      <w:r w:rsidR="002E6921" w:rsidRPr="004F1D15">
        <w:rPr>
          <w:rStyle w:val="FootnoteReference"/>
          <w:rFonts w:eastAsia="Times New Roman"/>
          <w:kern w:val="2"/>
          <w:lang w:eastAsia="zh-CN"/>
          <w14:ligatures w14:val="standardContextual"/>
        </w:rPr>
        <w:footnoteReference w:id="239"/>
      </w:r>
      <w:r w:rsidRPr="00FD2118">
        <w:rPr>
          <w:lang w:val="vi-VN" w:eastAsia="zh-CN"/>
        </w:rPr>
        <w:t>. Ngoài ra, các AMS cũng được khuyến khích thúc đẩy MCCs trong cộng đồng doanh nghiệp trong nước thông qua việc cung cấp hướng dẫn vận hành</w:t>
      </w:r>
      <w:r w:rsidR="002E6921" w:rsidRPr="004F1D15">
        <w:rPr>
          <w:rStyle w:val="FootnoteReference"/>
          <w:rFonts w:eastAsia="Times New Roman"/>
          <w:kern w:val="2"/>
          <w:lang w:eastAsia="zh-CN"/>
          <w14:ligatures w14:val="standardContextual"/>
        </w:rPr>
        <w:footnoteReference w:id="240"/>
      </w:r>
      <w:r w:rsidRPr="00FD2118">
        <w:rPr>
          <w:lang w:val="vi-VN" w:eastAsia="zh-CN"/>
        </w:rPr>
        <w:t xml:space="preserve">. Ví dụ, Ủy ban Bảo vệ Dữ liệu Cá nhân (PDPC) của Singapore đã công bố </w:t>
      </w:r>
      <w:r w:rsidRPr="002E6921">
        <w:rPr>
          <w:i/>
          <w:iCs/>
          <w:lang w:val="vi-VN" w:eastAsia="zh-CN"/>
        </w:rPr>
        <w:t>Hướng dẫn sử dụng Điều khoản Hợp đồng Mẫu ASEAN về Dòng chảy Dữ liệu Xuyên biên giới</w:t>
      </w:r>
      <w:r w:rsidRPr="00FD2118">
        <w:rPr>
          <w:lang w:val="vi-VN" w:eastAsia="zh-CN"/>
        </w:rPr>
        <w:t xml:space="preserve"> để hỗ trợ doanh nghiệp trong việc áp dụng MCCs</w:t>
      </w:r>
      <w:r w:rsidR="002E6921" w:rsidRPr="004F1D15">
        <w:rPr>
          <w:rStyle w:val="FootnoteReference"/>
          <w:rFonts w:eastAsia="Times New Roman"/>
          <w:kern w:val="2"/>
          <w:lang w:eastAsia="zh-CN"/>
          <w14:ligatures w14:val="standardContextual"/>
        </w:rPr>
        <w:footnoteReference w:id="241"/>
      </w:r>
      <w:r w:rsidRPr="00FD2118">
        <w:rPr>
          <w:lang w:val="vi-VN" w:eastAsia="zh-CN"/>
        </w:rPr>
        <w:t>.</w:t>
      </w:r>
      <w:r w:rsidR="002E6921">
        <w:rPr>
          <w:lang w:val="vi-VN" w:eastAsia="zh-CN"/>
        </w:rPr>
        <w:t xml:space="preserve"> </w:t>
      </w:r>
      <w:r w:rsidR="002E6921" w:rsidRPr="002E6921">
        <w:rPr>
          <w:lang w:val="vi-VN" w:eastAsia="zh-CN"/>
        </w:rPr>
        <w:t>Về việc áp dụng CBPR, do không phải tất cả AMS đều là thành viên APEC, hiện chỉ có Singapore và Philippines tham gia APEC CBPR</w:t>
      </w:r>
      <w:r w:rsidR="002E6921" w:rsidRPr="004F1D15">
        <w:rPr>
          <w:rStyle w:val="FootnoteReference"/>
          <w:rFonts w:eastAsia="Times New Roman"/>
          <w:kern w:val="2"/>
          <w:lang w:eastAsia="zh-CN"/>
          <w14:ligatures w14:val="standardContextual"/>
        </w:rPr>
        <w:footnoteReference w:id="242"/>
      </w:r>
      <w:r w:rsidR="002E6921" w:rsidRPr="002E6921">
        <w:rPr>
          <w:lang w:val="vi-VN" w:eastAsia="zh-CN"/>
        </w:rPr>
        <w:t>.</w:t>
      </w:r>
    </w:p>
    <w:p w14:paraId="4FA6C555" w14:textId="7C876B1D" w:rsidR="00E127AD" w:rsidRPr="00E127AD" w:rsidRDefault="00E127AD" w:rsidP="007664A3">
      <w:pPr>
        <w:rPr>
          <w:lang w:val="vi-VN" w:eastAsia="zh-CN"/>
        </w:rPr>
      </w:pPr>
      <w:r w:rsidRPr="00E127AD">
        <w:rPr>
          <w:lang w:val="vi-VN" w:eastAsia="zh-CN"/>
        </w:rPr>
        <w:t>Các đại biểu tại Tọa đàm Công nghiệp cũng chỉ ra rằng các quy định về nội địa hóa dữ liệu có thể cản trở việc chia sẻ dữ liệu xuyên biên giới</w:t>
      </w:r>
      <w:r w:rsidRPr="004F1D15">
        <w:rPr>
          <w:rStyle w:val="FootnoteReference"/>
          <w:rFonts w:eastAsia="Times New Roman"/>
          <w:kern w:val="2"/>
          <w:lang w:eastAsia="zh-CN"/>
          <w14:ligatures w14:val="standardContextual"/>
        </w:rPr>
        <w:footnoteReference w:id="243"/>
      </w:r>
      <w:r w:rsidRPr="00E127AD">
        <w:rPr>
          <w:lang w:val="vi-VN" w:eastAsia="zh-CN"/>
        </w:rPr>
        <w:t xml:space="preserve">. Để giải quyết vấn đề này, các tổ chức có thể cân nhắc áp dụng các giải pháp công nghệ như Công nghệ Tăng cường Quyền riêng tư (Privacy Enhancing Technologies </w:t>
      </w:r>
      <w:r>
        <w:rPr>
          <w:lang w:val="vi-VN" w:eastAsia="zh-CN"/>
        </w:rPr>
        <w:t>-</w:t>
      </w:r>
      <w:r w:rsidRPr="00E127AD">
        <w:rPr>
          <w:lang w:val="vi-VN" w:eastAsia="zh-CN"/>
        </w:rPr>
        <w:t xml:space="preserve"> PET). Đây là nhóm công nghệ đang phát triển mạnh trên toàn cầu, và tại Singapore, đã có các sáng kiến như Sandbox PETs của Cơ quan Phát triển Truyền thông &amp; Thông tin Singapore (IMDA) và PDPC</w:t>
      </w:r>
      <w:r w:rsidRPr="004F1D15">
        <w:rPr>
          <w:rStyle w:val="FootnoteReference"/>
          <w:rFonts w:eastAsia="Times New Roman"/>
          <w:kern w:val="2"/>
          <w:lang w:eastAsia="zh-CN"/>
          <w14:ligatures w14:val="standardContextual"/>
        </w:rPr>
        <w:footnoteReference w:id="244"/>
      </w:r>
      <w:r w:rsidRPr="00E127AD">
        <w:rPr>
          <w:lang w:val="vi-VN" w:eastAsia="zh-CN"/>
        </w:rPr>
        <w:t>. PETs giúp bảo vệ và tăng cường quyền riêng tư của cá nhân khi xử lý dữ liệu, trong đó một số PET cho phép xử lý dữ liệu mang tính cộng tác nhưng vẫn đảm bảo dữ liệu không rời khỏi biên giới quản lý của tổ chức, qua đó có thể đáp ứng yêu cầu nội địa hóa đồng thời duy trì an toàn và bảo mật dữ liệu.</w:t>
      </w:r>
    </w:p>
    <w:p w14:paraId="206D2E2A" w14:textId="09D4F495" w:rsidR="00942C66" w:rsidRPr="00942C66" w:rsidRDefault="00942C66" w:rsidP="007664A3">
      <w:pPr>
        <w:rPr>
          <w:lang w:val="vi-VN"/>
        </w:rPr>
      </w:pPr>
      <w:r w:rsidRPr="00942C66">
        <w:rPr>
          <w:lang w:val="vi-VN"/>
        </w:rPr>
        <w:lastRenderedPageBreak/>
        <w:t>Nhiều thách thức đang cản trở việc áp dụng rộng rãi các khung dữ liệu khu vực và quốc tế tại AMS. Thứ nhất, hệ thống quy định phân mảnh giữa các AMS tạo ra gánh nặng tuân thủ lớn cho các doanh nghiệp hoạt động trong khu vực</w:t>
      </w:r>
      <w:r w:rsidRPr="004F1D15">
        <w:rPr>
          <w:rStyle w:val="FootnoteReference"/>
        </w:rPr>
        <w:footnoteReference w:id="245"/>
      </w:r>
      <w:r w:rsidRPr="00942C66">
        <w:rPr>
          <w:lang w:val="vi-VN"/>
        </w:rPr>
        <w:t>. Ngoài ra, các thay đổi liên tục và những điểm mơ hồ trong cách áp dụng các quy định này dẫn đến chi phí và sự kém hiệu quả đáng kể cho khu vực tư nhân</w:t>
      </w:r>
      <w:r w:rsidRPr="004F1D15">
        <w:rPr>
          <w:rStyle w:val="FootnoteReference"/>
        </w:rPr>
        <w:footnoteReference w:id="246"/>
      </w:r>
      <w:r w:rsidRPr="00942C66">
        <w:rPr>
          <w:lang w:val="vi-VN"/>
        </w:rPr>
        <w:t>. Thứ hai, các AMS đang ở những mức độ phát triển rất khác nhau về bảo vệ dữ liệu</w:t>
      </w:r>
      <w:r w:rsidRPr="004F1D15">
        <w:rPr>
          <w:rStyle w:val="FootnoteReference"/>
        </w:rPr>
        <w:footnoteReference w:id="247"/>
      </w:r>
      <w:r w:rsidRPr="00942C66">
        <w:rPr>
          <w:lang w:val="vi-VN"/>
        </w:rPr>
        <w:t>. Một số AMS vẫn chưa ban hành quy định về bảo vệ dữ liệu và có thể ưu tiên xây dựng khuôn khổ quốc gia riêng trước khi tiếp nhận tiêu chuẩn khu vực hoặc quốc tế. Thứ ba, trong khi một số AMS như Philippines, Thái Lan, Malaysia và Singapore đã thành lập cơ quan bảo vệ dữ liệu chuyên trách, các quốc gia khác vẫn thiếu cơ quan trung ương chịu trách nhiệm điều phối. Việc thiếu một đầu mối thống nhất có thể cản trở quá trình hài hòa hóa tiêu chuẩn do hạn chế về năng lực kỹ thuật và tài chính.</w:t>
      </w:r>
    </w:p>
    <w:p w14:paraId="41411B20" w14:textId="54A0E136" w:rsidR="00267F17" w:rsidRPr="004F1D15" w:rsidRDefault="00942C66" w:rsidP="00C82E40">
      <w:pPr>
        <w:pStyle w:val="ListParagraph"/>
        <w:numPr>
          <w:ilvl w:val="0"/>
          <w:numId w:val="13"/>
        </w:numPr>
        <w:rPr>
          <w:rFonts w:ascii="Arial" w:eastAsia="Quattrocento Sans" w:hAnsi="Arial"/>
          <w:b/>
          <w:color w:val="auto"/>
          <w:lang w:val="en-GB" w:eastAsia="zh-CN"/>
        </w:rPr>
      </w:pPr>
      <w:r w:rsidRPr="00942C66">
        <w:rPr>
          <w:rFonts w:ascii="Arial" w:eastAsia="Quattrocento Sans" w:hAnsi="Arial"/>
          <w:b/>
          <w:color w:val="auto"/>
          <w:lang w:val="vi-VN" w:eastAsia="zh-CN"/>
        </w:rPr>
        <w:t>Liên kết với các phân vùng tiêu chuẩn khác / Các lưu ý khác</w:t>
      </w:r>
    </w:p>
    <w:p w14:paraId="79BA61E1" w14:textId="77777777" w:rsidR="00267F17" w:rsidRPr="004F1D15" w:rsidRDefault="00267F17" w:rsidP="007664A3">
      <w:pPr>
        <w:rPr>
          <w:b/>
        </w:rPr>
      </w:pPr>
      <w:r w:rsidRPr="004F1D15">
        <w:t>N/A</w:t>
      </w:r>
    </w:p>
    <w:p w14:paraId="5347F20B" w14:textId="062BE316" w:rsidR="00E44EB7" w:rsidRPr="004F1D15" w:rsidRDefault="00FE2DF7" w:rsidP="00E44EB7">
      <w:pPr>
        <w:pStyle w:val="Heading3"/>
        <w:rPr>
          <w:lang w:val="en-GB"/>
        </w:rPr>
      </w:pPr>
      <w:r>
        <w:rPr>
          <w:lang w:val="en-GB"/>
        </w:rPr>
        <w:t>Hợp</w:t>
      </w:r>
      <w:r>
        <w:rPr>
          <w:lang w:val="vi-VN"/>
        </w:rPr>
        <w:t xml:space="preserve"> tác về các chủ đề mới nổi</w:t>
      </w:r>
    </w:p>
    <w:p w14:paraId="0A1D82B7" w14:textId="3068440D" w:rsidR="00E44EB7" w:rsidRPr="004F1D15" w:rsidRDefault="00FE2DF7" w:rsidP="00C82E40">
      <w:pPr>
        <w:pStyle w:val="ListParagraph"/>
        <w:numPr>
          <w:ilvl w:val="0"/>
          <w:numId w:val="14"/>
        </w:numPr>
        <w:rPr>
          <w:lang w:val="en-GB" w:eastAsia="zh-CN"/>
        </w:rPr>
      </w:pPr>
      <w:r>
        <w:rPr>
          <w:rFonts w:ascii="Arial" w:eastAsia="Quattrocento Sans" w:hAnsi="Arial"/>
          <w:b/>
          <w:color w:val="auto"/>
          <w:lang w:val="en-GB" w:eastAsia="zh-CN"/>
        </w:rPr>
        <w:t>Tầm</w:t>
      </w:r>
      <w:r>
        <w:rPr>
          <w:rFonts w:ascii="Arial" w:eastAsia="Quattrocento Sans" w:hAnsi="Arial"/>
          <w:b/>
          <w:color w:val="auto"/>
          <w:lang w:val="vi-VN" w:eastAsia="zh-CN"/>
        </w:rPr>
        <w:t xml:space="preserve"> quan trọng của lĩnh vực này đối với thương mại số của ASEAN </w:t>
      </w:r>
    </w:p>
    <w:p w14:paraId="02004461" w14:textId="798B9497" w:rsidR="00FE2DF7" w:rsidRPr="00FE2DF7" w:rsidRDefault="00FE2DF7" w:rsidP="007664A3">
      <w:pPr>
        <w:rPr>
          <w:lang w:val="vi-VN" w:eastAsia="zh-CN"/>
        </w:rPr>
      </w:pPr>
      <w:r w:rsidRPr="00FE2DF7">
        <w:rPr>
          <w:lang w:val="vi-VN" w:eastAsia="zh-CN"/>
        </w:rPr>
        <w:t>Hợp tác và quản trị các công nghệ mới nổi như trí tuệ nhân tạo (AI), blockchain và điện toán đám mây đóng vai trò then chốt để ASEAN khai thác tối đa tiềm năng của thương mại số. Dù còn ở giai đoạn sơ khai, các công nghệ này có khả năng mạnh mẽ trong việc chuyển đổi ngành nghề, tối ưu hóa quy trình và tạo ra các cơ hội kinh tế mới. Theo ước tính của Kearney, AI có thể đóng góp tới 1.000 tỷ USD cho kinh tế ASEAN vào năm 2030</w:t>
      </w:r>
      <w:r w:rsidR="004231EC" w:rsidRPr="004F1D15">
        <w:rPr>
          <w:rStyle w:val="FootnoteReference"/>
          <w:rFonts w:eastAsia="Times New Roman"/>
          <w:kern w:val="2"/>
          <w:lang w:eastAsia="zh-CN"/>
          <w14:ligatures w14:val="standardContextual"/>
        </w:rPr>
        <w:footnoteReference w:id="248"/>
      </w:r>
      <w:r w:rsidRPr="00FE2DF7">
        <w:rPr>
          <w:lang w:val="vi-VN" w:eastAsia="zh-CN"/>
        </w:rPr>
        <w:t>. Khi chính phủ và nhà đầu tư tư nhân ngày càng nhận thức rõ khả năng chuyển đổi của chúng, đầu tư vào chuyển đổi số trong khu vực Châu Á – Thái Bình Dương dự kiến tăng mạnh, với dự báo của IDC cho thấy chi tiêu có thể đạt 1.000 tỷ USD vào năm 2026, tăng từ 500 tỷ USD vào năm 2022</w:t>
      </w:r>
      <w:r w:rsidRPr="004F1D15">
        <w:rPr>
          <w:rStyle w:val="FootnoteReference"/>
          <w:rFonts w:eastAsia="Times New Roman"/>
          <w:kern w:val="2"/>
          <w:lang w:eastAsia="zh-CN"/>
          <w14:ligatures w14:val="standardContextual"/>
        </w:rPr>
        <w:footnoteReference w:id="249"/>
      </w:r>
      <w:r w:rsidRPr="00FE2DF7">
        <w:rPr>
          <w:lang w:val="vi-VN" w:eastAsia="zh-CN"/>
        </w:rPr>
        <w:t>.</w:t>
      </w:r>
    </w:p>
    <w:p w14:paraId="2146834A" w14:textId="2358FD2A" w:rsidR="004231EC" w:rsidRPr="004231EC" w:rsidRDefault="004231EC" w:rsidP="007664A3">
      <w:pPr>
        <w:rPr>
          <w:bCs/>
          <w:lang w:val="vi-VN"/>
        </w:rPr>
      </w:pPr>
      <w:r w:rsidRPr="004231EC">
        <w:rPr>
          <w:bCs/>
          <w:lang w:val="vi-VN"/>
        </w:rPr>
        <w:t>Để tận dụng tối đa các công nghệ mới nổi, ASEAN cần xây dựng một tầm nhìn hợp tác mang tính định hướng tương lai. Bằng cách tận dụng nguồn lực và chuyên môn tập thể, các AMS có thể xử lý khoảng trống pháp lý, thúc đẩy khả năng tương tác xuyên biên giới và xây dựng niềm tin vào các công nghệ mới. Cách tiếp cận hợp tác này sẽ mở đường cho một hệ sinh thái thương mại số khu vực an toàn, đổi mới và bền vững.</w:t>
      </w:r>
    </w:p>
    <w:p w14:paraId="0DC9801A" w14:textId="0344E329" w:rsidR="00E44EB7" w:rsidRPr="004F1D15" w:rsidRDefault="004231EC" w:rsidP="00C82E40">
      <w:pPr>
        <w:pStyle w:val="ListParagraph"/>
        <w:numPr>
          <w:ilvl w:val="0"/>
          <w:numId w:val="14"/>
        </w:numPr>
        <w:rPr>
          <w:rFonts w:ascii="Arial" w:hAnsi="Arial"/>
          <w:b/>
          <w:bCs/>
          <w:lang w:val="en-GB"/>
        </w:rPr>
      </w:pPr>
      <w:r w:rsidRPr="004231EC">
        <w:rPr>
          <w:rFonts w:ascii="Arial" w:hAnsi="Arial"/>
          <w:b/>
          <w:bCs/>
          <w:lang w:val="vi-VN"/>
        </w:rPr>
        <w:t>Mức độ liên quan của các phân vùng tiêu chuẩn đối với ASEAN (ưu tiên của DTSCWG, DEFA, các nghị trình/thỏa thuận của ASEAN)</w:t>
      </w:r>
    </w:p>
    <w:p w14:paraId="06441EEB" w14:textId="085B7ED0" w:rsidR="00E44EB7" w:rsidRPr="004F1D15" w:rsidRDefault="004231EC" w:rsidP="007664A3">
      <w:r w:rsidRPr="004231EC">
        <w:rPr>
          <w:kern w:val="2"/>
          <w:lang w:eastAsia="zh-CN"/>
          <w14:ligatures w14:val="standardContextual"/>
        </w:rPr>
        <w:t xml:space="preserve">Tầm quan trọng của hợp tác về công nghệ mới nổi được nhấn mạnh như một ưu tiên mới trong nhiều tài liệu của ASEAN. Đáng chú ý, Nghiên cứu về DEFA của ASEAN khuyến nghị tăng cường hợp tác </w:t>
      </w:r>
      <w:r w:rsidRPr="004231EC">
        <w:rPr>
          <w:kern w:val="2"/>
          <w:lang w:eastAsia="zh-CN"/>
          <w14:ligatures w14:val="standardContextual"/>
        </w:rPr>
        <w:lastRenderedPageBreak/>
        <w:t>khu vực trong các lĩnh vực mới như AI và blockchain nhằm thúc đẩy tăng trưởng thông qua đổi mới sáng tạo</w:t>
      </w:r>
      <w:r w:rsidR="00E44EB7" w:rsidRPr="004F1D15">
        <w:rPr>
          <w:vertAlign w:val="superscript"/>
        </w:rPr>
        <w:footnoteReference w:id="250"/>
      </w:r>
      <w:r>
        <w:rPr>
          <w:kern w:val="2"/>
          <w:lang w:val="vi-VN" w:eastAsia="zh-CN"/>
          <w14:ligatures w14:val="standardContextual"/>
        </w:rPr>
        <w:t>.</w:t>
      </w:r>
      <w:r w:rsidR="00E44EB7" w:rsidRPr="004F1D15">
        <w:t xml:space="preserve"> </w:t>
      </w:r>
    </w:p>
    <w:p w14:paraId="7E62DD0F" w14:textId="4EDCBA1B" w:rsidR="00E44EB7" w:rsidRPr="004231EC" w:rsidRDefault="004231EC" w:rsidP="007664A3">
      <w:pPr>
        <w:rPr>
          <w:lang w:val="vi-VN"/>
        </w:rPr>
      </w:pPr>
      <w:r w:rsidRPr="004231EC">
        <w:rPr>
          <w:lang w:val="vi-VN"/>
        </w:rPr>
        <w:t xml:space="preserve">Trong lĩnh vực AI, ASEAN đã công bố </w:t>
      </w:r>
      <w:r w:rsidRPr="004D5FC6">
        <w:rPr>
          <w:i/>
          <w:iCs/>
          <w:lang w:val="vi-VN"/>
        </w:rPr>
        <w:t>Hướng dẫn về Quản trị và Đạo đức AI</w:t>
      </w:r>
      <w:r w:rsidR="004D5FC6" w:rsidRPr="004F1D15">
        <w:rPr>
          <w:vertAlign w:val="superscript"/>
        </w:rPr>
        <w:footnoteReference w:id="251"/>
      </w:r>
      <w:r w:rsidRPr="004231EC">
        <w:rPr>
          <w:lang w:val="vi-VN"/>
        </w:rPr>
        <w:t>, trong đó đặt ra các nguyên tắc chung và đề xuất thực tiễn tốt nhất cho việc triển khai AI có trách nhiệm tại ASEAN.</w:t>
      </w:r>
    </w:p>
    <w:p w14:paraId="4479BF5F" w14:textId="7AE1A6D6" w:rsidR="004D5FC6" w:rsidRPr="004D5FC6" w:rsidRDefault="004D5FC6" w:rsidP="007664A3">
      <w:pPr>
        <w:rPr>
          <w:lang w:val="vi-VN"/>
        </w:rPr>
      </w:pPr>
      <w:r w:rsidRPr="004D5FC6">
        <w:rPr>
          <w:lang w:val="vi-VN"/>
        </w:rPr>
        <w:t xml:space="preserve">Trong lĩnh vực blockchain, ASEAN đã ban hành nghiên cứu </w:t>
      </w:r>
      <w:r w:rsidRPr="004D5FC6">
        <w:rPr>
          <w:i/>
          <w:iCs/>
          <w:lang w:val="vi-VN"/>
        </w:rPr>
        <w:t>Blockchain cho Chính phủ Số – Cách tiếp cận của ASEAN</w:t>
      </w:r>
      <w:r w:rsidRPr="004D5FC6">
        <w:rPr>
          <w:lang w:val="vi-VN"/>
        </w:rPr>
        <w:t>. Nghiên cứu này đánh giá cơ hội, thách thức và khoảng trống trong việc áp dụng blockchain cho số hóa dịch vụ công, đồng thời đưa ra khuyến nghị giúp các AMS tạo ra các dịch vụ số minh bạch và đáng tin cậy</w:t>
      </w:r>
      <w:r w:rsidRPr="004F1D15">
        <w:rPr>
          <w:rStyle w:val="FootnoteReference"/>
        </w:rPr>
        <w:footnoteReference w:id="252"/>
      </w:r>
      <w:r w:rsidRPr="004D5FC6">
        <w:rPr>
          <w:lang w:val="vi-VN"/>
        </w:rPr>
        <w:t>.</w:t>
      </w:r>
    </w:p>
    <w:p w14:paraId="755433D3" w14:textId="1A3AB5D5" w:rsidR="004D5FC6" w:rsidRPr="004D5FC6" w:rsidRDefault="004D5FC6" w:rsidP="007664A3">
      <w:pPr>
        <w:rPr>
          <w:lang w:val="vi-VN"/>
        </w:rPr>
      </w:pPr>
      <w:r w:rsidRPr="004D5FC6">
        <w:rPr>
          <w:lang w:val="vi-VN"/>
        </w:rPr>
        <w:t>Cuối cùng, điện toán đám mây đã được đưa vào danh sách các kỹ năng ICT trọng yếu của ASEAN từ năm 2014</w:t>
      </w:r>
      <w:r w:rsidR="003E1C9E" w:rsidRPr="004F1D15">
        <w:rPr>
          <w:rStyle w:val="FootnoteReference"/>
        </w:rPr>
        <w:footnoteReference w:id="253"/>
      </w:r>
      <w:r w:rsidRPr="004D5FC6">
        <w:rPr>
          <w:lang w:val="vi-VN"/>
        </w:rPr>
        <w:t xml:space="preserve"> và được đề cập trong Kế hoạch Tổng thể ICT ASEAN 2020 như một hành động trọng điểm nhằm “xây dựng mô hình nền tảng điện toán đám mây mẫu cho khu vực công và tư”</w:t>
      </w:r>
      <w:r w:rsidR="003E1C9E" w:rsidRPr="003E1C9E">
        <w:rPr>
          <w:rStyle w:val="FooterChar"/>
        </w:rPr>
        <w:t xml:space="preserve"> </w:t>
      </w:r>
      <w:r w:rsidR="003E1C9E" w:rsidRPr="004F1D15">
        <w:rPr>
          <w:rStyle w:val="FootnoteReference"/>
        </w:rPr>
        <w:footnoteReference w:id="254"/>
      </w:r>
      <w:r w:rsidRPr="004D5FC6">
        <w:rPr>
          <w:lang w:val="vi-VN"/>
        </w:rPr>
        <w:t>.</w:t>
      </w:r>
    </w:p>
    <w:p w14:paraId="69B9C8C2" w14:textId="2FFB45BC" w:rsidR="00E44EB7" w:rsidRPr="004F1D15" w:rsidRDefault="003E1C9E" w:rsidP="00C82E40">
      <w:pPr>
        <w:pStyle w:val="ListParagraph"/>
        <w:numPr>
          <w:ilvl w:val="0"/>
          <w:numId w:val="14"/>
        </w:numPr>
        <w:rPr>
          <w:rFonts w:ascii="Arial" w:eastAsia="Quattrocento Sans" w:hAnsi="Arial"/>
          <w:b/>
          <w:color w:val="auto"/>
          <w:lang w:val="en-GB" w:eastAsia="zh-CN"/>
        </w:rPr>
      </w:pPr>
      <w:r>
        <w:rPr>
          <w:rFonts w:ascii="Arial" w:eastAsia="Quattrocento Sans" w:hAnsi="Arial"/>
          <w:b/>
          <w:color w:val="auto"/>
          <w:lang w:val="en-GB" w:eastAsia="zh-CN"/>
        </w:rPr>
        <w:t>T</w:t>
      </w:r>
      <w:r>
        <w:rPr>
          <w:rFonts w:ascii="Arial" w:eastAsia="Quattrocento Sans" w:hAnsi="Arial"/>
          <w:b/>
          <w:color w:val="auto"/>
          <w:lang w:val="vi-VN" w:eastAsia="zh-CN"/>
        </w:rPr>
        <w:t xml:space="preserve">ầm quan trọng và vai trò tiêu chuẩn trong lĩnh vực thương mại số này </w:t>
      </w:r>
    </w:p>
    <w:p w14:paraId="6D77433E" w14:textId="547534C9" w:rsidR="003E2111" w:rsidRPr="004F1D15" w:rsidRDefault="003E2111" w:rsidP="007664A3">
      <w:pPr>
        <w:rPr>
          <w:lang w:eastAsia="zh-CN"/>
        </w:rPr>
      </w:pPr>
      <w:r w:rsidRPr="003E2111">
        <w:rPr>
          <w:lang w:eastAsia="zh-CN"/>
        </w:rPr>
        <w:t>Các tiêu chuẩn trong AI, blockchain và điện toán đám mây đóng vai trò quan trọng trong việc giúp ASEAN khai thác trọn vẹn tiềm năng của các công nghệ mới nổi. Thứ nhất, tiêu chuẩn rất cần thiết để thúc đẩy khả năng tương tác, hiệu quả, khả năng mở rộng và tính dễ sử dụng của các công nghệ mới</w:t>
      </w:r>
      <w:r w:rsidR="0069298A" w:rsidRPr="004F1D15">
        <w:rPr>
          <w:rStyle w:val="FootnoteReference"/>
          <w:rFonts w:eastAsia="Times New Roman"/>
          <w:kern w:val="2"/>
          <w:lang w:eastAsia="zh-CN"/>
          <w14:ligatures w14:val="standardContextual"/>
        </w:rPr>
        <w:footnoteReference w:id="255"/>
      </w:r>
      <w:r w:rsidRPr="003E2111">
        <w:rPr>
          <w:lang w:eastAsia="zh-CN"/>
        </w:rPr>
        <w:t xml:space="preserve"> </w:t>
      </w:r>
      <w:r w:rsidR="0069298A">
        <w:rPr>
          <w:lang w:eastAsia="zh-CN"/>
        </w:rPr>
        <w:t>-</w:t>
      </w:r>
      <w:r w:rsidRPr="003E2111">
        <w:rPr>
          <w:lang w:eastAsia="zh-CN"/>
        </w:rPr>
        <w:t xml:space="preserve"> điều đặc biệt quan trọng trong bối cảnh các AMS có quy định và thực tiễn khác nhau</w:t>
      </w:r>
      <w:r w:rsidR="0069298A" w:rsidRPr="004F1D15">
        <w:rPr>
          <w:rStyle w:val="FootnoteReference"/>
          <w:rFonts w:eastAsia="Times New Roman"/>
          <w:kern w:val="2"/>
          <w:lang w:eastAsia="zh-CN"/>
          <w14:ligatures w14:val="standardContextual"/>
        </w:rPr>
        <w:footnoteReference w:id="256"/>
      </w:r>
      <w:r w:rsidRPr="003E2111">
        <w:rPr>
          <w:lang w:eastAsia="zh-CN"/>
        </w:rPr>
        <w:t>. Thứ hai, tiêu chuẩn giúp xây dựng lòng tin của các bên liên quan bằng cách giải quyết các rủi ro về an ninh và quyền riêng tư dữ liệu gắn liền với các công nghệ này</w:t>
      </w:r>
      <w:r w:rsidR="0069298A" w:rsidRPr="004F1D15">
        <w:rPr>
          <w:rStyle w:val="FootnoteReference"/>
          <w:rFonts w:eastAsia="Times New Roman"/>
          <w:kern w:val="2"/>
          <w:lang w:eastAsia="zh-CN"/>
          <w14:ligatures w14:val="standardContextual"/>
        </w:rPr>
        <w:footnoteReference w:id="257"/>
      </w:r>
      <w:r w:rsidRPr="003E2111">
        <w:rPr>
          <w:lang w:eastAsia="zh-CN"/>
        </w:rPr>
        <w:t>. Thứ ba, việc áp dụng các tiêu chuẩn quốc tế trong AI, blockchain và điện toán đám mây không chỉ tinh giản quy trình và nâng cao năng suất mà còn giúp ASEAN duy trì năng lực cạnh tranh trong thị trường số toàn cầu.</w:t>
      </w:r>
    </w:p>
    <w:p w14:paraId="191D93DB" w14:textId="77777777" w:rsidR="00E44EB7" w:rsidRPr="004F1D15" w:rsidRDefault="00E44EB7" w:rsidP="00C82E40">
      <w:pPr>
        <w:pStyle w:val="Heading4"/>
        <w:rPr>
          <w:lang w:val="en-GB"/>
        </w:rPr>
      </w:pPr>
      <w:r w:rsidRPr="004F1D15">
        <w:rPr>
          <w:lang w:val="en-GB"/>
        </w:rPr>
        <w:t xml:space="preserve">AI </w:t>
      </w:r>
    </w:p>
    <w:p w14:paraId="1EBDEDFC" w14:textId="6108743E" w:rsidR="00E44EB7" w:rsidRPr="004F1D15" w:rsidRDefault="00A600A3" w:rsidP="000E3408">
      <w:pPr>
        <w:pStyle w:val="ListParagraph"/>
        <w:numPr>
          <w:ilvl w:val="0"/>
          <w:numId w:val="25"/>
        </w:numPr>
        <w:rPr>
          <w:rFonts w:ascii="Arial" w:eastAsia="Quattrocento Sans" w:hAnsi="Arial"/>
          <w:b/>
          <w:color w:val="auto"/>
          <w:lang w:val="en-GB" w:eastAsia="zh-CN"/>
        </w:rPr>
      </w:pPr>
      <w:r>
        <w:rPr>
          <w:rFonts w:ascii="Arial" w:eastAsia="Quattrocento Sans" w:hAnsi="Arial"/>
          <w:b/>
          <w:color w:val="auto"/>
          <w:lang w:val="en-GB" w:eastAsia="zh-CN"/>
        </w:rPr>
        <w:t>Tầm quan trọng của tiêu chuẩn trong tiểu lĩnh vực này</w:t>
      </w:r>
    </w:p>
    <w:p w14:paraId="2452DBCB" w14:textId="5A51F020" w:rsidR="00A600A3" w:rsidRPr="004F1D15" w:rsidRDefault="00A600A3" w:rsidP="007664A3">
      <w:r w:rsidRPr="00A600A3">
        <w:t xml:space="preserve">Các tiêu chuẩn AI đóng vai trò then chốt trong việc thúc đẩy thương mại số tại ASEAN bằng cách cung cấp một khung chuẩn cho khả năng tương tác, tính minh bạch và sự tin cậy. Những tiêu chuẩn này đưa ra các hướng dẫn và thông số kỹ thuật chung cho việc phát triển, triển khai và sử dụng công nghệ AI, giúp đảm bảo khả năng tương thích và tích hợp liền mạch giữa các hệ thống và nền tảng khác </w:t>
      </w:r>
      <w:r w:rsidRPr="00A600A3">
        <w:lastRenderedPageBreak/>
        <w:t>nhau. Bằng cách thúc đẩy khả năng tương tác, tiêu chuẩn AI tạo điều kiện trao đổi dữ liệu và thông tin, cho phép doanh nghiệp tận dụng các giải pháp dựa trên AI để nâng cao năng suất, hiệu quả và đổi mới trong các hoạt động thương mại số.</w:t>
      </w:r>
    </w:p>
    <w:p w14:paraId="77328B89" w14:textId="05176939" w:rsidR="00A600A3" w:rsidRPr="004F1D15" w:rsidRDefault="00A600A3" w:rsidP="007664A3">
      <w:r w:rsidRPr="00A600A3">
        <w:t>Ngoài ra, tiêu chuẩn AI góp phần xây dựng niềm tin của các bên liên quan thông qua việc đảm bảo tuân thủ các nguyên tắc đạo đức, quy định về quyền riêng tư dữ liệu và các biện pháp an ninh mạng. Trong bối cảnh chuyển đổi số đang định hình mạnh mẽ nền kinh tế và ngành công nghiệp ở ASEAN, việc áp dụng tiêu chuẩn AI giúp xây dựng môi trường thuận lợi cho hợp tác, đầu tư và tăng trưởng trong các sáng kiến thương mại số dựa trên AI. Bằng cách điều chỉnh theo chuẩn và thực tiễn quốc tế, các AMS có thể khai thác tối đa tiềm năng của AI để thúc đẩy phát triển kinh tế, tăng trưởng toàn diện và nâng cao năng lực cạnh tranh trong nền kinh tế số toàn cầu.</w:t>
      </w:r>
    </w:p>
    <w:p w14:paraId="1D750520" w14:textId="3DFEDBAF" w:rsidR="00E44EB7" w:rsidRPr="004F1D15" w:rsidRDefault="00A600A3" w:rsidP="000E3408">
      <w:pPr>
        <w:pStyle w:val="ListParagraph"/>
        <w:numPr>
          <w:ilvl w:val="0"/>
          <w:numId w:val="25"/>
        </w:numPr>
        <w:rPr>
          <w:rFonts w:ascii="Arial" w:eastAsia="Quattrocento Sans" w:hAnsi="Arial"/>
          <w:b/>
          <w:color w:val="auto"/>
          <w:lang w:val="en-GB" w:eastAsia="zh-CN"/>
        </w:rPr>
      </w:pPr>
      <w:r w:rsidRPr="00A600A3">
        <w:rPr>
          <w:rFonts w:ascii="Arial" w:eastAsia="Quattrocento Sans" w:hAnsi="Arial"/>
          <w:b/>
          <w:color w:val="auto"/>
          <w:lang w:val="en-GB" w:eastAsia="zh-CN"/>
        </w:rPr>
        <w:t>Các tiêu chuẩn quốc tế quan trọng đối với ASEAN</w:t>
      </w:r>
    </w:p>
    <w:p w14:paraId="7D03C408" w14:textId="2F9CE7EC" w:rsidR="00A600A3" w:rsidRPr="004F1D15" w:rsidRDefault="00A600A3" w:rsidP="007664A3">
      <w:r w:rsidRPr="00A600A3">
        <w:t>Hệ sinh thái tiêu chuẩn AI vẫn đang trong giai đoạn phát triển ban đầu, với những nỗ lực tiên phong từ các tổ chức như ISO/IEC SC42, NIST và Viện Kỹ sư Điện và Điện tử (IEEE).</w:t>
      </w:r>
    </w:p>
    <w:p w14:paraId="4C4D4ACB" w14:textId="68CCDFE6" w:rsidR="00E44EB7" w:rsidRPr="004F1D15" w:rsidRDefault="00A600A3" w:rsidP="007664A3">
      <w:r w:rsidRPr="00A600A3">
        <w:t>Ủy ban ISO/IEC JTC 1/SC 42 đang dẫn đầu trong việc xây dựng các tiêu chuẩn liên quan đến AI. Ủy ban này đã và đang làm việc trên danh mục lớn gồm 27 tiêu chuẩn ISO đã công bố và 31 tiêu chuẩn đang phát triển</w:t>
      </w:r>
      <w:r w:rsidR="00E44EB7" w:rsidRPr="004F1D15">
        <w:rPr>
          <w:vertAlign w:val="superscript"/>
        </w:rPr>
        <w:footnoteReference w:id="258"/>
      </w:r>
      <w:r>
        <w:t>.</w:t>
      </w:r>
    </w:p>
    <w:p w14:paraId="6DEA002D" w14:textId="35B934BB" w:rsidR="00A600A3" w:rsidRPr="00B84D04" w:rsidRDefault="00A600A3" w:rsidP="007664A3">
      <w:pPr>
        <w:rPr>
          <w:b/>
          <w:bCs/>
        </w:rPr>
      </w:pPr>
      <w:r w:rsidRPr="00A600A3">
        <w:t xml:space="preserve">Ví dụ, tiêu chuẩn </w:t>
      </w:r>
      <w:r w:rsidRPr="008E438D">
        <w:rPr>
          <w:b/>
          <w:bCs/>
        </w:rPr>
        <w:t>ISO/IEC TR 24028:2020</w:t>
      </w:r>
      <w:r w:rsidRPr="00A600A3">
        <w:t xml:space="preserve"> về độ tin cậy của AI</w:t>
      </w:r>
      <w:r w:rsidR="008E438D" w:rsidRPr="004F1D15">
        <w:rPr>
          <w:vertAlign w:val="superscript"/>
        </w:rPr>
        <w:footnoteReference w:id="259"/>
      </w:r>
      <w:r w:rsidRPr="00A600A3">
        <w:t xml:space="preserve"> đề cập đến các vấn đề như tính minh bạch và khả năng giải thích; trong khi </w:t>
      </w:r>
      <w:r w:rsidRPr="008E438D">
        <w:rPr>
          <w:b/>
          <w:bCs/>
        </w:rPr>
        <w:t>ISO/IEC TR 24027</w:t>
      </w:r>
      <w:r w:rsidR="008E438D" w:rsidRPr="004F1D15">
        <w:rPr>
          <w:vertAlign w:val="superscript"/>
        </w:rPr>
        <w:footnoteReference w:id="260"/>
      </w:r>
      <w:r w:rsidRPr="00A600A3">
        <w:t xml:space="preserve"> giải quyết vấn đề thiên lệch trong quá trình ra quyết định của AI </w:t>
      </w:r>
      <w:r w:rsidR="008E438D">
        <w:t>-</w:t>
      </w:r>
      <w:r w:rsidRPr="00A600A3">
        <w:t xml:space="preserve"> cùng nhiều tiêu chuẩn chuyên sâu khác</w:t>
      </w:r>
      <w:r w:rsidR="008E438D" w:rsidRPr="004F1D15">
        <w:rPr>
          <w:vertAlign w:val="superscript"/>
        </w:rPr>
        <w:footnoteReference w:id="261"/>
      </w:r>
      <w:r w:rsidRPr="00A600A3">
        <w:t xml:space="preserve">. Các sáng kiến nổi bật khác bao gồm </w:t>
      </w:r>
      <w:r w:rsidRPr="00B84D04">
        <w:rPr>
          <w:b/>
          <w:bCs/>
        </w:rPr>
        <w:t>ISO/IEC DIS 24668 về khung quản lý quy trình cho phân tích dữ liệu lớn, ISO/IEC DIS 23053 về khung hệ thống AI sử dụng máy học, và ISO/IEC NP 38507 về tác động quản trị khi tổ chức sử dụng AI</w:t>
      </w:r>
      <w:r w:rsidR="00B84D04" w:rsidRPr="004F1D15">
        <w:rPr>
          <w:vertAlign w:val="superscript"/>
        </w:rPr>
        <w:footnoteReference w:id="262"/>
      </w:r>
      <w:r w:rsidRPr="00B84D04">
        <w:rPr>
          <w:b/>
          <w:bCs/>
        </w:rPr>
        <w:t>.</w:t>
      </w:r>
    </w:p>
    <w:p w14:paraId="6FAFBFF1" w14:textId="7D7FA524" w:rsidR="001B4FF4" w:rsidRPr="004F1D15" w:rsidRDefault="001B4FF4" w:rsidP="007664A3">
      <w:r w:rsidRPr="001B4FF4">
        <w:t xml:space="preserve">Đáng chú ý, ISO gần đây đã ban hành tiêu chuẩn quản lý AI đầu tiên trên thế giới </w:t>
      </w:r>
      <w:r>
        <w:t>-</w:t>
      </w:r>
      <w:r w:rsidRPr="001B4FF4">
        <w:t xml:space="preserve"> </w:t>
      </w:r>
      <w:r w:rsidRPr="001B4FF4">
        <w:rPr>
          <w:b/>
          <w:bCs/>
        </w:rPr>
        <w:t>ISO/IEC 42001:2023.</w:t>
      </w:r>
      <w:r w:rsidRPr="001B4FF4">
        <w:t xml:space="preserve"> Tiêu chuẩn này thiết lập các yêu cầu để xây dựng, vận hành, duy trì và cải tiến liên tục Hệ thống Quản lý Trí tuệ Nhân tạo (AIMS) trong tổ chức</w:t>
      </w:r>
      <w:r w:rsidRPr="004F1D15">
        <w:rPr>
          <w:rStyle w:val="FootnoteReference"/>
        </w:rPr>
        <w:footnoteReference w:id="263"/>
      </w:r>
      <w:r w:rsidRPr="001B4FF4">
        <w:t>, qua đó mở đường cho các tiêu chuẩn tương lai nhằm thúc đẩy đổi mới có trách nhiệm. Bên cạnh đó, tiêu chuẩn ISO/IEC 5339:2024 về hướng dẫn ứng dụng AI cũng là một nền tảng quan trọng mô tả các đặc điểm của ứng dụng AI và các bên liên quan trong vòng đời hệ thống AI</w:t>
      </w:r>
      <w:r>
        <w:rPr>
          <w:rStyle w:val="FootnoteReference"/>
        </w:rPr>
        <w:footnoteReference w:id="264"/>
      </w:r>
      <w:r w:rsidRPr="001B4FF4">
        <w:t>.</w:t>
      </w:r>
    </w:p>
    <w:p w14:paraId="5E990B66" w14:textId="4F69C487" w:rsidR="001B4FF4" w:rsidRPr="004F1D15" w:rsidRDefault="001B4FF4" w:rsidP="007664A3">
      <w:r w:rsidRPr="001B4FF4">
        <w:lastRenderedPageBreak/>
        <w:t>Chất lượng dữ liệu cũng có ảnh hưởng lớn đến hệ thống AI. AI được huấn luyện bằng dữ liệu kém chất lượng hoặc dữ liệu không có cấu trúc có thể dẫn đến tỷ lệ lỗi cao và nhiều hệ quả tiêu cực. Việc sử dụng các tiêu chuẩn dữ liệu</w:t>
      </w:r>
      <w:r w:rsidR="00BA0743" w:rsidRPr="004F1D15">
        <w:rPr>
          <w:vertAlign w:val="superscript"/>
        </w:rPr>
        <w:footnoteReference w:id="265"/>
      </w:r>
      <w:r w:rsidR="00BA0743" w:rsidRPr="004F1D15">
        <w:t xml:space="preserve"> </w:t>
      </w:r>
      <w:r w:rsidRPr="001B4FF4">
        <w:t xml:space="preserve"> không chỉ đảm bảo khả năng tương tác giữa các nguồn dữ liệu mà còn chứng minh tính toàn vẹn và độ chính xác của dữ liệu trong các tập dữ liệu không đồng nhất, giúp đảm bảo chất lượng và hỗ trợ phát triển AI có trách nhiệm. Trong bối cảnh này, bộ tiêu chuẩn </w:t>
      </w:r>
      <w:r w:rsidRPr="00BA0743">
        <w:rPr>
          <w:b/>
          <w:bCs/>
        </w:rPr>
        <w:t>ISO/IEC SD 5259</w:t>
      </w:r>
      <w:r w:rsidRPr="001B4FF4">
        <w:t xml:space="preserve"> </w:t>
      </w:r>
      <w:r w:rsidR="00BA0743">
        <w:t>-</w:t>
      </w:r>
      <w:r w:rsidRPr="001B4FF4">
        <w:t xml:space="preserve"> đặc biệt là ISO/IEC 5259:2024 về chất lượng dữ liệu cho phân tích và máy học </w:t>
      </w:r>
      <w:r w:rsidR="00BA0743">
        <w:t>-</w:t>
      </w:r>
      <w:r w:rsidRPr="001B4FF4">
        <w:t xml:space="preserve"> đóng vai trò rất quan trọng</w:t>
      </w:r>
      <w:r w:rsidR="00BA0743" w:rsidRPr="004F1D15">
        <w:rPr>
          <w:vertAlign w:val="superscript"/>
        </w:rPr>
        <w:footnoteReference w:id="266"/>
      </w:r>
      <w:r w:rsidRPr="001B4FF4">
        <w:t>.</w:t>
      </w:r>
    </w:p>
    <w:p w14:paraId="360FCFFF" w14:textId="4F82F591" w:rsidR="00BA0743" w:rsidRPr="004F1D15" w:rsidRDefault="00BA0743" w:rsidP="007664A3">
      <w:r w:rsidRPr="00BA0743">
        <w:rPr>
          <w:b/>
          <w:bCs/>
        </w:rPr>
        <w:t>Khung Quản lý Rủi ro AI (AI RMF) của NIST</w:t>
      </w:r>
      <w:r w:rsidRPr="00BA0743">
        <w:t xml:space="preserve"> tập trung vào các nghiên cứu tiền tiêu chuẩn về rủi ro AI. Khung này được phát triển nhằm hỗ trợ quản lý rủi ro đối với cá nhân, tổ chức và xã hội liên quan đến AI, với mục tiêu sử dụng tự nguyện và cải thiện khả năng tích hợp các yếu tố tin cậy vào thiết kế, phát triển và đánh giá hệ thống AI</w:t>
      </w:r>
      <w:r w:rsidRPr="004F1D15">
        <w:rPr>
          <w:rStyle w:val="FootnoteReference"/>
        </w:rPr>
        <w:footnoteReference w:id="267"/>
      </w:r>
      <w:r w:rsidRPr="00BA0743">
        <w:t>.</w:t>
      </w:r>
    </w:p>
    <w:p w14:paraId="0B675507" w14:textId="3C504FB9" w:rsidR="009757CA" w:rsidRPr="004F1D15" w:rsidRDefault="009757CA" w:rsidP="007664A3">
      <w:r w:rsidRPr="009757CA">
        <w:t xml:space="preserve">IEEE cũng đã tham gia sâu vào việc phát triển các hệ thống quản lý thiết kế hệ thống tự động và đã xây dựng nhiều tiêu chuẩn liên quan đến đạo đức. Bộ tiêu chuẩn </w:t>
      </w:r>
      <w:r w:rsidRPr="009757CA">
        <w:rPr>
          <w:i/>
          <w:iCs/>
        </w:rPr>
        <w:t>P7000</w:t>
      </w:r>
      <w:r w:rsidRPr="009757CA">
        <w:t>, chẳng hạn, nhằm giải quyết các vấn đề cụ thể tại giao điểm giữa các yếu tố công nghệ và đạo đức mà các Hệ thống Tự động và Trí tuệ (Autonomous and Intelligent Systems – AIS) phải đối mặt</w:t>
      </w:r>
      <w:r w:rsidRPr="004F1D15">
        <w:rPr>
          <w:vertAlign w:val="superscript"/>
        </w:rPr>
        <w:footnoteReference w:id="268"/>
      </w:r>
      <w:r w:rsidRPr="009757CA">
        <w:t>.</w:t>
      </w:r>
    </w:p>
    <w:p w14:paraId="65D1B3B2" w14:textId="47F619CF" w:rsidR="00E44EB7" w:rsidRPr="004F1D15" w:rsidRDefault="009757CA" w:rsidP="007664A3">
      <w:r w:rsidRPr="009757CA">
        <w:t xml:space="preserve">Trong bối cảnh này, </w:t>
      </w:r>
      <w:r w:rsidRPr="009757CA">
        <w:rPr>
          <w:b/>
          <w:bCs/>
        </w:rPr>
        <w:t>IEEE 7000-2021</w:t>
      </w:r>
      <w:r w:rsidRPr="009757CA">
        <w:t xml:space="preserve"> về xử lý các vấn đề đạo đức trong quá trình thiết kế hệ thống là một tiêu chuẩn nổi bật đối với các nền kinh tế ASEAN</w:t>
      </w:r>
      <w:r w:rsidRPr="004F1D15">
        <w:rPr>
          <w:vertAlign w:val="superscript"/>
        </w:rPr>
        <w:footnoteReference w:id="269"/>
      </w:r>
      <w:r w:rsidRPr="009757CA">
        <w:t>. Các điểm nhấn khác bao gồm các tiêu chuẩn điều chỉnh việc triển khai AI trong những bối cảnh cụ thể</w:t>
      </w:r>
      <w:r w:rsidRPr="004F1D15">
        <w:rPr>
          <w:vertAlign w:val="superscript"/>
        </w:rPr>
        <w:footnoteReference w:id="270"/>
      </w:r>
      <w:r w:rsidRPr="009757CA">
        <w:t xml:space="preserve">. Trong số này có </w:t>
      </w:r>
      <w:r w:rsidRPr="009757CA">
        <w:rPr>
          <w:b/>
          <w:bCs/>
        </w:rPr>
        <w:t>IEEE P2247.1</w:t>
      </w:r>
      <w:r w:rsidRPr="009757CA">
        <w:t xml:space="preserve"> về phân loại các hệ thống giảng dạy thích ứng dựa trên AI, hoặc </w:t>
      </w:r>
      <w:r w:rsidRPr="009757CA">
        <w:rPr>
          <w:b/>
          <w:bCs/>
        </w:rPr>
        <w:t>IEEE P2660.1</w:t>
      </w:r>
      <w:r w:rsidRPr="009757CA">
        <w:t xml:space="preserve"> về các thực tiễn tích hợp các chức năng tự động hóa cấp thấp và các tác tử phần mềm khác trong các nền tảng điều khiển công nghiệp. Những tiêu chuẩn như vậy đáng chú ý ở chỗ chúng tạo nền tảng cho việc triển khai AI chi tiết hơn trong các lĩnh vực cụ thể như giáo dục và sản xuất công nghiệp.</w:t>
      </w:r>
    </w:p>
    <w:p w14:paraId="41E95BA6" w14:textId="314CC1EC" w:rsidR="009757CA" w:rsidRPr="004F1D15" w:rsidRDefault="009757CA" w:rsidP="007664A3">
      <w:r w:rsidRPr="009757CA">
        <w:t>Bên cạnh các tổ chức thiết lập tiêu chuẩn, nhiều cơ quan đa phương khác cũng đang xây dựng khung khổ và hướng dẫn của riêng họ về triển khai và phát triển AI trên phạm vi quốc tế. OECD đã cập nhật các Nguyên tắc về AI, cung cấp một khuôn mẫu định hướng cho các khung chính sách trong tương lai</w:t>
      </w:r>
      <w:r w:rsidR="00A14BA2" w:rsidRPr="004F1D15">
        <w:rPr>
          <w:rStyle w:val="FootnoteReference"/>
        </w:rPr>
        <w:footnoteReference w:id="271"/>
      </w:r>
      <w:r w:rsidRPr="009757CA">
        <w:t xml:space="preserve">. Tổ chức Giáo dục, Khoa học và Văn hóa Liên Hợp Quốc (UNESCO) đã ban hành tiêu chuẩn toàn cầu đầu tiên về đạo đức AI </w:t>
      </w:r>
      <w:r w:rsidR="00A14BA2">
        <w:t>-</w:t>
      </w:r>
      <w:r w:rsidRPr="009757CA">
        <w:t xml:space="preserve"> </w:t>
      </w:r>
      <w:r w:rsidRPr="00A14BA2">
        <w:rPr>
          <w:i/>
          <w:iCs/>
        </w:rPr>
        <w:t>Khuyến nghị về Đạo đức của Trí tuệ Nhân tạo</w:t>
      </w:r>
      <w:r w:rsidRPr="009757CA">
        <w:t xml:space="preserve"> </w:t>
      </w:r>
      <w:r w:rsidR="00A14BA2">
        <w:t>-</w:t>
      </w:r>
      <w:r w:rsidRPr="009757CA">
        <w:t xml:space="preserve"> vào tháng 11 năm </w:t>
      </w:r>
      <w:r w:rsidRPr="009757CA">
        <w:lastRenderedPageBreak/>
        <w:t>2021</w:t>
      </w:r>
      <w:r w:rsidR="00A14BA2" w:rsidRPr="004F1D15">
        <w:rPr>
          <w:rStyle w:val="FootnoteReference"/>
        </w:rPr>
        <w:footnoteReference w:id="272"/>
      </w:r>
      <w:r w:rsidRPr="009757CA">
        <w:t>. Hơn nữa, Đại hội đồng Liên Hợp Quốc đã thông qua một nghị quyết mang tính bước ngoặt về AI, nhấn mạnh nhu cầu về một hệ thống AI an toàn, bảo mật và đáng tin cậy</w:t>
      </w:r>
      <w:r w:rsidR="00A14BA2" w:rsidRPr="004F1D15">
        <w:rPr>
          <w:rStyle w:val="FootnoteReference"/>
        </w:rPr>
        <w:footnoteReference w:id="273"/>
      </w:r>
      <w:r w:rsidRPr="009757CA">
        <w:t>.</w:t>
      </w:r>
    </w:p>
    <w:p w14:paraId="38E7AA80" w14:textId="0F719362" w:rsidR="00E44EB7" w:rsidRPr="004F1D15" w:rsidRDefault="003A73A8" w:rsidP="000E3408">
      <w:pPr>
        <w:pStyle w:val="ListParagraph"/>
        <w:numPr>
          <w:ilvl w:val="0"/>
          <w:numId w:val="25"/>
        </w:numPr>
        <w:rPr>
          <w:rFonts w:ascii="Arial" w:eastAsia="Quattrocento Sans" w:hAnsi="Arial"/>
          <w:b/>
          <w:color w:val="auto"/>
          <w:lang w:val="en-GB" w:eastAsia="zh-CN"/>
        </w:rPr>
      </w:pPr>
      <w:r w:rsidRPr="003A73A8">
        <w:rPr>
          <w:rFonts w:ascii="Arial" w:eastAsia="Quattrocento Sans" w:hAnsi="Arial"/>
          <w:b/>
          <w:color w:val="auto"/>
          <w:lang w:val="en-GB" w:eastAsia="zh-CN"/>
        </w:rPr>
        <w:t>Tình hình hiện tại về việc áp dụng các tiêu chuẩn trong ASEAN, bao gồm các nỗ lực đang diễn ra, các kế hoạch sắp tới và những thách thức chính trong việc áp dụng tiêu chuẩn trên toàn bộ các quốc gia thành viên ASEAN (AMS) và toàn khu vực</w:t>
      </w:r>
    </w:p>
    <w:p w14:paraId="29B066BA" w14:textId="2C6C5C83" w:rsidR="003A73A8" w:rsidRPr="00E1058A" w:rsidRDefault="003A73A8" w:rsidP="007664A3">
      <w:bookmarkStart w:id="51" w:name="_Hlk195524170"/>
      <w:r w:rsidRPr="003A73A8">
        <w:t>Mặc dù có rất ít thông tin về việc áp dụng các tiêu chuẩn ISO đã nêu ở trên, một số quốc gia thành viên ASEAN đã tham gia ISO/IEC JTC 1/SC 42, trong đó Malaysia, Philippines và Singapore là các thành viên tham gia đầy đủ, còn Indonesia là thành viên quan sát</w:t>
      </w:r>
      <w:r w:rsidRPr="004F1D15">
        <w:rPr>
          <w:vertAlign w:val="superscript"/>
        </w:rPr>
        <w:footnoteReference w:id="274"/>
      </w:r>
      <w:r w:rsidRPr="003A73A8">
        <w:t xml:space="preserve">. Đáng chú ý, Singapore đã đối chiếu Khung </w:t>
      </w:r>
      <w:r w:rsidR="00BA52B1">
        <w:t xml:space="preserve">xác minh </w:t>
      </w:r>
      <w:r w:rsidRPr="003A73A8">
        <w:t>AI của mình</w:t>
      </w:r>
      <w:r w:rsidRPr="005605C2">
        <w:rPr>
          <w:vertAlign w:val="superscript"/>
        </w:rPr>
        <w:footnoteReference w:id="275"/>
      </w:r>
      <w:r w:rsidRPr="003A73A8">
        <w:t xml:space="preserve"> </w:t>
      </w:r>
      <w:r>
        <w:t>-</w:t>
      </w:r>
      <w:r w:rsidRPr="003A73A8">
        <w:t xml:space="preserve"> một khung thử nghiệm (gồm hơn 90 kiểm tra quy trình dựa trên 11 nguyên tắc đạo đức) và bộ công cụ phần mềm (bao gồm các kiểm thử kỹ thuật về Tính công bằng, Khả năng giải thích và Mức độ vững chắc) </w:t>
      </w:r>
      <w:r w:rsidR="00D113CD">
        <w:t>-</w:t>
      </w:r>
      <w:r w:rsidRPr="003A73A8">
        <w:t xml:space="preserve"> với Khung Quản lý Rủi ro AI của NIST (NIST AI RMF)</w:t>
      </w:r>
      <w:r w:rsidR="00D113CD" w:rsidRPr="00D113CD">
        <w:rPr>
          <w:vertAlign w:val="superscript"/>
        </w:rPr>
        <w:t xml:space="preserve"> </w:t>
      </w:r>
      <w:r w:rsidR="00D113CD" w:rsidRPr="00E1058A">
        <w:rPr>
          <w:vertAlign w:val="superscript"/>
        </w:rPr>
        <w:footnoteReference w:id="276"/>
      </w:r>
      <w:r w:rsidRPr="003A73A8">
        <w:t xml:space="preserve"> và ISO/IEC 42001:2023</w:t>
      </w:r>
      <w:r w:rsidR="00D113CD" w:rsidRPr="00E1058A">
        <w:rPr>
          <w:vertAlign w:val="superscript"/>
        </w:rPr>
        <w:footnoteReference w:id="277"/>
      </w:r>
      <w:r w:rsidRPr="003A73A8">
        <w:t>. Năm 2024, ISO/IEC 42001 đã được thông qua thành Tiêu chuẩn Singapore SS ISO/IEC 42001.</w:t>
      </w:r>
    </w:p>
    <w:bookmarkEnd w:id="51"/>
    <w:p w14:paraId="74A88E75" w14:textId="62400E6E" w:rsidR="00D113CD" w:rsidRPr="00D113CD" w:rsidRDefault="00D113CD" w:rsidP="007664A3">
      <w:pPr>
        <w:rPr>
          <w:rFonts w:eastAsia="Arial"/>
          <w:lang w:val="en-US"/>
        </w:rPr>
      </w:pPr>
      <w:r w:rsidRPr="00D113CD">
        <w:rPr>
          <w:rFonts w:eastAsia="Arial"/>
          <w:lang w:val="en-US"/>
        </w:rPr>
        <w:t xml:space="preserve">AI đang là một ưu tiên mới nổi đối với ASEAN, với nhiều nỗ lực phối hợp đang được triển khai trên nhiều mặt. Đáng chú ý, ASEAN gần đây đã công bố </w:t>
      </w:r>
      <w:r w:rsidRPr="00D113CD">
        <w:rPr>
          <w:rFonts w:eastAsia="Arial"/>
          <w:i/>
          <w:iCs/>
          <w:lang w:val="en-US"/>
        </w:rPr>
        <w:t>Phiên bản mở rộng của Hướng dẫn ASEAN về Quản trị và Đạo đức AI – Trí tuệ nhân tạo tạo sinh</w:t>
      </w:r>
      <w:r w:rsidR="00491C56" w:rsidRPr="00E1058A">
        <w:rPr>
          <w:vertAlign w:val="superscript"/>
        </w:rPr>
        <w:footnoteReference w:id="278"/>
      </w:r>
      <w:r w:rsidRPr="00D113CD">
        <w:rPr>
          <w:rFonts w:eastAsia="Arial"/>
          <w:lang w:val="en-US"/>
        </w:rPr>
        <w:t>, thể hiện cam kết của khu vực trong việc tăng cường các phản ứng phối hợp đối với những vấn đề đã và đang ảnh hưởng đến mọi cấp độ xã hội. Bộ Hướng dẫn này cung cấp chỉ dẫn thực tiễn tốt nhất về quản trị và đạo đức AI ở cấp khu vực, các định nghĩa cho những khái niệm liên quan đến AI, một mẫu đánh giá tác động rủi ro AI, và một bộ khuyến nghị ở cấp quốc gia và khu vực dành cho các nước thành viên ASEAN nhằm triển khai hệ thống AI một cách có trách nhiệm</w:t>
      </w:r>
      <w:r w:rsidR="00491C56" w:rsidRPr="004F1D15">
        <w:rPr>
          <w:vertAlign w:val="superscript"/>
        </w:rPr>
        <w:footnoteReference w:id="279"/>
      </w:r>
      <w:r w:rsidRPr="00D113CD">
        <w:rPr>
          <w:rFonts w:eastAsia="Arial"/>
          <w:lang w:val="en-US"/>
        </w:rPr>
        <w:t xml:space="preserve">. Nhóm Công tác ASEAN về Quản trị AI (WG-AI) thuộc Cuộc họp Quan chức Cấp cao </w:t>
      </w:r>
      <w:r w:rsidR="00616696">
        <w:rPr>
          <w:rFonts w:eastAsia="Arial"/>
          <w:lang w:val="en-US"/>
        </w:rPr>
        <w:t>Số</w:t>
      </w:r>
      <w:r w:rsidRPr="00D113CD">
        <w:rPr>
          <w:rFonts w:eastAsia="Arial"/>
          <w:lang w:val="en-US"/>
        </w:rPr>
        <w:t xml:space="preserve"> ASEAN (ADGSOM) đã được thành lập để điều phối các nỗ lực quản trị AI trong toàn khu vực.</w:t>
      </w:r>
    </w:p>
    <w:p w14:paraId="6D49F2CB" w14:textId="19B90BA7" w:rsidR="00491C56" w:rsidRPr="00FC0DF9" w:rsidRDefault="00491C56" w:rsidP="007664A3">
      <w:r w:rsidRPr="00491C56">
        <w:t>Bên cạnh Hướng dẫn này, Ủy ban ASEAN về Khoa học, Công nghệ và Đổi mới (COSTI) đã bắt đầu xác định những khoảng trống cấp bách nhất về chính sách, pháp lý và quy định liên quan đến việc triển khai AI tạo sinh trong ASEAN, nhằm đưa ra các khuyến nghị để giải quyết hiệu quả các vấn đề này</w:t>
      </w:r>
      <w:r w:rsidR="00FC0DF9" w:rsidRPr="004F1D15">
        <w:rPr>
          <w:rStyle w:val="FootnoteReference"/>
        </w:rPr>
        <w:footnoteReference w:id="280"/>
      </w:r>
      <w:r w:rsidRPr="00491C56">
        <w:t xml:space="preserve">. </w:t>
      </w:r>
      <w:r w:rsidRPr="00491C56">
        <w:lastRenderedPageBreak/>
        <w:t xml:space="preserve">Những nỗ lực này sẽ được tổng hợp trong </w:t>
      </w:r>
      <w:r w:rsidRPr="00FC0DF9">
        <w:rPr>
          <w:i/>
          <w:iCs/>
        </w:rPr>
        <w:t>Tài liệu Thảo luận về Phát triển và Sử dụng Có trách nhiệm Trí tuệ Nhân tạo Tạo sinh trong ASEAN</w:t>
      </w:r>
      <w:r w:rsidRPr="00491C56">
        <w:t>, nhằm tăng cường quản trị và thúc đẩy việc áp dụng AI tạo sinh trong khu vực, với mục tiêu hoàn thành vào đầu năm 2024</w:t>
      </w:r>
      <w:r w:rsidR="00FC0DF9" w:rsidRPr="004F1D15">
        <w:rPr>
          <w:rStyle w:val="FootnoteReference"/>
        </w:rPr>
        <w:footnoteReference w:id="281"/>
      </w:r>
      <w:r w:rsidRPr="00491C56">
        <w:t>.</w:t>
      </w:r>
    </w:p>
    <w:p w14:paraId="1BFCCC1B" w14:textId="013DF4CB" w:rsidR="00B55EC0" w:rsidRDefault="00B55EC0" w:rsidP="007664A3">
      <w:r w:rsidRPr="00B55EC0">
        <w:t xml:space="preserve">Về sự tham gia của các quốc gia thành viên ASEAN trong việc xây dựng tiêu chuẩn, cần lưu ý rằng Singapore, Philippines, Malaysia và Indonesia đã tham gia </w:t>
      </w:r>
      <w:r w:rsidRPr="00B55EC0">
        <w:rPr>
          <w:b/>
          <w:bCs/>
        </w:rPr>
        <w:t>ISO/IEC JTC 1/SC 42</w:t>
      </w:r>
      <w:r w:rsidRPr="00B55EC0">
        <w:t>. Singapore, Philippines và Malaysia đã đạt trạng thái thành viên tham gia, cho thấy họ có đủ năng lực kỹ thuật để đóng góp một cách ý nghĩa vào các thảo luận kỹ thuật và cơ chế bỏ phiếu đang diễn ra</w:t>
      </w:r>
      <w:r w:rsidRPr="004F1D15">
        <w:rPr>
          <w:rStyle w:val="FootnoteReference"/>
        </w:rPr>
        <w:footnoteReference w:id="282"/>
      </w:r>
      <w:r w:rsidRPr="00B55EC0">
        <w:t>. Indonesia, mặt khác, tham dự các phiên họp toàn thể SC42 với tư cách thành viên quan sát</w:t>
      </w:r>
      <w:r w:rsidRPr="00E1058A">
        <w:rPr>
          <w:rStyle w:val="FootnoteReference"/>
        </w:rPr>
        <w:footnoteReference w:id="283"/>
      </w:r>
      <w:r w:rsidRPr="00B55EC0">
        <w:t>. Sau khi đầu tư mạnh vào nghiên cứu và phát triển AI cũng như cải thiện đáng kể năng lực AI, Singapore và Philippines có lợi ích rõ ràng trong việc đóng góp vào quá trình xây dựng tiêu chuẩn. Singapore cũng đã bày tỏ ý định đệ trình Đề xuất Hạng mục Công việc Mới (New Work Item Proposal) tại SC42, tập trung vào phương pháp thử nghiệm dành cho các hệ thống AI tạo sinh.</w:t>
      </w:r>
    </w:p>
    <w:p w14:paraId="514E6A52" w14:textId="70D82B31" w:rsidR="006145CA" w:rsidRPr="004F1D15" w:rsidRDefault="006145CA" w:rsidP="007664A3">
      <w:r w:rsidRPr="006145CA">
        <w:t>Việc áp dụng các tiêu chuẩn AI trên toàn ASEAN đang đối mặt với một số thách thức. Bên cạnh việc hệ sinh thái tiêu chuẩn AI vẫn còn tương đối mới, nhận thức và hiểu biết hạn chế về các tiêu chuẩn AI cản trở việc triển khai tiêu chuẩn trong khu vực. Ngoài ra, những lo ngại liên quan đến quyền riêng tư dữ liệu, an ninh và các vấn đề đạo đức đặt ra trở ngại lớn đối với quá trình tiêu chuẩn hóa thực tiễn AI trong bối cảnh văn hóa và pháp lý đa dạng của ASEAN.</w:t>
      </w:r>
    </w:p>
    <w:p w14:paraId="3DCC3C9F" w14:textId="2385DCA3" w:rsidR="00E44EB7" w:rsidRPr="004F1D15" w:rsidRDefault="006145CA" w:rsidP="000E3408">
      <w:pPr>
        <w:pStyle w:val="ListParagraph"/>
        <w:numPr>
          <w:ilvl w:val="0"/>
          <w:numId w:val="25"/>
        </w:numPr>
        <w:rPr>
          <w:rFonts w:ascii="Arial" w:eastAsia="Quattrocento Sans" w:hAnsi="Arial"/>
          <w:b/>
          <w:color w:val="auto"/>
          <w:lang w:val="en-GB" w:eastAsia="zh-CN"/>
        </w:rPr>
      </w:pPr>
      <w:r w:rsidRPr="006145CA">
        <w:rPr>
          <w:rFonts w:ascii="Arial" w:eastAsia="Quattrocento Sans" w:hAnsi="Arial"/>
          <w:b/>
          <w:color w:val="auto"/>
          <w:lang w:val="en-GB" w:eastAsia="zh-CN"/>
        </w:rPr>
        <w:t>Mối liên hệ với các phân nhóm khác / Các xem xét khác (nếu có)</w:t>
      </w:r>
    </w:p>
    <w:p w14:paraId="5F3E7999" w14:textId="77777777" w:rsidR="00E44EB7" w:rsidRPr="004F1D15" w:rsidRDefault="00E44EB7" w:rsidP="007664A3">
      <w:r w:rsidRPr="004F1D15">
        <w:t>N/A</w:t>
      </w:r>
    </w:p>
    <w:p w14:paraId="7ACBDA9D" w14:textId="77777777" w:rsidR="00E44EB7" w:rsidRPr="004F1D15" w:rsidRDefault="00E44EB7" w:rsidP="00C82E40">
      <w:pPr>
        <w:pStyle w:val="Heading4"/>
        <w:rPr>
          <w:lang w:val="en-GB"/>
        </w:rPr>
      </w:pPr>
      <w:r w:rsidRPr="004F1D15">
        <w:rPr>
          <w:lang w:val="en-GB"/>
        </w:rPr>
        <w:t>Blockchain</w:t>
      </w:r>
    </w:p>
    <w:p w14:paraId="798EB8C9" w14:textId="38270FAB" w:rsidR="00E44EB7" w:rsidRPr="004F1D15" w:rsidRDefault="00977180" w:rsidP="000E3408">
      <w:pPr>
        <w:pStyle w:val="ListParagraph"/>
        <w:numPr>
          <w:ilvl w:val="0"/>
          <w:numId w:val="26"/>
        </w:numPr>
        <w:rPr>
          <w:rFonts w:ascii="Arial" w:eastAsia="Quattrocento Sans" w:hAnsi="Arial"/>
          <w:b/>
          <w:color w:val="auto"/>
          <w:lang w:val="en-GB" w:eastAsia="zh-CN"/>
        </w:rPr>
      </w:pPr>
      <w:r>
        <w:rPr>
          <w:rFonts w:ascii="Arial" w:eastAsia="Quattrocento Sans" w:hAnsi="Arial"/>
          <w:b/>
          <w:color w:val="auto"/>
          <w:lang w:val="en-GB" w:eastAsia="zh-CN"/>
        </w:rPr>
        <w:t xml:space="preserve">Tầm quan trọng của các tiêu chuẩn trong phân nhóm này </w:t>
      </w:r>
    </w:p>
    <w:p w14:paraId="4816B69F" w14:textId="0F807EBC" w:rsidR="00977180" w:rsidRPr="004F1D15" w:rsidRDefault="00977180" w:rsidP="007664A3">
      <w:r w:rsidRPr="00977180">
        <w:t>Các tiêu chuẩn về blockchain có vai trò thiết yếu trong việc thúc đẩy khả năng tương tác giữa các nền tảng đa dạng, tăng cường niềm tin trong giao dịch và đảm bảo tuân thủ quy định. Bằng cách thiết lập các giao thức chung cho trao đổi và xác minh dữ liệu, các tiêu chuẩn này giúp tinh giản quy trình thương mại số và củng cố sự tin cậy giữa các bên liên quan</w:t>
      </w:r>
      <w:r w:rsidRPr="004F1D15">
        <w:rPr>
          <w:rStyle w:val="FootnoteReference"/>
          <w:rFonts w:eastAsia="Times New Roman"/>
          <w:kern w:val="2"/>
          <w:lang w:eastAsia="zh-CN"/>
          <w14:ligatures w14:val="standardContextual"/>
        </w:rPr>
        <w:footnoteReference w:id="284"/>
      </w:r>
      <w:r w:rsidRPr="00977180">
        <w:t>. Chúng cũng cung cấp sự rõ ràng về các yêu cầu pháp lý, từ đó giảm thiểu rủi ro và sự bất định cho các doanh nghiệp hoạt động trong khu vực</w:t>
      </w:r>
      <w:r w:rsidRPr="004F1D15">
        <w:rPr>
          <w:rStyle w:val="FootnoteReference"/>
          <w:rFonts w:eastAsia="Times New Roman"/>
          <w:kern w:val="2"/>
          <w:lang w:eastAsia="zh-CN"/>
          <w14:ligatures w14:val="standardContextual"/>
        </w:rPr>
        <w:footnoteReference w:id="285"/>
      </w:r>
      <w:r w:rsidRPr="00977180">
        <w:t>. Tổng thể, các tiêu chuẩn blockchain đóng vai trò quan trọng trong việc nâng cao hiệu quả, tính bảo mật và độ tin cậy của các giao dịch thương mại số trên toàn ASEAN.</w:t>
      </w:r>
    </w:p>
    <w:p w14:paraId="75856B5E" w14:textId="30B97ECE" w:rsidR="00E44EB7" w:rsidRPr="004F1D15" w:rsidRDefault="00977180" w:rsidP="000E3408">
      <w:pPr>
        <w:pStyle w:val="ListParagraph"/>
        <w:numPr>
          <w:ilvl w:val="0"/>
          <w:numId w:val="26"/>
        </w:numPr>
        <w:rPr>
          <w:rFonts w:ascii="Arial" w:eastAsia="Quattrocento Sans" w:hAnsi="Arial"/>
          <w:b/>
          <w:color w:val="auto"/>
          <w:lang w:val="en-GB" w:eastAsia="zh-CN"/>
        </w:rPr>
      </w:pPr>
      <w:r w:rsidRPr="00977180">
        <w:rPr>
          <w:rFonts w:ascii="Arial" w:eastAsia="Quattrocento Sans" w:hAnsi="Arial"/>
          <w:b/>
          <w:color w:val="auto"/>
          <w:lang w:val="en-GB" w:eastAsia="zh-CN"/>
        </w:rPr>
        <w:t>Các tiêu chuẩn quốc tế quan trọng đối với ASEAN</w:t>
      </w:r>
    </w:p>
    <w:p w14:paraId="1A74EA6A" w14:textId="6F5DF143" w:rsidR="00E44EB7" w:rsidRPr="004F1D15" w:rsidRDefault="005C710A" w:rsidP="007664A3">
      <w:r w:rsidRPr="005C710A">
        <w:lastRenderedPageBreak/>
        <w:t>Mặc dù vẫn là một công nghệ mới nổi, blockchain đã chứng kiến sự phát triển của nhiều tiêu chuẩn quốc tế.</w:t>
      </w:r>
    </w:p>
    <w:p w14:paraId="78E21EDC" w14:textId="04DB0CAD" w:rsidR="005C710A" w:rsidRPr="004F1D15" w:rsidRDefault="005C710A" w:rsidP="007664A3">
      <w:r w:rsidRPr="005C710A">
        <w:t xml:space="preserve">Trong số đó, Uỷ ban </w:t>
      </w:r>
      <w:r w:rsidRPr="005C710A">
        <w:rPr>
          <w:b/>
          <w:bCs/>
        </w:rPr>
        <w:t>ISO/TC 307</w:t>
      </w:r>
      <w:r w:rsidRPr="005C710A">
        <w:t xml:space="preserve"> về Blockchain và Công nghệ Sổ cái Phân tán (Distributed Ledger Technologies – DLT) đang dẫn đầu trong nỗ lực tiêu chuẩn hóa này. Một tiêu chuẩn đáng chú ý là </w:t>
      </w:r>
      <w:r w:rsidRPr="00D34017">
        <w:rPr>
          <w:b/>
          <w:bCs/>
        </w:rPr>
        <w:t>ISO 22739:2024 – Từ vựng về Blockchain và Công nghệ Sổ cái Phân tán</w:t>
      </w:r>
      <w:r w:rsidRPr="005C710A">
        <w:t>, cung cấp các định nghĩa nền tảng về thuật ngữ của blockchain và DLT</w:t>
      </w:r>
      <w:r w:rsidR="00D34017" w:rsidRPr="004F1D15">
        <w:rPr>
          <w:rStyle w:val="FootnoteReference"/>
          <w:rFonts w:eastAsia="Times New Roman"/>
        </w:rPr>
        <w:footnoteReference w:id="286"/>
      </w:r>
      <w:r w:rsidRPr="005C710A">
        <w:t>. Đây là tiêu chuẩn quan trọng góp phần xây dựng sự hiểu biết chung về các khái niệm blockchain, từ đó thúc đẩy hài hòa hóa thực tiễn và quy định về blockchain.</w:t>
      </w:r>
      <w:r>
        <w:t xml:space="preserve"> </w:t>
      </w:r>
      <w:r w:rsidRPr="005C710A">
        <w:t xml:space="preserve">Ngoài ra, </w:t>
      </w:r>
      <w:r w:rsidRPr="00D34017">
        <w:rPr>
          <w:b/>
          <w:bCs/>
        </w:rPr>
        <w:t>ISO 23257:2022 – Kiến trúc Tham chiếu cho Blockchain và Công nghệ Sổ cái Phân tán</w:t>
      </w:r>
      <w:r w:rsidRPr="005C710A">
        <w:t xml:space="preserve"> quy định các thành phần chức năng, vai trò và hoạt động của blockchain và DLT</w:t>
      </w:r>
      <w:r w:rsidR="00D34017">
        <w:rPr>
          <w:rStyle w:val="FootnoteReference"/>
        </w:rPr>
        <w:footnoteReference w:id="287"/>
      </w:r>
      <w:r w:rsidRPr="005C710A">
        <w:t xml:space="preserve">. Bên cạnh đó, </w:t>
      </w:r>
      <w:r w:rsidRPr="00D34017">
        <w:rPr>
          <w:b/>
          <w:bCs/>
        </w:rPr>
        <w:t>ISO/WD TS 23516 – Khung Khả năng Tương tác cho Blockchain và Công nghệ Sổ cái Phân tán</w:t>
      </w:r>
      <w:r w:rsidRPr="005C710A">
        <w:t>, hiện đang được phát triển, nhằm tạo điều kiện cho việc giao tiếp giữa các hệ thống blockchain khác nhau</w:t>
      </w:r>
      <w:r w:rsidR="00550737" w:rsidRPr="004F1D15">
        <w:rPr>
          <w:rStyle w:val="FootnoteReference"/>
          <w:rFonts w:eastAsia="Times New Roman"/>
        </w:rPr>
        <w:footnoteReference w:id="288"/>
      </w:r>
      <w:r w:rsidRPr="005C710A">
        <w:t>, đảm bảo việc trao đổi dữ liệu trơn tru và khả năng tương tác giữa nhiều bên liên quan trong hệ sinh thái chuỗi cung ứng.</w:t>
      </w:r>
      <w:r>
        <w:t xml:space="preserve"> </w:t>
      </w:r>
      <w:r w:rsidRPr="005C710A">
        <w:t xml:space="preserve">Riêng </w:t>
      </w:r>
      <w:r w:rsidRPr="00550737">
        <w:rPr>
          <w:b/>
          <w:bCs/>
        </w:rPr>
        <w:t>ISO/TR 23244:2020 – Các cân nhắc về Quyền riêng tư và Bảo vệ Thông tin Nhận dạng Cá nhân (PII)</w:t>
      </w:r>
      <w:r w:rsidRPr="005C710A">
        <w:t xml:space="preserve"> áp dụng đối với blockchain và DLT, cung cấp cái nhìn tổng quan về quyền riêng tư và bảo vệ PII trong các hệ thống blockchain và DLT</w:t>
      </w:r>
      <w:r w:rsidR="00550737">
        <w:rPr>
          <w:rStyle w:val="FootnoteReference"/>
        </w:rPr>
        <w:footnoteReference w:id="289"/>
      </w:r>
      <w:r w:rsidRPr="005C710A">
        <w:t>.</w:t>
      </w:r>
    </w:p>
    <w:p w14:paraId="1EF25DCD" w14:textId="297B3264" w:rsidR="00550737" w:rsidRPr="004F1D15" w:rsidRDefault="00550737" w:rsidP="007664A3">
      <w:r w:rsidRPr="00550737">
        <w:t xml:space="preserve">Hiệp hội Tiêu chuẩn IEEE (IEEE Standards Association) cũng đã công bố một số tiêu chuẩn blockchain. Đáng chú ý là </w:t>
      </w:r>
      <w:r w:rsidRPr="007569F8">
        <w:rPr>
          <w:b/>
          <w:bCs/>
        </w:rPr>
        <w:t>Tiêu chuẩn IEEE về Giao thức Xác thực Dữ liệu và Giao tiếp cho Khả năng Tương tác Blockchain,</w:t>
      </w:r>
      <w:r w:rsidRPr="00550737">
        <w:t xml:space="preserve"> quy định các giao diện và giao thức xác thực dữ liệu và giao tiếp để đạt được khả năng tương tác blockchain</w:t>
      </w:r>
      <w:r w:rsidRPr="004F1D15">
        <w:rPr>
          <w:rStyle w:val="FootnoteReference"/>
          <w:rFonts w:eastAsia="Times New Roman"/>
        </w:rPr>
        <w:footnoteReference w:id="290"/>
      </w:r>
      <w:r w:rsidRPr="00550737">
        <w:t>.</w:t>
      </w:r>
    </w:p>
    <w:p w14:paraId="22108532" w14:textId="69600B85" w:rsidR="007569F8" w:rsidRPr="004F1D15" w:rsidRDefault="007569F8" w:rsidP="007664A3">
      <w:r w:rsidRPr="007569F8">
        <w:t xml:space="preserve">Một nhóm tiêu chuẩn blockchain khác có liên quan là </w:t>
      </w:r>
      <w:r w:rsidRPr="007569F8">
        <w:rPr>
          <w:b/>
          <w:bCs/>
        </w:rPr>
        <w:t>các tiêu chuẩn toàn cầu của GS1 về định danh và dữ liệu có cấu trúc.</w:t>
      </w:r>
      <w:r w:rsidRPr="007569F8">
        <w:t xml:space="preserve"> Các tiêu chuẩn này cho phép người dùng mạng blockchain mở rộng việc áp dụng trong doanh nghiệp và duy trì một phiên bản chung, thống nhất về sự thật liên quan đến các sự kiện trong chuỗi cung ứng và logistics, từ đó nâng cao tính toàn vẹn dữ liệu và niềm tin giữa các bên bằng cách giảm trùng lặp và đối soát dữ liệu</w:t>
      </w:r>
      <w:r w:rsidRPr="004F1D15">
        <w:rPr>
          <w:rStyle w:val="FootnoteReference"/>
          <w:rFonts w:eastAsia="Times New Roman"/>
        </w:rPr>
        <w:footnoteReference w:id="291"/>
      </w:r>
      <w:r w:rsidRPr="007569F8">
        <w:t>.</w:t>
      </w:r>
    </w:p>
    <w:p w14:paraId="4C594F81" w14:textId="7C07BB9D" w:rsidR="00E44EB7" w:rsidRPr="004F1D15" w:rsidRDefault="00BD2C18" w:rsidP="00FF6387">
      <w:pPr>
        <w:pStyle w:val="ListParagraph"/>
        <w:numPr>
          <w:ilvl w:val="0"/>
          <w:numId w:val="29"/>
        </w:numPr>
        <w:rPr>
          <w:rFonts w:ascii="Arial" w:eastAsia="Quattrocento Sans" w:hAnsi="Arial"/>
          <w:b/>
          <w:color w:val="auto"/>
          <w:lang w:val="en-GB" w:eastAsia="zh-CN"/>
        </w:rPr>
      </w:pPr>
      <w:r w:rsidRPr="00BD2C18">
        <w:rPr>
          <w:rFonts w:ascii="Arial" w:eastAsia="Quattrocento Sans" w:hAnsi="Arial"/>
          <w:b/>
          <w:color w:val="auto"/>
          <w:lang w:val="en-GB" w:eastAsia="zh-CN"/>
        </w:rPr>
        <w:t>Tình hình hiện tại về việc áp dụng tiêu chuẩn trong ASEAN, gồm các nỗ lực đang diễn ra, kế hoạch sắp tới và các thách thức chính trong việc áp dụng tiêu chuẩn ở các quốc gia thành viên ASEAN và toàn khu vực</w:t>
      </w:r>
    </w:p>
    <w:p w14:paraId="194BE05B" w14:textId="3471CA2A" w:rsidR="00E44EB7" w:rsidRPr="004F1D15" w:rsidRDefault="00BD2C18" w:rsidP="007664A3">
      <w:r w:rsidRPr="00BD2C18">
        <w:t>Hiện có rất ít thông tin về việc áp dụng các tiêu chuẩn được đề cập ở trên. Tuy nhiên, một số quốc gia ASEAN đã tham gia ISO TC/307, trong đó Malaysia, Singapore và Thái Lan là thành viên tham gia đầy đủ; trong khi Campuchia, Indonesia và Philippines là thành viên quan sát</w:t>
      </w:r>
      <w:r w:rsidR="00E44EB7" w:rsidRPr="004F1D15">
        <w:rPr>
          <w:rStyle w:val="FootnoteReference"/>
          <w:rFonts w:eastAsia="Times New Roman"/>
        </w:rPr>
        <w:footnoteReference w:id="292"/>
      </w:r>
      <w:r>
        <w:t>.</w:t>
      </w:r>
    </w:p>
    <w:p w14:paraId="0EEACA65" w14:textId="16142435" w:rsidR="00E44EB7" w:rsidRPr="004F1D15" w:rsidRDefault="00BD2C18" w:rsidP="007664A3">
      <w:r w:rsidRPr="00BD2C18">
        <w:lastRenderedPageBreak/>
        <w:t>Mặc dù nhiều sáng kiến blockchain đã được triển khai bởi các quốc gia ASEAN (được trình bày trong Bảng 10 dưới đây), việc áp dụng thực tế công nghệ blockchain trong khu vực vẫn còn ở mức thấp. Ví dụ, việc triển khai blockchain cho các dịch vụ công trực tuyến trong ASEAN vẫn đang ở giai đoạn ban đầu, với chưa đến 5% dự án đã vận hành thực tế.</w:t>
      </w:r>
      <w:r w:rsidR="00E44EB7" w:rsidRPr="004F1D15">
        <w:rPr>
          <w:rStyle w:val="FootnoteReference"/>
        </w:rPr>
        <w:footnoteReference w:id="293"/>
      </w:r>
      <w:r w:rsidR="00E44EB7" w:rsidRPr="004F1D15">
        <w:t xml:space="preserve"> </w:t>
      </w:r>
    </w:p>
    <w:p w14:paraId="115F1B61" w14:textId="08342C7C" w:rsidR="00BD2C18" w:rsidRPr="004F1D15" w:rsidRDefault="00BD2C18" w:rsidP="007664A3">
      <w:r w:rsidRPr="00BD2C18">
        <w:t>Tỷ lệ áp dụng thấp này có thể được lý giải bởi một số thách thức. Thứ nhất, vẫn còn hạn chế trong hiểu biết về lợi ích và các trường hợp sử dụng tiềm năng của blockchain giữa doanh nghiệp và chính phủ trong khu vực, bao gồm cả các cơ quan quản lý của AMS</w:t>
      </w:r>
      <w:r w:rsidRPr="004F1D15">
        <w:rPr>
          <w:rStyle w:val="FootnoteReference"/>
        </w:rPr>
        <w:footnoteReference w:id="294"/>
      </w:r>
      <w:r w:rsidRPr="00BD2C18">
        <w:t>. Thứ hai, một số quốc gia thành viên ASEAN gặp hạn chế về ngân sách để phát triển hệ sinh thái và hạ tầng cần thiết cho việc triển khai blockchain</w:t>
      </w:r>
      <w:r w:rsidR="00D809BB" w:rsidRPr="004F1D15">
        <w:rPr>
          <w:rStyle w:val="FootnoteReference"/>
          <w:rFonts w:eastAsia="Times New Roman"/>
        </w:rPr>
        <w:footnoteReference w:id="295"/>
      </w:r>
      <w:r w:rsidRPr="00BD2C18">
        <w:t>. Thứ ba, các rào cản kỹ thuật như vấn đề khả năng tương tác giữa các nền tảng blockchain khác nhau và các vấn đề về khả năng mở rộng là những trở ngại đáng kể đối với việc ứng dụng. Giải quyết các thách thức này sẽ đòi hỏi nỗ lực hợp tác để phát triển các tiêu chuẩn tương thích, giải quyết các vấn đề bảo mật và quyền riêng tư, và phân bổ nguồn lực một cách hiệu quả để hỗ trợ các sáng kiến blockchain trong ASEAN.</w:t>
      </w:r>
    </w:p>
    <w:p w14:paraId="70A1C821" w14:textId="2DB34AA2" w:rsidR="00D809BB" w:rsidRDefault="00D809BB" w:rsidP="00E44EB7">
      <w:pPr>
        <w:rPr>
          <w:rFonts w:eastAsia="Quattrocento Sans"/>
          <w:lang w:eastAsia="zh-CN"/>
        </w:rPr>
      </w:pPr>
      <w:r w:rsidRPr="00D809BB">
        <w:rPr>
          <w:rFonts w:eastAsia="Quattrocento Sans"/>
          <w:lang w:eastAsia="zh-CN"/>
        </w:rPr>
        <w:t xml:space="preserve">Trong bối cảnh đó, ASEAN đã thúc đẩy các nỗ lực nhằm tăng cường đối thoại và nghiên cứu về blockchain. ASEAN đã công bố nghiên cứu </w:t>
      </w:r>
      <w:r w:rsidRPr="00C63F85">
        <w:rPr>
          <w:rFonts w:eastAsia="Quattrocento Sans"/>
          <w:i/>
          <w:iCs/>
          <w:lang w:eastAsia="zh-CN"/>
        </w:rPr>
        <w:t>“Blockchain cho chính phủ số – Cách tiếp cận ASEAN”,</w:t>
      </w:r>
      <w:r w:rsidRPr="00D809BB">
        <w:rPr>
          <w:rFonts w:eastAsia="Quattrocento Sans"/>
          <w:lang w:eastAsia="zh-CN"/>
        </w:rPr>
        <w:t xml:space="preserve"> phân tích các cơ hội, thách thức và khoảng trống trong việc ứng dụng blockchain để chuyển đổi số dịch vụ công, đồng thời đưa ra các khuyến nghị về cách các quốc gia thành viên có thể tận dụng công nghệ này để xây dựng dịch vụ số minh bạch và đáng tin cậy</w:t>
      </w:r>
      <w:r w:rsidR="00C63F85" w:rsidRPr="004F1D15">
        <w:rPr>
          <w:rStyle w:val="FootnoteReference"/>
        </w:rPr>
        <w:footnoteReference w:id="296"/>
      </w:r>
      <w:r w:rsidRPr="00D809BB">
        <w:rPr>
          <w:rFonts w:eastAsia="Quattrocento Sans"/>
          <w:lang w:eastAsia="zh-CN"/>
        </w:rPr>
        <w:t>. Ngoài ra, các sáng kiến như ASEAN Blockchain Consortium hướng tới thúc đẩy hợp tác xuyên biên giới nhằm mở rộng việc áp dụng công nghệ blockchain trong khu vực</w:t>
      </w:r>
      <w:r w:rsidR="00C63F85" w:rsidRPr="004F1D15">
        <w:rPr>
          <w:rStyle w:val="FootnoteReference"/>
          <w:rFonts w:eastAsia="Times New Roman"/>
        </w:rPr>
        <w:footnoteReference w:id="297"/>
      </w:r>
      <w:r w:rsidRPr="00D809BB">
        <w:rPr>
          <w:rFonts w:eastAsia="Quattrocento Sans"/>
          <w:lang w:eastAsia="zh-CN"/>
        </w:rPr>
        <w:t>.</w:t>
      </w:r>
    </w:p>
    <w:p w14:paraId="07836455" w14:textId="4167B8DF" w:rsidR="00E44EB7" w:rsidRPr="004F1D15" w:rsidRDefault="0084248B" w:rsidP="00E44EB7">
      <w:pPr>
        <w:pStyle w:val="Caption"/>
        <w:rPr>
          <w:rFonts w:eastAsia="Times New Roman"/>
        </w:rPr>
      </w:pPr>
      <w:bookmarkStart w:id="52" w:name="_Ref174027494"/>
      <w:r>
        <w:t>Bảng</w:t>
      </w:r>
      <w:r w:rsidR="00F30345">
        <w:t xml:space="preserve"> </w:t>
      </w:r>
      <w:r w:rsidR="00295520">
        <w:t>10</w:t>
      </w:r>
      <w:bookmarkEnd w:id="52"/>
      <w:r w:rsidR="00E44EB7" w:rsidRPr="004F1D15">
        <w:t xml:space="preserve">. </w:t>
      </w:r>
      <w:r>
        <w:t>Các sáng kiến Blockchain tại các quốc gia thành viên ASEAN</w:t>
      </w:r>
    </w:p>
    <w:tbl>
      <w:tblPr>
        <w:tblStyle w:val="ListTable3-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694"/>
        <w:gridCol w:w="4541"/>
      </w:tblGrid>
      <w:tr w:rsidR="00E44EB7" w:rsidRPr="004F1D15" w14:paraId="1E760903" w14:textId="77777777" w:rsidTr="00AC0AE1">
        <w:trPr>
          <w:cnfStyle w:val="100000000000" w:firstRow="1" w:lastRow="0" w:firstColumn="0" w:lastColumn="0" w:oddVBand="0" w:evenVBand="0" w:oddHBand="0" w:evenHBand="0" w:firstRowFirstColumn="0" w:firstRowLastColumn="0" w:lastRowFirstColumn="0" w:lastRowLastColumn="0"/>
          <w:trHeight w:val="616"/>
          <w:jc w:val="center"/>
        </w:trPr>
        <w:tc>
          <w:tcPr>
            <w:cnfStyle w:val="001000000100" w:firstRow="0" w:lastRow="0" w:firstColumn="1" w:lastColumn="0" w:oddVBand="0" w:evenVBand="0" w:oddHBand="0" w:evenHBand="0" w:firstRowFirstColumn="1" w:firstRowLastColumn="0" w:lastRowFirstColumn="0" w:lastRowLastColumn="0"/>
            <w:tcW w:w="2263" w:type="dxa"/>
            <w:shd w:val="clear" w:color="auto" w:fill="002060"/>
          </w:tcPr>
          <w:p w14:paraId="56ACD00B" w14:textId="1DF6ACF0" w:rsidR="00E44EB7" w:rsidRPr="004F1D15" w:rsidRDefault="0084248B" w:rsidP="00AC0AE1">
            <w:pPr>
              <w:jc w:val="center"/>
            </w:pPr>
            <w:r>
              <w:t>Quốc gia thành viên ASEAN</w:t>
            </w:r>
          </w:p>
        </w:tc>
        <w:tc>
          <w:tcPr>
            <w:tcW w:w="2694" w:type="dxa"/>
            <w:shd w:val="clear" w:color="auto" w:fill="002060"/>
          </w:tcPr>
          <w:p w14:paraId="3EB6148E" w14:textId="46A8DBCF" w:rsidR="00E44EB7" w:rsidRPr="004F1D15" w:rsidRDefault="0084248B" w:rsidP="00AC0AE1">
            <w:pPr>
              <w:jc w:val="center"/>
              <w:cnfStyle w:val="100000000000" w:firstRow="1" w:lastRow="0" w:firstColumn="0" w:lastColumn="0" w:oddVBand="0" w:evenVBand="0" w:oddHBand="0" w:evenHBand="0" w:firstRowFirstColumn="0" w:firstRowLastColumn="0" w:lastRowFirstColumn="0" w:lastRowLastColumn="0"/>
            </w:pPr>
            <w:r>
              <w:t xml:space="preserve">Sáng kiến </w:t>
            </w:r>
            <w:r w:rsidR="00E44EB7" w:rsidRPr="004F1D15">
              <w:t>Blockchain</w:t>
            </w:r>
          </w:p>
        </w:tc>
        <w:tc>
          <w:tcPr>
            <w:tcW w:w="4541" w:type="dxa"/>
            <w:shd w:val="clear" w:color="auto" w:fill="002060"/>
          </w:tcPr>
          <w:p w14:paraId="6A3F6E44" w14:textId="29E7D83C" w:rsidR="00E44EB7" w:rsidRPr="004F1D15" w:rsidRDefault="0084248B" w:rsidP="00AC0AE1">
            <w:pPr>
              <w:jc w:val="center"/>
              <w:cnfStyle w:val="100000000000" w:firstRow="1" w:lastRow="0" w:firstColumn="0" w:lastColumn="0" w:oddVBand="0" w:evenVBand="0" w:oddHBand="0" w:evenHBand="0" w:firstRowFirstColumn="0" w:firstRowLastColumn="0" w:lastRowFirstColumn="0" w:lastRowLastColumn="0"/>
            </w:pPr>
            <w:r>
              <w:t>Chi tiết</w:t>
            </w:r>
          </w:p>
        </w:tc>
      </w:tr>
      <w:tr w:rsidR="00E44EB7" w:rsidRPr="004F1D15" w14:paraId="44C1BDE0" w14:textId="77777777">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263" w:type="dxa"/>
          </w:tcPr>
          <w:p w14:paraId="3144778E" w14:textId="77777777" w:rsidR="00E44EB7" w:rsidRPr="004F1D15" w:rsidRDefault="00E44EB7" w:rsidP="007664A3">
            <w:r w:rsidRPr="004F1D15">
              <w:t>Brunei Darussalam</w:t>
            </w:r>
          </w:p>
        </w:tc>
        <w:tc>
          <w:tcPr>
            <w:tcW w:w="7235" w:type="dxa"/>
            <w:gridSpan w:val="2"/>
          </w:tcPr>
          <w:p w14:paraId="2AAB56A8" w14:textId="77777777" w:rsidR="00E44EB7" w:rsidRPr="004F1D15" w:rsidRDefault="00E44EB7" w:rsidP="007664A3">
            <w:pPr>
              <w:cnfStyle w:val="000000100000" w:firstRow="0" w:lastRow="0" w:firstColumn="0" w:lastColumn="0" w:oddVBand="0" w:evenVBand="0" w:oddHBand="1" w:evenHBand="0" w:firstRowFirstColumn="0" w:firstRowLastColumn="0" w:lastRowFirstColumn="0" w:lastRowLastColumn="0"/>
            </w:pPr>
            <w:r w:rsidRPr="004F1D15">
              <w:t>N/A</w:t>
            </w:r>
          </w:p>
          <w:p w14:paraId="0A283D3B" w14:textId="3E75B7CC" w:rsidR="00392D65" w:rsidRPr="004F1D15" w:rsidRDefault="00392D65" w:rsidP="007664A3">
            <w:pPr>
              <w:cnfStyle w:val="000000100000" w:firstRow="0" w:lastRow="0" w:firstColumn="0" w:lastColumn="0" w:oddVBand="0" w:evenVBand="0" w:oddHBand="1" w:evenHBand="0" w:firstRowFirstColumn="0" w:firstRowLastColumn="0" w:lastRowFirstColumn="0" w:lastRowLastColumn="0"/>
            </w:pPr>
            <w:r w:rsidRPr="00392D65">
              <w:t>Lưu ý: Ngân hàng Trung ương Brunei chỉ ban hành hướng dẫn hạn chế về tiền điện tử, ngoài việc cảnh báo công chúng về rủi ro rằng “tiền điện tử không phải là tiền tệ hợp pháp tại Brunei Darussalam và không được AMBD quản lý”.</w:t>
            </w:r>
          </w:p>
        </w:tc>
      </w:tr>
      <w:tr w:rsidR="00E44EB7" w:rsidRPr="004F1D15" w14:paraId="6D0AD2FF" w14:textId="77777777">
        <w:trPr>
          <w:trHeight w:val="345"/>
          <w:jc w:val="center"/>
        </w:trPr>
        <w:tc>
          <w:tcPr>
            <w:cnfStyle w:val="001000000000" w:firstRow="0" w:lastRow="0" w:firstColumn="1" w:lastColumn="0" w:oddVBand="0" w:evenVBand="0" w:oddHBand="0" w:evenHBand="0" w:firstRowFirstColumn="0" w:firstRowLastColumn="0" w:lastRowFirstColumn="0" w:lastRowLastColumn="0"/>
            <w:tcW w:w="2263" w:type="dxa"/>
          </w:tcPr>
          <w:p w14:paraId="579E121D" w14:textId="585863F2" w:rsidR="00E44EB7" w:rsidRPr="004F1D15" w:rsidRDefault="00E44EB7" w:rsidP="007664A3">
            <w:r w:rsidRPr="004F1D15">
              <w:t>Cam</w:t>
            </w:r>
            <w:r w:rsidR="00392D65">
              <w:t>puchia</w:t>
            </w:r>
          </w:p>
        </w:tc>
        <w:tc>
          <w:tcPr>
            <w:tcW w:w="2694" w:type="dxa"/>
          </w:tcPr>
          <w:p w14:paraId="6629D745" w14:textId="77777777" w:rsidR="00E44EB7" w:rsidRPr="004F1D15" w:rsidRDefault="00E44EB7" w:rsidP="007664A3">
            <w:pPr>
              <w:cnfStyle w:val="000000000000" w:firstRow="0" w:lastRow="0" w:firstColumn="0" w:lastColumn="0" w:oddVBand="0" w:evenVBand="0" w:oddHBand="0" w:evenHBand="0" w:firstRowFirstColumn="0" w:firstRowLastColumn="0" w:lastRowFirstColumn="0" w:lastRowLastColumn="0"/>
            </w:pPr>
            <w:r w:rsidRPr="004F1D15">
              <w:t>Bakong</w:t>
            </w:r>
          </w:p>
        </w:tc>
        <w:tc>
          <w:tcPr>
            <w:tcW w:w="4541" w:type="dxa"/>
          </w:tcPr>
          <w:p w14:paraId="6E34721E" w14:textId="7FE73733" w:rsidR="00392D65" w:rsidRPr="004F1D15" w:rsidRDefault="00392D65" w:rsidP="007664A3">
            <w:pPr>
              <w:cnfStyle w:val="000000000000" w:firstRow="0" w:lastRow="0" w:firstColumn="0" w:lastColumn="0" w:oddVBand="0" w:evenVBand="0" w:oddHBand="0" w:evenHBand="0" w:firstRowFirstColumn="0" w:firstRowLastColumn="0" w:lastRowFirstColumn="0" w:lastRowLastColumn="0"/>
            </w:pPr>
            <w:r w:rsidRPr="00392D65">
              <w:t xml:space="preserve">Hệ thống thanh toán và chuyển tiền dựa trên blockchain do Ngân hàng Quốc gia Campuchia triển khai. Hệ thống này </w:t>
            </w:r>
            <w:r w:rsidRPr="00392D65">
              <w:lastRenderedPageBreak/>
              <w:t>được thiết kế đặc biệt nhằm tạo điều kiện cho các khoản thanh toán và giao dịch số an toàn và hiệu quả trong Campuchia.</w:t>
            </w:r>
          </w:p>
        </w:tc>
      </w:tr>
      <w:tr w:rsidR="00E44EB7" w:rsidRPr="004F1D15" w14:paraId="75344EF5" w14:textId="77777777">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263" w:type="dxa"/>
          </w:tcPr>
          <w:p w14:paraId="534D6244" w14:textId="77777777" w:rsidR="00E44EB7" w:rsidRPr="004F1D15" w:rsidRDefault="00E44EB7" w:rsidP="007664A3">
            <w:r w:rsidRPr="004F1D15">
              <w:lastRenderedPageBreak/>
              <w:t>Indonesia</w:t>
            </w:r>
          </w:p>
        </w:tc>
        <w:tc>
          <w:tcPr>
            <w:tcW w:w="2694" w:type="dxa"/>
          </w:tcPr>
          <w:p w14:paraId="5ABFBE9E" w14:textId="77777777" w:rsidR="00E44EB7" w:rsidRPr="004F1D15" w:rsidRDefault="00E44EB7" w:rsidP="007664A3">
            <w:pPr>
              <w:cnfStyle w:val="000000100000" w:firstRow="0" w:lastRow="0" w:firstColumn="0" w:lastColumn="0" w:oddVBand="0" w:evenVBand="0" w:oddHBand="1" w:evenHBand="0" w:firstRowFirstColumn="0" w:firstRowLastColumn="0" w:lastRowFirstColumn="0" w:lastRowLastColumn="0"/>
            </w:pPr>
            <w:r w:rsidRPr="004F1D15">
              <w:t>Asosiasi Blockchain Indonesia</w:t>
            </w:r>
          </w:p>
        </w:tc>
        <w:tc>
          <w:tcPr>
            <w:tcW w:w="4541" w:type="dxa"/>
          </w:tcPr>
          <w:p w14:paraId="09008D2B" w14:textId="7B68C6CE" w:rsidR="00392D65" w:rsidRPr="004F1D15" w:rsidRDefault="00392D65" w:rsidP="007664A3">
            <w:pPr>
              <w:cnfStyle w:val="000000100000" w:firstRow="0" w:lastRow="0" w:firstColumn="0" w:lastColumn="0" w:oddVBand="0" w:evenVBand="0" w:oddHBand="1" w:evenHBand="0" w:firstRowFirstColumn="0" w:firstRowLastColumn="0" w:lastRowFirstColumn="0" w:lastRowLastColumn="0"/>
            </w:pPr>
            <w:r w:rsidRPr="00392D65">
              <w:t>Hiệp hội Blockchain Indonesia là một tổ chức phi lợi nhuận được thành lập nhằm thúc đẩy việc áp dụng và phát triển công nghệ blockchain tại Indonesia. Sáng kiến này nhằm huy động và tổ chức các tác nhân công nghệ blockchain để tạo môi trường kinh doanh chất lượng.</w:t>
            </w:r>
          </w:p>
        </w:tc>
      </w:tr>
      <w:tr w:rsidR="00E44EB7" w:rsidRPr="004F1D15" w14:paraId="4EAA1F71" w14:textId="77777777">
        <w:trPr>
          <w:trHeight w:val="261"/>
          <w:jc w:val="center"/>
        </w:trPr>
        <w:tc>
          <w:tcPr>
            <w:cnfStyle w:val="001000000000" w:firstRow="0" w:lastRow="0" w:firstColumn="1" w:lastColumn="0" w:oddVBand="0" w:evenVBand="0" w:oddHBand="0" w:evenHBand="0" w:firstRowFirstColumn="0" w:firstRowLastColumn="0" w:lastRowFirstColumn="0" w:lastRowLastColumn="0"/>
            <w:tcW w:w="2263" w:type="dxa"/>
          </w:tcPr>
          <w:p w14:paraId="72C610E0" w14:textId="44C9C96F" w:rsidR="00E44EB7" w:rsidRPr="004F1D15" w:rsidRDefault="00E44EB7" w:rsidP="007664A3">
            <w:r w:rsidRPr="004F1D15">
              <w:t>L</w:t>
            </w:r>
            <w:r w:rsidR="00865F3D">
              <w:t>ào</w:t>
            </w:r>
          </w:p>
        </w:tc>
        <w:tc>
          <w:tcPr>
            <w:tcW w:w="2694" w:type="dxa"/>
          </w:tcPr>
          <w:p w14:paraId="33825597" w14:textId="304906B0" w:rsidR="00E44EB7" w:rsidRPr="004F1D15" w:rsidRDefault="00865F3D" w:rsidP="007664A3">
            <w:pPr>
              <w:cnfStyle w:val="000000000000" w:firstRow="0" w:lastRow="0" w:firstColumn="0" w:lastColumn="0" w:oddVBand="0" w:evenVBand="0" w:oddHBand="0" w:evenHBand="0" w:firstRowFirstColumn="0" w:firstRowLastColumn="0" w:lastRowFirstColumn="0" w:lastRowLastColumn="0"/>
            </w:pPr>
            <w:r>
              <w:t xml:space="preserve">Thử nghiệm Tiền </w:t>
            </w:r>
            <w:r w:rsidR="00616696">
              <w:t>số</w:t>
            </w:r>
          </w:p>
        </w:tc>
        <w:tc>
          <w:tcPr>
            <w:tcW w:w="4541" w:type="dxa"/>
          </w:tcPr>
          <w:p w14:paraId="2A1A5135" w14:textId="40986E13" w:rsidR="00E44EB7" w:rsidRPr="004F1D15" w:rsidRDefault="00865F3D" w:rsidP="007664A3">
            <w:pPr>
              <w:cnfStyle w:val="000000000000" w:firstRow="0" w:lastRow="0" w:firstColumn="0" w:lastColumn="0" w:oddVBand="0" w:evenVBand="0" w:oddHBand="0" w:evenHBand="0" w:firstRowFirstColumn="0" w:firstRowLastColumn="0" w:lastRowFirstColumn="0" w:lastRowLastColumn="0"/>
            </w:pPr>
            <w:r w:rsidRPr="00865F3D">
              <w:t>Năm 2021, Chính phủ Lào đã cho phép sáu công ty giao dịch và khai thác tiền điện tử.</w:t>
            </w:r>
          </w:p>
        </w:tc>
      </w:tr>
      <w:tr w:rsidR="00E44EB7" w:rsidRPr="004F1D15" w14:paraId="5F078727" w14:textId="77777777">
        <w:trPr>
          <w:cnfStyle w:val="000000100000" w:firstRow="0" w:lastRow="0" w:firstColumn="0" w:lastColumn="0" w:oddVBand="0" w:evenVBand="0" w:oddHBand="1" w:evenHBand="0" w:firstRowFirstColumn="0" w:firstRowLastColumn="0" w:lastRowFirstColumn="0" w:lastRowLastColumn="0"/>
          <w:trHeight w:val="699"/>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6F850CF0" w14:textId="77777777" w:rsidR="00E44EB7" w:rsidRPr="004F1D15" w:rsidRDefault="00E44EB7" w:rsidP="007664A3">
            <w:r w:rsidRPr="004F1D15">
              <w:t>Malaysia</w:t>
            </w:r>
          </w:p>
        </w:tc>
        <w:tc>
          <w:tcPr>
            <w:tcW w:w="2694" w:type="dxa"/>
          </w:tcPr>
          <w:p w14:paraId="5E4E39B0" w14:textId="2609EE0A" w:rsidR="00E44EB7" w:rsidRPr="004F1D15" w:rsidRDefault="00865F3D" w:rsidP="007664A3">
            <w:pPr>
              <w:cnfStyle w:val="000000100000" w:firstRow="0" w:lastRow="0" w:firstColumn="0" w:lastColumn="0" w:oddVBand="0" w:evenVBand="0" w:oddHBand="1" w:evenHBand="0" w:firstRowFirstColumn="0" w:firstRowLastColumn="0" w:lastRowFirstColumn="0" w:lastRowLastColumn="0"/>
            </w:pPr>
            <w:r>
              <w:t xml:space="preserve">Lộ trình Blockchain Quốc gia </w:t>
            </w:r>
            <w:r w:rsidR="00E44EB7" w:rsidRPr="004F1D15">
              <w:t>2021-2025</w:t>
            </w:r>
          </w:p>
          <w:p w14:paraId="7A08015B" w14:textId="77777777" w:rsidR="00E44EB7" w:rsidRPr="004F1D15" w:rsidRDefault="00E44EB7" w:rsidP="007664A3">
            <w:pPr>
              <w:cnfStyle w:val="000000100000" w:firstRow="0" w:lastRow="0" w:firstColumn="0" w:lastColumn="0" w:oddVBand="0" w:evenVBand="0" w:oddHBand="1" w:evenHBand="0" w:firstRowFirstColumn="0" w:firstRowLastColumn="0" w:lastRowFirstColumn="0" w:lastRowLastColumn="0"/>
            </w:pPr>
          </w:p>
        </w:tc>
        <w:tc>
          <w:tcPr>
            <w:tcW w:w="4541" w:type="dxa"/>
          </w:tcPr>
          <w:p w14:paraId="2028F9E5" w14:textId="0967E136" w:rsidR="00865F3D" w:rsidRPr="004F1D15" w:rsidRDefault="00865F3D" w:rsidP="007664A3">
            <w:pPr>
              <w:cnfStyle w:val="000000100000" w:firstRow="0" w:lastRow="0" w:firstColumn="0" w:lastColumn="0" w:oddVBand="0" w:evenVBand="0" w:oddHBand="1" w:evenHBand="0" w:firstRowFirstColumn="0" w:firstRowLastColumn="0" w:lastRowFirstColumn="0" w:lastRowLastColumn="0"/>
            </w:pPr>
            <w:r w:rsidRPr="00865F3D">
              <w:t>MOSTI đã phối hợp với nhiều bên liên quan, bao gồm ngành công nghiệp, học thuật, cơ quan chính phủ và các tổ chức phi chính phủ, để xây dựng Lộ trình Blockchain Quốc gia của Malaysia, nêu rõ các kế hoạch hành động nhằm áp dụng công nghệ blockchain.</w:t>
            </w:r>
          </w:p>
        </w:tc>
      </w:tr>
      <w:tr w:rsidR="00E44EB7" w:rsidRPr="004F1D15" w14:paraId="7359DEB8" w14:textId="77777777">
        <w:trPr>
          <w:trHeight w:val="476"/>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3ED8CF84" w14:textId="77777777" w:rsidR="00E44EB7" w:rsidRPr="004F1D15" w:rsidRDefault="00E44EB7" w:rsidP="007664A3"/>
        </w:tc>
        <w:tc>
          <w:tcPr>
            <w:tcW w:w="2694" w:type="dxa"/>
          </w:tcPr>
          <w:p w14:paraId="1E9DC775" w14:textId="0EE0E9DB" w:rsidR="006009CC" w:rsidRPr="004F1D15" w:rsidRDefault="006009CC" w:rsidP="007664A3">
            <w:pPr>
              <w:cnfStyle w:val="000000000000" w:firstRow="0" w:lastRow="0" w:firstColumn="0" w:lastColumn="0" w:oddVBand="0" w:evenVBand="0" w:oddHBand="0" w:evenHBand="0" w:firstRowFirstColumn="0" w:firstRowLastColumn="0" w:lastRowFirstColumn="0" w:lastRowLastColumn="0"/>
            </w:pPr>
            <w:r>
              <w:t>Nhóm Công nghiệp – Chính phủ về Công nghệ Cao (MIGHT)</w:t>
            </w:r>
          </w:p>
        </w:tc>
        <w:tc>
          <w:tcPr>
            <w:tcW w:w="4541" w:type="dxa"/>
          </w:tcPr>
          <w:p w14:paraId="25F99871" w14:textId="4C7D76D7" w:rsidR="004032D1" w:rsidRPr="004F1D15" w:rsidRDefault="004032D1" w:rsidP="007664A3">
            <w:pPr>
              <w:cnfStyle w:val="000000000000" w:firstRow="0" w:lastRow="0" w:firstColumn="0" w:lastColumn="0" w:oddVBand="0" w:evenVBand="0" w:oddHBand="0" w:evenHBand="0" w:firstRowFirstColumn="0" w:firstRowLastColumn="0" w:lastRowFirstColumn="0" w:lastRowLastColumn="0"/>
            </w:pPr>
            <w:r w:rsidRPr="004032D1">
              <w:t>Malaysia sử dụng blockchain để cải thiện lĩnh vực tài chính Hồi giáo, năng lượng tái tạo và ngành dầu cọ.</w:t>
            </w:r>
          </w:p>
        </w:tc>
      </w:tr>
      <w:tr w:rsidR="00E44EB7" w:rsidRPr="004F1D15" w14:paraId="73A44355" w14:textId="77777777">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2263" w:type="dxa"/>
          </w:tcPr>
          <w:p w14:paraId="59C23779" w14:textId="77777777" w:rsidR="00E44EB7" w:rsidRPr="004F1D15" w:rsidRDefault="00E44EB7" w:rsidP="007664A3">
            <w:r w:rsidRPr="004F1D15">
              <w:t>Myanmar</w:t>
            </w:r>
          </w:p>
        </w:tc>
        <w:tc>
          <w:tcPr>
            <w:tcW w:w="7235" w:type="dxa"/>
            <w:gridSpan w:val="2"/>
          </w:tcPr>
          <w:p w14:paraId="0AD6F5E7" w14:textId="16640023" w:rsidR="004032D1" w:rsidRPr="004F1D15" w:rsidRDefault="004032D1" w:rsidP="007664A3">
            <w:pPr>
              <w:cnfStyle w:val="000000100000" w:firstRow="0" w:lastRow="0" w:firstColumn="0" w:lastColumn="0" w:oddVBand="0" w:evenVBand="0" w:oddHBand="1" w:evenHBand="0" w:firstRowFirstColumn="0" w:firstRowLastColumn="0" w:lastRowFirstColumn="0" w:lastRowLastColumn="0"/>
            </w:pPr>
            <w:r w:rsidRPr="004032D1">
              <w:t>Năm 2019, Ngân hàng Trung ương Myanmar chính thức phê duyệt việc áp dụng công nghệ blockchain cho hệ thống thanh toán quốc gia. Tuy nhiên, tiến triển trong các phát triển mới bị cản trở bởi các sự kiện chính trị.</w:t>
            </w:r>
          </w:p>
        </w:tc>
      </w:tr>
      <w:tr w:rsidR="00E44EB7" w:rsidRPr="004F1D15" w14:paraId="57C266BF" w14:textId="77777777">
        <w:trPr>
          <w:trHeight w:val="446"/>
          <w:jc w:val="center"/>
        </w:trPr>
        <w:tc>
          <w:tcPr>
            <w:cnfStyle w:val="001000000000" w:firstRow="0" w:lastRow="0" w:firstColumn="1" w:lastColumn="0" w:oddVBand="0" w:evenVBand="0" w:oddHBand="0" w:evenHBand="0" w:firstRowFirstColumn="0" w:firstRowLastColumn="0" w:lastRowFirstColumn="0" w:lastRowLastColumn="0"/>
            <w:tcW w:w="2263" w:type="dxa"/>
          </w:tcPr>
          <w:p w14:paraId="7FB7F85B" w14:textId="77777777" w:rsidR="00E44EB7" w:rsidRPr="004F1D15" w:rsidRDefault="00E44EB7" w:rsidP="007664A3">
            <w:r w:rsidRPr="004F1D15">
              <w:t>Philippines</w:t>
            </w:r>
          </w:p>
        </w:tc>
        <w:tc>
          <w:tcPr>
            <w:tcW w:w="2694" w:type="dxa"/>
          </w:tcPr>
          <w:p w14:paraId="4FBFAB3A" w14:textId="60F77B30" w:rsidR="00E44EB7" w:rsidRPr="004F1D15" w:rsidRDefault="004032D1" w:rsidP="007664A3">
            <w:pPr>
              <w:cnfStyle w:val="000000000000" w:firstRow="0" w:lastRow="0" w:firstColumn="0" w:lastColumn="0" w:oddVBand="0" w:evenVBand="0" w:oddHBand="0" w:evenHBand="0" w:firstRowFirstColumn="0" w:firstRowLastColumn="0" w:lastRowFirstColumn="0" w:lastRowLastColumn="0"/>
            </w:pPr>
            <w:r>
              <w:t>Trái phiếu Token hóa</w:t>
            </w:r>
          </w:p>
        </w:tc>
        <w:tc>
          <w:tcPr>
            <w:tcW w:w="4541" w:type="dxa"/>
          </w:tcPr>
          <w:p w14:paraId="0718A6C4" w14:textId="2DE6070A" w:rsidR="00E44EB7" w:rsidRPr="004F1D15" w:rsidRDefault="004032D1" w:rsidP="007664A3">
            <w:pPr>
              <w:cnfStyle w:val="000000000000" w:firstRow="0" w:lastRow="0" w:firstColumn="0" w:lastColumn="0" w:oddVBand="0" w:evenVBand="0" w:oddHBand="0" w:evenHBand="0" w:firstRowFirstColumn="0" w:firstRowLastColumn="0" w:lastRowFirstColumn="0" w:lastRowLastColumn="0"/>
            </w:pPr>
            <w:r>
              <w:t>Sử dụng công nghệ blockchain để phân phối trái phiếu chính phủ.</w:t>
            </w:r>
          </w:p>
        </w:tc>
      </w:tr>
      <w:tr w:rsidR="00E44EB7" w:rsidRPr="004F1D15" w14:paraId="508F63A4" w14:textId="77777777">
        <w:trPr>
          <w:cnfStyle w:val="000000100000" w:firstRow="0" w:lastRow="0" w:firstColumn="0" w:lastColumn="0" w:oddVBand="0" w:evenVBand="0" w:oddHBand="1" w:evenHBand="0" w:firstRowFirstColumn="0" w:firstRowLastColumn="0" w:lastRowFirstColumn="0" w:lastRowLastColumn="0"/>
          <w:trHeight w:val="428"/>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57EC9A68" w14:textId="77777777" w:rsidR="00E44EB7" w:rsidRPr="004F1D15" w:rsidRDefault="00E44EB7" w:rsidP="007664A3">
            <w:r w:rsidRPr="004F1D15">
              <w:t>Singapore</w:t>
            </w:r>
          </w:p>
        </w:tc>
        <w:tc>
          <w:tcPr>
            <w:tcW w:w="2694" w:type="dxa"/>
          </w:tcPr>
          <w:p w14:paraId="2AEC6CA3" w14:textId="0EDB438B" w:rsidR="00E44EB7" w:rsidRPr="004F1D15" w:rsidRDefault="004032D1" w:rsidP="007664A3">
            <w:pPr>
              <w:cnfStyle w:val="000000100000" w:firstRow="0" w:lastRow="0" w:firstColumn="0" w:lastColumn="0" w:oddVBand="0" w:evenVBand="0" w:oddHBand="1" w:evenHBand="0" w:firstRowFirstColumn="0" w:firstRowLastColumn="0" w:lastRowFirstColumn="0" w:lastRowLastColumn="0"/>
            </w:pPr>
            <w:r>
              <w:t>Chương trình Đổi mới Blockchain Singapore</w:t>
            </w:r>
            <w:r w:rsidR="00E44EB7" w:rsidRPr="004F1D15">
              <w:t xml:space="preserve"> (SBIP)</w:t>
            </w:r>
          </w:p>
        </w:tc>
        <w:tc>
          <w:tcPr>
            <w:tcW w:w="4541" w:type="dxa"/>
          </w:tcPr>
          <w:p w14:paraId="4B106F6C" w14:textId="563AA55B" w:rsidR="00255967" w:rsidRPr="004F1D15" w:rsidRDefault="00255967" w:rsidP="007664A3">
            <w:pPr>
              <w:cnfStyle w:val="000000100000" w:firstRow="0" w:lastRow="0" w:firstColumn="0" w:lastColumn="0" w:oddVBand="0" w:evenVBand="0" w:oddHBand="1" w:evenHBand="0" w:firstRowFirstColumn="0" w:firstRowLastColumn="0" w:lastRowFirstColumn="0" w:lastRowLastColumn="0"/>
              <w:rPr>
                <w:rFonts w:eastAsia="Times New Roman"/>
              </w:rPr>
            </w:pPr>
            <w:r w:rsidRPr="00255967">
              <w:rPr>
                <w:rFonts w:eastAsia="Times New Roman"/>
              </w:rPr>
              <w:t>Sáng kiến do chính phủ dẫn dắt nhằm thúc đẩy và tăng tốc việc áp dụng công nghệ blockchain trong nhiều ngành công nghiệp tại Singapore. Nỗ lực hợp tác này có sự tham gia của Enterprise Singapore, IMDA và Quỹ Nghiên cứu Quốc gia (NRF) Singapore.</w:t>
            </w:r>
          </w:p>
        </w:tc>
      </w:tr>
      <w:tr w:rsidR="00E44EB7" w:rsidRPr="004F1D15" w14:paraId="04BF177C" w14:textId="77777777">
        <w:trPr>
          <w:trHeight w:val="428"/>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27EE6984" w14:textId="77777777" w:rsidR="00E44EB7" w:rsidRPr="004F1D15" w:rsidRDefault="00E44EB7" w:rsidP="007664A3"/>
        </w:tc>
        <w:tc>
          <w:tcPr>
            <w:tcW w:w="2694" w:type="dxa"/>
          </w:tcPr>
          <w:p w14:paraId="0052A5C1" w14:textId="32A2266D" w:rsidR="00E44EB7" w:rsidRPr="004F1D15" w:rsidRDefault="00255967" w:rsidP="007664A3">
            <w:pPr>
              <w:cnfStyle w:val="000000000000" w:firstRow="0" w:lastRow="0" w:firstColumn="0" w:lastColumn="0" w:oddVBand="0" w:evenVBand="0" w:oddHBand="0" w:evenHBand="0" w:firstRowFirstColumn="0" w:firstRowLastColumn="0" w:lastRowFirstColumn="0" w:lastRowLastColumn="0"/>
            </w:pPr>
            <w:r>
              <w:t>Dự án</w:t>
            </w:r>
            <w:r w:rsidR="00E44EB7" w:rsidRPr="004F1D15">
              <w:t xml:space="preserve"> Ubin</w:t>
            </w:r>
          </w:p>
        </w:tc>
        <w:tc>
          <w:tcPr>
            <w:tcW w:w="4541" w:type="dxa"/>
          </w:tcPr>
          <w:p w14:paraId="7DAD8472" w14:textId="271C61AB" w:rsidR="00255967" w:rsidRPr="004F1D15" w:rsidRDefault="00255967" w:rsidP="007664A3">
            <w:pPr>
              <w:cnfStyle w:val="000000000000" w:firstRow="0" w:lastRow="0" w:firstColumn="0" w:lastColumn="0" w:oddVBand="0" w:evenVBand="0" w:oddHBand="0" w:evenHBand="0" w:firstRowFirstColumn="0" w:firstRowLastColumn="0" w:lastRowFirstColumn="0" w:lastRowLastColumn="0"/>
            </w:pPr>
            <w:r w:rsidRPr="00255967">
              <w:t>Sáng kiến do Cơ quan Tiền tệ Singapore (MAS) dẫn đầu nhằm nghiên cứu việc ứng dụng công nghệ blockchain cho thanh toán và chứng khoán.</w:t>
            </w:r>
          </w:p>
        </w:tc>
      </w:tr>
      <w:tr w:rsidR="00E44EB7" w:rsidRPr="004F1D15" w14:paraId="736184E2" w14:textId="77777777">
        <w:trPr>
          <w:cnfStyle w:val="000000100000" w:firstRow="0" w:lastRow="0" w:firstColumn="0" w:lastColumn="0" w:oddVBand="0" w:evenVBand="0" w:oddHBand="1" w:evenHBand="0" w:firstRowFirstColumn="0" w:firstRowLastColumn="0" w:lastRowFirstColumn="0" w:lastRowLastColumn="0"/>
          <w:trHeight w:val="562"/>
          <w:jc w:val="center"/>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31F49A88" w14:textId="48C90995" w:rsidR="00E44EB7" w:rsidRPr="004F1D15" w:rsidRDefault="00E44EB7" w:rsidP="007664A3">
            <w:r w:rsidRPr="004F1D15">
              <w:lastRenderedPageBreak/>
              <w:t>Th</w:t>
            </w:r>
            <w:r w:rsidR="00255967">
              <w:t>ái Lan</w:t>
            </w:r>
          </w:p>
        </w:tc>
        <w:tc>
          <w:tcPr>
            <w:tcW w:w="2694" w:type="dxa"/>
          </w:tcPr>
          <w:p w14:paraId="0FD92CE0" w14:textId="4179C34C" w:rsidR="00E44EB7" w:rsidRPr="004F1D15" w:rsidRDefault="00255967" w:rsidP="007664A3">
            <w:pPr>
              <w:cnfStyle w:val="000000100000" w:firstRow="0" w:lastRow="0" w:firstColumn="0" w:lastColumn="0" w:oddVBand="0" w:evenVBand="0" w:oddHBand="1" w:evenHBand="0" w:firstRowFirstColumn="0" w:firstRowLastColumn="0" w:lastRowFirstColumn="0" w:lastRowLastColumn="0"/>
            </w:pPr>
            <w:r>
              <w:t>Sáng kiến Cộng đồng Blockchain Thái Lan</w:t>
            </w:r>
            <w:r w:rsidR="00E44EB7" w:rsidRPr="004F1D15">
              <w:t xml:space="preserve"> (BCI)</w:t>
            </w:r>
          </w:p>
        </w:tc>
        <w:tc>
          <w:tcPr>
            <w:tcW w:w="4541" w:type="dxa"/>
          </w:tcPr>
          <w:p w14:paraId="199B3C35" w14:textId="7CF92701" w:rsidR="00255967" w:rsidRPr="004F1D15" w:rsidRDefault="00255967" w:rsidP="007664A3">
            <w:pPr>
              <w:cnfStyle w:val="000000100000" w:firstRow="0" w:lastRow="0" w:firstColumn="0" w:lastColumn="0" w:oddVBand="0" w:evenVBand="0" w:oddHBand="1" w:evenHBand="0" w:firstRowFirstColumn="0" w:firstRowLastColumn="0" w:lastRowFirstColumn="0" w:lastRowLastColumn="0"/>
            </w:pPr>
            <w:r w:rsidRPr="00255967">
              <w:t>Dự án hợp tác giữa các ngân hàng và công ty dưới sự giám sát của Ngân hàng Thái Lan, với mục tiêu chính là ứng dụng công nghệ blockchain trong ngành tài chính Thái Lan.</w:t>
            </w:r>
          </w:p>
        </w:tc>
      </w:tr>
      <w:tr w:rsidR="00E44EB7" w:rsidRPr="004F1D15" w14:paraId="5C7BBBB0" w14:textId="77777777">
        <w:trPr>
          <w:trHeight w:val="50"/>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7F33C4D0" w14:textId="77777777" w:rsidR="00E44EB7" w:rsidRPr="004F1D15" w:rsidRDefault="00E44EB7" w:rsidP="007664A3"/>
        </w:tc>
        <w:tc>
          <w:tcPr>
            <w:tcW w:w="2694" w:type="dxa"/>
          </w:tcPr>
          <w:p w14:paraId="0012635E" w14:textId="17567276" w:rsidR="00E44EB7" w:rsidRPr="004F1D15" w:rsidRDefault="00DB72F8" w:rsidP="007664A3">
            <w:pPr>
              <w:cnfStyle w:val="000000000000" w:firstRow="0" w:lastRow="0" w:firstColumn="0" w:lastColumn="0" w:oddVBand="0" w:evenVBand="0" w:oddHBand="0" w:evenHBand="0" w:firstRowFirstColumn="0" w:firstRowLastColumn="0" w:lastRowFirstColumn="0" w:lastRowLastColumn="0"/>
            </w:pPr>
            <w:r>
              <w:t xml:space="preserve">Luật Tài sản </w:t>
            </w:r>
            <w:r w:rsidR="00616696">
              <w:t>Số</w:t>
            </w:r>
            <w:r>
              <w:t xml:space="preserve"> </w:t>
            </w:r>
          </w:p>
          <w:p w14:paraId="5C7AADBE" w14:textId="77777777" w:rsidR="00E44EB7" w:rsidRPr="004F1D15" w:rsidRDefault="00E44EB7" w:rsidP="007664A3">
            <w:pPr>
              <w:cnfStyle w:val="000000000000" w:firstRow="0" w:lastRow="0" w:firstColumn="0" w:lastColumn="0" w:oddVBand="0" w:evenVBand="0" w:oddHBand="0" w:evenHBand="0" w:firstRowFirstColumn="0" w:firstRowLastColumn="0" w:lastRowFirstColumn="0" w:lastRowLastColumn="0"/>
            </w:pPr>
          </w:p>
        </w:tc>
        <w:tc>
          <w:tcPr>
            <w:tcW w:w="4541" w:type="dxa"/>
          </w:tcPr>
          <w:p w14:paraId="69682C63" w14:textId="60381FB6" w:rsidR="00DB72F8" w:rsidRPr="00DB72F8" w:rsidRDefault="00DB72F8" w:rsidP="007664A3">
            <w:pPr>
              <w:cnfStyle w:val="000000000000" w:firstRow="0" w:lastRow="0" w:firstColumn="0" w:lastColumn="0" w:oddVBand="0" w:evenVBand="0" w:oddHBand="0" w:evenHBand="0" w:firstRowFirstColumn="0" w:firstRowLastColumn="0" w:lastRowFirstColumn="0" w:lastRowLastColumn="0"/>
              <w:rPr>
                <w:bCs/>
              </w:rPr>
            </w:pPr>
            <w:r w:rsidRPr="00DB72F8">
              <w:rPr>
                <w:bCs/>
              </w:rPr>
              <w:t xml:space="preserve">Luật Tài sản </w:t>
            </w:r>
            <w:r w:rsidR="00616696">
              <w:rPr>
                <w:bCs/>
              </w:rPr>
              <w:t>Số</w:t>
            </w:r>
            <w:r w:rsidRPr="00DB72F8">
              <w:rPr>
                <w:bCs/>
              </w:rPr>
              <w:t xml:space="preserve">, còn được gọi là Nghị định Kinh doanh Tài sản </w:t>
            </w:r>
            <w:r w:rsidR="00616696">
              <w:rPr>
                <w:bCs/>
              </w:rPr>
              <w:t>Số</w:t>
            </w:r>
            <w:r w:rsidRPr="00DB72F8">
              <w:rPr>
                <w:bCs/>
              </w:rPr>
              <w:t xml:space="preserve">, là khung pháp lý do chính phủ Thái Lan thực hiện nhằm giám sát các hoạt động liên quan đến tài sản </w:t>
            </w:r>
            <w:r w:rsidR="00616696">
              <w:rPr>
                <w:bCs/>
              </w:rPr>
              <w:t>số</w:t>
            </w:r>
            <w:r w:rsidRPr="00DB72F8">
              <w:rPr>
                <w:bCs/>
              </w:rPr>
              <w:t xml:space="preserve"> trong nước.</w:t>
            </w:r>
          </w:p>
        </w:tc>
      </w:tr>
      <w:tr w:rsidR="00E44EB7" w:rsidRPr="004F1D15" w14:paraId="115DCE1C" w14:textId="77777777">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2263" w:type="dxa"/>
            <w:vMerge/>
          </w:tcPr>
          <w:p w14:paraId="11DC3418" w14:textId="77777777" w:rsidR="00E44EB7" w:rsidRPr="004F1D15" w:rsidRDefault="00E44EB7" w:rsidP="007664A3"/>
        </w:tc>
        <w:tc>
          <w:tcPr>
            <w:tcW w:w="2694" w:type="dxa"/>
          </w:tcPr>
          <w:p w14:paraId="47C73870" w14:textId="3E5BA305" w:rsidR="00E44EB7" w:rsidRPr="004F1D15" w:rsidRDefault="00DB72F8" w:rsidP="007664A3">
            <w:pPr>
              <w:cnfStyle w:val="000000100000" w:firstRow="0" w:lastRow="0" w:firstColumn="0" w:lastColumn="0" w:oddVBand="0" w:evenVBand="0" w:oddHBand="1" w:evenHBand="0" w:firstRowFirstColumn="0" w:firstRowLastColumn="0" w:lastRowFirstColumn="0" w:lastRowLastColumn="0"/>
            </w:pPr>
            <w:r>
              <w:t xml:space="preserve">Dự án </w:t>
            </w:r>
            <w:r w:rsidR="00E44EB7" w:rsidRPr="004F1D15">
              <w:t>Inthanon</w:t>
            </w:r>
          </w:p>
        </w:tc>
        <w:tc>
          <w:tcPr>
            <w:tcW w:w="4541" w:type="dxa"/>
          </w:tcPr>
          <w:p w14:paraId="40CCF19C" w14:textId="5F88F7F1" w:rsidR="00DB72F8" w:rsidRPr="004F1D15" w:rsidRDefault="00DB72F8" w:rsidP="007664A3">
            <w:pPr>
              <w:cnfStyle w:val="000000100000" w:firstRow="0" w:lastRow="0" w:firstColumn="0" w:lastColumn="0" w:oddVBand="0" w:evenVBand="0" w:oddHBand="1" w:evenHBand="0" w:firstRowFirstColumn="0" w:firstRowLastColumn="0" w:lastRowFirstColumn="0" w:lastRowLastColumn="0"/>
            </w:pPr>
            <w:r w:rsidRPr="00DB72F8">
              <w:t>Sáng kiến chung giữa Ngân hàng Thái Lan (BOT) và Cơ quan Tiền tệ Hồng Kông (HKMA) để nghiên cứu ứng dụng Công nghệ Sổ cái Phân tán (DLT) nhằm nâng cao hiệu quả trong việc chuyển tiền xuyên biên giới.</w:t>
            </w:r>
          </w:p>
        </w:tc>
      </w:tr>
      <w:tr w:rsidR="00E44EB7" w:rsidRPr="004F1D15" w14:paraId="4A53EE1E" w14:textId="77777777">
        <w:trPr>
          <w:trHeight w:val="343"/>
          <w:jc w:val="center"/>
        </w:trPr>
        <w:tc>
          <w:tcPr>
            <w:cnfStyle w:val="001000000000" w:firstRow="0" w:lastRow="0" w:firstColumn="1" w:lastColumn="0" w:oddVBand="0" w:evenVBand="0" w:oddHBand="0" w:evenHBand="0" w:firstRowFirstColumn="0" w:firstRowLastColumn="0" w:lastRowFirstColumn="0" w:lastRowLastColumn="0"/>
            <w:tcW w:w="2263" w:type="dxa"/>
          </w:tcPr>
          <w:p w14:paraId="56B8B2E1" w14:textId="40385A47" w:rsidR="00E44EB7" w:rsidRPr="004F1D15" w:rsidRDefault="00E44EB7" w:rsidP="007664A3">
            <w:r w:rsidRPr="004F1D15">
              <w:t>Vi</w:t>
            </w:r>
            <w:r w:rsidR="00DB72F8">
              <w:t>ệt Nam</w:t>
            </w:r>
          </w:p>
        </w:tc>
        <w:tc>
          <w:tcPr>
            <w:tcW w:w="2694" w:type="dxa"/>
          </w:tcPr>
          <w:p w14:paraId="06B3501D" w14:textId="26ECB7AD" w:rsidR="00E44EB7" w:rsidRPr="004F1D15" w:rsidRDefault="00DB72F8" w:rsidP="007664A3">
            <w:pPr>
              <w:cnfStyle w:val="000000000000" w:firstRow="0" w:lastRow="0" w:firstColumn="0" w:lastColumn="0" w:oddVBand="0" w:evenVBand="0" w:oddHBand="0" w:evenHBand="0" w:firstRowFirstColumn="0" w:firstRowLastColumn="0" w:lastRowFirstColumn="0" w:lastRowLastColumn="0"/>
            </w:pPr>
            <w:r>
              <w:t xml:space="preserve">Thành phố thông minh </w:t>
            </w:r>
            <w:r w:rsidR="00E44EB7" w:rsidRPr="004F1D15">
              <w:t xml:space="preserve"> </w:t>
            </w:r>
          </w:p>
        </w:tc>
        <w:tc>
          <w:tcPr>
            <w:tcW w:w="4541" w:type="dxa"/>
          </w:tcPr>
          <w:p w14:paraId="28150B01" w14:textId="511B7126" w:rsidR="00DB72F8" w:rsidRPr="004F1D15" w:rsidRDefault="00DB72F8" w:rsidP="007664A3">
            <w:pPr>
              <w:cnfStyle w:val="000000000000" w:firstRow="0" w:lastRow="0" w:firstColumn="0" w:lastColumn="0" w:oddVBand="0" w:evenVBand="0" w:oddHBand="0" w:evenHBand="0" w:firstRowFirstColumn="0" w:firstRowLastColumn="0" w:lastRowFirstColumn="0" w:lastRowLastColumn="0"/>
            </w:pPr>
            <w:r w:rsidRPr="00DB72F8">
              <w:t>Thành phố Hồ Chí Minh triển khai cơ sở hạ tầng blockchain để hỗ trợ chuyển đổi thành thành phố thông minh.</w:t>
            </w:r>
          </w:p>
        </w:tc>
      </w:tr>
    </w:tbl>
    <w:p w14:paraId="10E2DD0D" w14:textId="1FCF515F" w:rsidR="00E44EB7" w:rsidRPr="00910830" w:rsidRDefault="007677A4" w:rsidP="00F820B7">
      <w:pPr>
        <w:jc w:val="left"/>
        <w:rPr>
          <w:rStyle w:val="Hyperlink"/>
          <w:rFonts w:eastAsia="Quattrocento Sans"/>
          <w:i/>
          <w:color w:val="auto"/>
          <w:sz w:val="20"/>
          <w:szCs w:val="20"/>
        </w:rPr>
      </w:pPr>
      <w:r>
        <w:rPr>
          <w:i/>
          <w:sz w:val="20"/>
          <w:szCs w:val="20"/>
        </w:rPr>
        <w:t>Nguồn</w:t>
      </w:r>
      <w:r w:rsidR="00E44EB7" w:rsidRPr="004F1D15">
        <w:rPr>
          <w:i/>
          <w:sz w:val="20"/>
          <w:szCs w:val="20"/>
        </w:rPr>
        <w:t xml:space="preserve">: ASEAN (2022) </w:t>
      </w:r>
      <w:r w:rsidR="00C36990">
        <w:rPr>
          <w:i/>
          <w:sz w:val="20"/>
          <w:szCs w:val="20"/>
        </w:rPr>
        <w:t>Chuỗi khối cho Chính phủ số</w:t>
      </w:r>
      <w:r w:rsidR="00E44EB7" w:rsidRPr="004F1D15">
        <w:rPr>
          <w:i/>
          <w:sz w:val="20"/>
          <w:szCs w:val="20"/>
        </w:rPr>
        <w:t xml:space="preserve">, </w:t>
      </w:r>
      <w:hyperlink r:id="rId21" w:history="1">
        <w:r w:rsidR="00E44EB7" w:rsidRPr="00910830">
          <w:rPr>
            <w:rStyle w:val="Hyperlink"/>
            <w:rFonts w:eastAsia="Quattrocento Sans"/>
            <w:i/>
            <w:color w:val="auto"/>
            <w:sz w:val="20"/>
            <w:szCs w:val="20"/>
          </w:rPr>
          <w:t>https://asean.org/wp-content/uploads/2022/02/02-Final-_-Report-Blockchain-for-digital-government.pdf</w:t>
        </w:r>
      </w:hyperlink>
      <w:r w:rsidR="00E44EB7" w:rsidRPr="004F1D15">
        <w:rPr>
          <w:i/>
          <w:sz w:val="20"/>
          <w:szCs w:val="20"/>
        </w:rPr>
        <w:t xml:space="preserve">; </w:t>
      </w:r>
      <w:r w:rsidR="00FB3020" w:rsidRPr="004F1D15">
        <w:rPr>
          <w:i/>
          <w:sz w:val="20"/>
          <w:szCs w:val="20"/>
        </w:rPr>
        <w:t xml:space="preserve">Asia and the Global Economy (2022) </w:t>
      </w:r>
      <w:r w:rsidR="00C36990">
        <w:rPr>
          <w:i/>
          <w:sz w:val="20"/>
          <w:szCs w:val="20"/>
        </w:rPr>
        <w:t>Lộ trình chuỗi khối ASEAN</w:t>
      </w:r>
      <w:r w:rsidR="00E44EB7" w:rsidRPr="004F1D15">
        <w:rPr>
          <w:i/>
          <w:sz w:val="20"/>
          <w:szCs w:val="20"/>
        </w:rPr>
        <w:t xml:space="preserve">, </w:t>
      </w:r>
      <w:hyperlink r:id="rId22" w:history="1">
        <w:r w:rsidR="00E44EB7" w:rsidRPr="00910830">
          <w:rPr>
            <w:rStyle w:val="Hyperlink"/>
            <w:rFonts w:eastAsia="Quattrocento Sans"/>
            <w:i/>
            <w:color w:val="auto"/>
            <w:sz w:val="20"/>
            <w:szCs w:val="20"/>
          </w:rPr>
          <w:t>https://www.sciencedirect.com/science/article/pii/S266711152200024X</w:t>
        </w:r>
      </w:hyperlink>
    </w:p>
    <w:p w14:paraId="62CFC589" w14:textId="710A0027" w:rsidR="00CF4D44" w:rsidRPr="00516087" w:rsidRDefault="00CF4D44" w:rsidP="00EE084A">
      <w:r w:rsidRPr="00CF4D44">
        <w:t>Ngoài ASEAN, các quốc gia và khu vực khác cũng đang nỗ lực tạo điều kiện thuận lợi cho việc áp dụng công nghệ blockchain. Năm 2019, Ủy ban Châu Âu (European Commission) đã giới thiệu Chiến lược Blockchain của mình nhằm thúc đẩy một hệ sinh thái blockchain mạnh mẽ tại châu Âu. Chiến lược này dựa trên năm nguyên tắc then chốt: (1) khả năng tương tác, (2) bảo vệ dữ liệu, (3) an ninh mạng, (4) nhận dạng số, và (5) phát triển bền vững về môi trường</w:t>
      </w:r>
      <w:r w:rsidRPr="00516087">
        <w:rPr>
          <w:rStyle w:val="FootnoteReference"/>
        </w:rPr>
        <w:footnoteReference w:id="298"/>
      </w:r>
      <w:r w:rsidRPr="00CF4D44">
        <w:t>. Nó bao gồm một số sáng kiến nhằm phát triển và hài hòa các khuôn khổ chính sách và pháp lý để hỗ trợ sự phát triển của blockchain.</w:t>
      </w:r>
    </w:p>
    <w:p w14:paraId="6844298E" w14:textId="499FAB89" w:rsidR="00CF4D44" w:rsidRPr="008E0DFD" w:rsidRDefault="00CF4D44" w:rsidP="00A2160A">
      <w:pPr>
        <w:rPr>
          <w:rFonts w:eastAsia="Quattrocento Sans"/>
          <w:lang w:eastAsia="zh-CN"/>
        </w:rPr>
      </w:pPr>
      <w:r w:rsidRPr="00CF4D44">
        <w:rPr>
          <w:rFonts w:eastAsia="Quattrocento Sans"/>
          <w:lang w:eastAsia="zh-CN"/>
        </w:rPr>
        <w:t>Ví dụ, Ủy ban Châu Âu thúc đẩy khả năng tương tác và tiêu chuẩn thông qua việc tham gia vào các hoạt động của ISO TC 307, Nhóm Chuyên môn Ngành về Sổ cái Phân tán Có Quyền (ETSI ISG PDL) của Viện Tiêu chuẩn Viễn thông Châu Âu, Ủy ban Tiêu chuẩn Châu Âu và Ủy ban Tiêu chuẩn Điện kỹ thuật Châu Âu thông qua Ủy ban Kỹ thuật Chung 19 (CEN-CENELEC JTC19), Viện Kỹ sư Điện và Điện tử (IEEE), và Liên minh Viễn thông Quốc tế – Ban Tiêu chuẩn hóa Viễn thông (ITU-T)</w:t>
      </w:r>
      <w:r w:rsidRPr="00516087">
        <w:rPr>
          <w:rStyle w:val="FootnoteReference"/>
        </w:rPr>
        <w:footnoteReference w:id="299"/>
      </w:r>
      <w:r w:rsidRPr="00CF4D44">
        <w:rPr>
          <w:rFonts w:eastAsia="Quattrocento Sans"/>
          <w:lang w:eastAsia="zh-CN"/>
        </w:rPr>
        <w:t>. Ngoài ra, để ngăn ngừa sự phân mảnh về pháp lý và quy định, Ủy ban đã đề xuất các quy định cho tài sản tiền điện tử, cập nhật các quy định chống rửa tiền cho tài sản tiền điện tử</w:t>
      </w:r>
      <w:r w:rsidRPr="00516087">
        <w:rPr>
          <w:rStyle w:val="FootnoteReference"/>
        </w:rPr>
        <w:footnoteReference w:id="300"/>
      </w:r>
      <w:r w:rsidRPr="00CF4D44">
        <w:rPr>
          <w:rFonts w:eastAsia="Quattrocento Sans"/>
          <w:lang w:eastAsia="zh-CN"/>
        </w:rPr>
        <w:t xml:space="preserve">, và thành lập Vùng Thử </w:t>
      </w:r>
      <w:r w:rsidRPr="00CF4D44">
        <w:rPr>
          <w:rFonts w:eastAsia="Quattrocento Sans"/>
          <w:lang w:eastAsia="zh-CN"/>
        </w:rPr>
        <w:lastRenderedPageBreak/>
        <w:t>nghiệm Quy định Blockchain Châu Âu (European Blockchain Regulatory Sandbox) nhằm tăng tính chắc chắn về pháp lý cho các giải pháp blockchain tại châu Âu</w:t>
      </w:r>
      <w:r w:rsidRPr="00516087">
        <w:rPr>
          <w:rStyle w:val="FootnoteReference"/>
        </w:rPr>
        <w:footnoteReference w:id="301"/>
      </w:r>
      <w:r w:rsidRPr="00CF4D44">
        <w:rPr>
          <w:rFonts w:eastAsia="Quattrocento Sans"/>
          <w:lang w:eastAsia="zh-CN"/>
        </w:rPr>
        <w:t>.</w:t>
      </w:r>
    </w:p>
    <w:p w14:paraId="6A4701A1" w14:textId="1672236E" w:rsidR="00E44EB7" w:rsidRPr="004F1D15" w:rsidRDefault="00CF4D44" w:rsidP="00FF6387">
      <w:pPr>
        <w:pStyle w:val="ListParagraph"/>
        <w:numPr>
          <w:ilvl w:val="0"/>
          <w:numId w:val="29"/>
        </w:numPr>
        <w:rPr>
          <w:rFonts w:ascii="Arial" w:eastAsia="Quattrocento Sans" w:hAnsi="Arial"/>
          <w:b/>
          <w:color w:val="auto"/>
          <w:lang w:val="en-GB" w:eastAsia="zh-CN"/>
        </w:rPr>
      </w:pPr>
      <w:r w:rsidRPr="00CF4D44">
        <w:rPr>
          <w:rFonts w:ascii="Arial" w:eastAsia="Quattrocento Sans" w:hAnsi="Arial"/>
          <w:b/>
          <w:color w:val="auto"/>
          <w:lang w:val="en-GB" w:eastAsia="zh-CN"/>
        </w:rPr>
        <w:t>Liên kết với các phân nhóm khác / Các cân nhắc khác</w:t>
      </w:r>
    </w:p>
    <w:p w14:paraId="4D4B0426" w14:textId="69245ABC" w:rsidR="00B47E0F" w:rsidRDefault="00B47E0F" w:rsidP="00B86D6B">
      <w:pPr>
        <w:rPr>
          <w:rFonts w:eastAsia="Arial"/>
        </w:rPr>
      </w:pPr>
      <w:r w:rsidRPr="00B47E0F">
        <w:rPr>
          <w:rFonts w:eastAsia="Arial"/>
        </w:rPr>
        <w:t>Blockchain liên quan đến nhiều lĩnh vực, bao gồm nhận dạng số và xác thực, cũng như an ninh mạng. Blockchain cho phép tạo ra các hệ thống nhận dạng số phi tập trung bằng cách cung cấp các hồ sơ thông tin định danh an toàn và không thể thay đổi, bao gồm xác thực thực thể và sinh trắc học. Ngoài ra, các giải pháp bảo mật dựa trên blockchain có thể giải quyết các rủi ro an ninh mạng bằng cách tận dụng tính bất biến của công nghệ để bảo vệ chống lại việc rò rỉ dữ liệu và truy cập trái phép. Những liên kết này nhấn mạnh vai trò quan trọng của blockchain trong việc cải thiện quản lý nhận dạng số và an ninh mạng trên các lĩnh vực khác nhau.</w:t>
      </w:r>
    </w:p>
    <w:p w14:paraId="13D5C406" w14:textId="7E045E41" w:rsidR="00E44EB7" w:rsidRPr="004F1D15" w:rsidRDefault="00B47E0F" w:rsidP="00C82E40">
      <w:pPr>
        <w:pStyle w:val="Heading4"/>
        <w:rPr>
          <w:lang w:val="en-GB"/>
        </w:rPr>
      </w:pPr>
      <w:r>
        <w:rPr>
          <w:lang w:val="en-GB"/>
        </w:rPr>
        <w:t xml:space="preserve">Điện toán đám mây </w:t>
      </w:r>
    </w:p>
    <w:p w14:paraId="0ACDD17B" w14:textId="5E3C1EB1" w:rsidR="00E44EB7" w:rsidRPr="004F1D15" w:rsidRDefault="00B47E0F" w:rsidP="00C82E40">
      <w:pPr>
        <w:pStyle w:val="ListParagraph"/>
        <w:numPr>
          <w:ilvl w:val="0"/>
          <w:numId w:val="15"/>
        </w:numPr>
        <w:rPr>
          <w:rFonts w:ascii="Arial" w:eastAsia="Quattrocento Sans" w:hAnsi="Arial"/>
          <w:b/>
          <w:color w:val="auto"/>
          <w:lang w:val="en-GB" w:eastAsia="zh-CN"/>
        </w:rPr>
      </w:pPr>
      <w:r>
        <w:rPr>
          <w:rFonts w:ascii="Arial" w:eastAsia="Quattrocento Sans" w:hAnsi="Arial"/>
          <w:b/>
          <w:color w:val="auto"/>
          <w:lang w:val="en-GB" w:eastAsia="zh-CN"/>
        </w:rPr>
        <w:t>Tầm quan trọng của tiêu chuẩn trong phân nhóm này</w:t>
      </w:r>
    </w:p>
    <w:p w14:paraId="38BF5423" w14:textId="0A73F23E" w:rsidR="00593F5A" w:rsidRPr="00EE5D6A" w:rsidRDefault="00B47E0F" w:rsidP="007664A3">
      <w:pPr>
        <w:rPr>
          <w:shd w:val="clear" w:color="auto" w:fill="FFFFFF"/>
        </w:rPr>
      </w:pPr>
      <w:r w:rsidRPr="00B47E0F">
        <w:rPr>
          <w:shd w:val="clear" w:color="auto" w:fill="FFFFFF"/>
        </w:rPr>
        <w:t>Tiêu chuẩn điện toán đám mây cho phép khả năng tương tác giữa các nền tảng và dịch vụ khác nhau, tạo điều kiện trao đổi dữ liệu và vận hành liền mạch trên các hệ thống đám mây</w:t>
      </w:r>
      <w:r w:rsidRPr="004F1D15">
        <w:rPr>
          <w:rStyle w:val="FootnoteReference"/>
          <w:color w:val="0D0D0D"/>
          <w:shd w:val="clear" w:color="auto" w:fill="FFFFFF"/>
        </w:rPr>
        <w:footnoteReference w:id="302"/>
      </w:r>
      <w:r w:rsidRPr="00B47E0F">
        <w:rPr>
          <w:shd w:val="clear" w:color="auto" w:fill="FFFFFF"/>
        </w:rPr>
        <w:t>. Các tiêu chuẩn này thiết lập các chuẩn mực về độ tin cậy dịch vụ, tăng cường an ninh mạng thông qua các giao thức đồng bộ cho việc bảo vệ dữ liệu, đồng thời xây dựng niềm tin cho người dùng</w:t>
      </w:r>
      <w:r w:rsidRPr="004F1D15">
        <w:rPr>
          <w:rStyle w:val="FootnoteReference"/>
          <w:rFonts w:eastAsia="Times New Roman"/>
        </w:rPr>
        <w:footnoteReference w:id="303"/>
      </w:r>
      <w:r w:rsidRPr="00B47E0F">
        <w:rPr>
          <w:shd w:val="clear" w:color="auto" w:fill="FFFFFF"/>
        </w:rPr>
        <w:t>. Hơn nữa, chúng hỗ trợ khả năng mở rộng của các dịch vụ số, cho phép các doanh nghiệp nhỏ như MSMEs cạnh tranh trên cùng sân chơi với các tập đoàn lớn</w:t>
      </w:r>
      <w:r w:rsidRPr="004F1D15">
        <w:rPr>
          <w:rStyle w:val="FootnoteReference"/>
          <w:color w:val="0D0D0D"/>
          <w:shd w:val="clear" w:color="auto" w:fill="FFFFFF"/>
        </w:rPr>
        <w:footnoteReference w:id="304"/>
      </w:r>
      <w:r w:rsidRPr="00B47E0F">
        <w:rPr>
          <w:shd w:val="clear" w:color="auto" w:fill="FFFFFF"/>
        </w:rPr>
        <w:t>. Khi ASEAN theo đuổi sự hội nhập số sâu hơn, các tiêu chuẩn điện toán đám mây trở nên không thể thiếu để đạt được hội nhập kinh tế khu vực và khả năng cạnh tranh toàn cầu.</w:t>
      </w:r>
    </w:p>
    <w:p w14:paraId="729F2633" w14:textId="42BDF0FB" w:rsidR="00E44EB7" w:rsidRPr="004F1D15" w:rsidRDefault="00B47E0F" w:rsidP="00C82E40">
      <w:pPr>
        <w:pStyle w:val="ListParagraph"/>
        <w:numPr>
          <w:ilvl w:val="0"/>
          <w:numId w:val="15"/>
        </w:numPr>
        <w:rPr>
          <w:rFonts w:ascii="Arial" w:eastAsia="Quattrocento Sans" w:hAnsi="Arial"/>
          <w:b/>
          <w:color w:val="auto"/>
          <w:lang w:val="en-GB" w:eastAsia="zh-CN"/>
        </w:rPr>
      </w:pPr>
      <w:r>
        <w:rPr>
          <w:rFonts w:ascii="Arial" w:eastAsia="Quattrocento Sans" w:hAnsi="Arial"/>
          <w:b/>
          <w:color w:val="auto"/>
          <w:lang w:val="en-GB" w:eastAsia="zh-CN"/>
        </w:rPr>
        <w:t>Các tiêu chuẩn quốc tế quan trọng đối với ASEAN</w:t>
      </w:r>
    </w:p>
    <w:p w14:paraId="4AE4BF53" w14:textId="6F262491" w:rsidR="00FE7566" w:rsidRPr="004F1D15" w:rsidRDefault="00FE7566" w:rsidP="00FE7566">
      <w:pPr>
        <w:rPr>
          <w:shd w:val="clear" w:color="auto" w:fill="FFFFFF"/>
        </w:rPr>
      </w:pPr>
      <w:r w:rsidRPr="00FE7566">
        <w:rPr>
          <w:shd w:val="clear" w:color="auto" w:fill="FFFFFF"/>
        </w:rPr>
        <w:t>Các tiêu chuẩn quốc tế chính cho điện toán đám mây bao gồm</w:t>
      </w:r>
      <w:r>
        <w:rPr>
          <w:shd w:val="clear" w:color="auto" w:fill="FFFFFF"/>
        </w:rPr>
        <w:t xml:space="preserve">: </w:t>
      </w:r>
      <w:r w:rsidRPr="00FE7566">
        <w:rPr>
          <w:b/>
          <w:bCs/>
          <w:shd w:val="clear" w:color="auto" w:fill="FFFFFF"/>
        </w:rPr>
        <w:t>ISO/IEC 27017:2015</w:t>
      </w:r>
      <w:r w:rsidRPr="00FE7566">
        <w:rPr>
          <w:shd w:val="clear" w:color="auto" w:fill="FFFFFF"/>
        </w:rPr>
        <w:t xml:space="preserve"> Công nghệ thông tin — Kỹ thuật bảo mật — Quy chuẩn thực hành cho kiểm soát bảo mật thông tin dựa trên </w:t>
      </w:r>
      <w:r w:rsidRPr="00FE7566">
        <w:rPr>
          <w:b/>
          <w:bCs/>
          <w:shd w:val="clear" w:color="auto" w:fill="FFFFFF"/>
        </w:rPr>
        <w:t>ISO/IEC 27002</w:t>
      </w:r>
      <w:r w:rsidRPr="00FE7566">
        <w:rPr>
          <w:shd w:val="clear" w:color="auto" w:fill="FFFFFF"/>
        </w:rPr>
        <w:t xml:space="preserve"> cho dịch vụ đám mây, cung cấp hướng dẫn về kiểm soát bảo mật thông tin áp dụng cho việc cung cấp và sử dụng dịch vụ đám mây</w:t>
      </w:r>
      <w:r w:rsidRPr="004F1D15">
        <w:rPr>
          <w:rStyle w:val="FootnoteReference"/>
          <w:color w:val="0D0D0D"/>
          <w:shd w:val="clear" w:color="auto" w:fill="FFFFFF"/>
        </w:rPr>
        <w:footnoteReference w:id="305"/>
      </w:r>
      <w:r w:rsidRPr="00FE7566">
        <w:rPr>
          <w:shd w:val="clear" w:color="auto" w:fill="FFFFFF"/>
        </w:rPr>
        <w:t>.</w:t>
      </w:r>
      <w:r>
        <w:rPr>
          <w:shd w:val="clear" w:color="auto" w:fill="FFFFFF"/>
        </w:rPr>
        <w:t xml:space="preserve"> </w:t>
      </w:r>
      <w:r w:rsidRPr="00FE7566">
        <w:rPr>
          <w:b/>
          <w:bCs/>
          <w:shd w:val="clear" w:color="auto" w:fill="FFFFFF"/>
        </w:rPr>
        <w:t>ISO/IEC 27018:2019</w:t>
      </w:r>
      <w:r w:rsidRPr="00FE7566">
        <w:rPr>
          <w:shd w:val="clear" w:color="auto" w:fill="FFFFFF"/>
        </w:rPr>
        <w:t xml:space="preserve"> Công nghệ thông tin — Kỹ thuật bảo mật — Quy chuẩn thực hành cho bảo vệ thông tin định danh cá nhân (PII) trong các đám mây công cộng hoạt động như bộ xử lý PII, cung cấp các quy tắc thực hành để bảo vệ thông tin định danh cá nhân trong các đám mây công cộng</w:t>
      </w:r>
      <w:r w:rsidR="00184186" w:rsidRPr="004F1D15">
        <w:rPr>
          <w:rStyle w:val="FootnoteReference"/>
          <w:color w:val="0D0D0D"/>
          <w:shd w:val="clear" w:color="auto" w:fill="FFFFFF"/>
        </w:rPr>
        <w:footnoteReference w:id="306"/>
      </w:r>
      <w:r w:rsidRPr="00FE7566">
        <w:rPr>
          <w:shd w:val="clear" w:color="auto" w:fill="FFFFFF"/>
        </w:rPr>
        <w:t>. Việc áp dụng các tiêu chuẩn này giúp giảm rủi ro vi phạm, đảm bảo bảo vệ dữ liệu trong thương mại số.</w:t>
      </w:r>
    </w:p>
    <w:p w14:paraId="6F4266B0" w14:textId="7BE2799A" w:rsidR="00184186" w:rsidRPr="004F1D15" w:rsidRDefault="00184186" w:rsidP="007664A3">
      <w:pPr>
        <w:rPr>
          <w:shd w:val="clear" w:color="auto" w:fill="FFFFFF"/>
        </w:rPr>
      </w:pPr>
      <w:r w:rsidRPr="00184186">
        <w:rPr>
          <w:shd w:val="clear" w:color="auto" w:fill="FFFFFF"/>
        </w:rPr>
        <w:lastRenderedPageBreak/>
        <w:t xml:space="preserve">Đáng chú ý, Cloud Security Alliance (CSA) </w:t>
      </w:r>
      <w:r w:rsidRPr="00184186">
        <w:rPr>
          <w:b/>
          <w:bCs/>
          <w:shd w:val="clear" w:color="auto" w:fill="FFFFFF"/>
        </w:rPr>
        <w:t>Cloud Controls Matrix (CCM)</w:t>
      </w:r>
      <w:r w:rsidRPr="00184186">
        <w:rPr>
          <w:shd w:val="clear" w:color="auto" w:fill="FFFFFF"/>
        </w:rPr>
        <w:t xml:space="preserve"> được coi là tiêu chuẩn thực tế cho đảm bảo và tuân thủ an ninh đám mây trong ngành. CCM cung cấp một khung kiểm soát an ninh mạng được thiết kế đặc biệt cho điện toán đám mây, có thể sử dụng như một công cụ đánh giá hệ thống triển khai đám mây, đồng thời cung cấp hướng dẫn về việc các kiểm soát an ninh nào nên được thực hiện bởi các tác nhân nào trong chuỗi cung ứng đám mây</w:t>
      </w:r>
      <w:r w:rsidRPr="004F1D15">
        <w:rPr>
          <w:rStyle w:val="FootnoteReference"/>
          <w:rFonts w:eastAsia="Times New Roman"/>
        </w:rPr>
        <w:footnoteReference w:id="307"/>
      </w:r>
      <w:r w:rsidRPr="00184186">
        <w:rPr>
          <w:shd w:val="clear" w:color="auto" w:fill="FFFFFF"/>
        </w:rPr>
        <w:t>.</w:t>
      </w:r>
      <w:r>
        <w:rPr>
          <w:shd w:val="clear" w:color="auto" w:fill="FFFFFF"/>
        </w:rPr>
        <w:t xml:space="preserve"> </w:t>
      </w:r>
      <w:r w:rsidRPr="00184186">
        <w:rPr>
          <w:shd w:val="clear" w:color="auto" w:fill="FFFFFF"/>
        </w:rPr>
        <w:t xml:space="preserve">Các tiêu chuẩn khác được quan tâm bao gồm: </w:t>
      </w:r>
      <w:r w:rsidRPr="00184186">
        <w:rPr>
          <w:b/>
          <w:bCs/>
          <w:shd w:val="clear" w:color="auto" w:fill="FFFFFF"/>
        </w:rPr>
        <w:t>NIST Cloud Computing Reference Architecture</w:t>
      </w:r>
      <w:r w:rsidRPr="004F1D15">
        <w:rPr>
          <w:rStyle w:val="FootnoteReference"/>
          <w:rFonts w:eastAsia="Times New Roman"/>
        </w:rPr>
        <w:footnoteReference w:id="308"/>
      </w:r>
      <w:r w:rsidRPr="00184186">
        <w:rPr>
          <w:shd w:val="clear" w:color="auto" w:fill="FFFFFF"/>
        </w:rPr>
        <w:t xml:space="preserve"> và </w:t>
      </w:r>
      <w:r w:rsidRPr="00184186">
        <w:rPr>
          <w:b/>
          <w:bCs/>
          <w:shd w:val="clear" w:color="auto" w:fill="FFFFFF"/>
        </w:rPr>
        <w:t>NIST Definition of Cloud Computing</w:t>
      </w:r>
      <w:r w:rsidRPr="004F1D15">
        <w:rPr>
          <w:rStyle w:val="FootnoteReference"/>
          <w:rFonts w:eastAsia="Times New Roman"/>
        </w:rPr>
        <w:footnoteReference w:id="309"/>
      </w:r>
      <w:r w:rsidRPr="00184186">
        <w:rPr>
          <w:shd w:val="clear" w:color="auto" w:fill="FFFFFF"/>
        </w:rPr>
        <w:t>, tập trung vào các khía cạnh chính của kiến trúc và định nghĩa điện toán đám mây.</w:t>
      </w:r>
    </w:p>
    <w:p w14:paraId="5D7CEDA2" w14:textId="42C2F058" w:rsidR="00E44EB7" w:rsidRPr="004F1D15" w:rsidRDefault="00184186" w:rsidP="00C82E40">
      <w:pPr>
        <w:pStyle w:val="ListParagraph"/>
        <w:numPr>
          <w:ilvl w:val="0"/>
          <w:numId w:val="15"/>
        </w:numPr>
        <w:rPr>
          <w:rFonts w:ascii="Arial" w:eastAsia="Quattrocento Sans" w:hAnsi="Arial"/>
          <w:b/>
          <w:color w:val="auto"/>
          <w:lang w:val="en-GB" w:eastAsia="zh-CN"/>
        </w:rPr>
      </w:pPr>
      <w:r w:rsidRPr="00184186">
        <w:rPr>
          <w:rFonts w:ascii="Arial" w:eastAsia="Quattrocento Sans" w:hAnsi="Arial"/>
          <w:b/>
          <w:color w:val="auto"/>
          <w:lang w:val="en-GB" w:eastAsia="zh-CN"/>
        </w:rPr>
        <w:t>Tình trạng hiện tại của việc áp dụng tiêu chuẩn tại ASEAN, bao gồm nỗ lực đang diễn ra, kế hoạch sắp tới, và các thách thức chính trong việc áp dụng tiêu chuẩn trên các AMS và ASEAN</w:t>
      </w:r>
    </w:p>
    <w:p w14:paraId="3769498B" w14:textId="17749D0C" w:rsidR="00D63EDF" w:rsidRPr="004F1D15" w:rsidRDefault="00D63EDF" w:rsidP="007664A3">
      <w:r w:rsidRPr="00D63EDF">
        <w:t>Mặc dù thông tin về việc áp dụng các tiêu chuẩn nêu trên còn hạn chế, một số AMS đã tham gia ISO JTC1/SC 27 về bảo mật thông tin, an ninh mạng và bảo vệ quyền riêng tư, ủy ban kỹ thuật chung (JTC) của ISO chịu trách nhiệm công bố các tiêu chuẩn ISO về điện toán đám mây</w:t>
      </w:r>
      <w:r w:rsidRPr="004F1D15">
        <w:rPr>
          <w:rStyle w:val="FootnoteReference"/>
          <w:rFonts w:eastAsia="Times New Roman"/>
        </w:rPr>
        <w:footnoteReference w:id="310"/>
      </w:r>
      <w:r w:rsidRPr="00D63EDF">
        <w:t>. Indonesia, Malaysia, Philippines và Singapore là thành viên tham gia, trong khi Thái Lan và Việt Nam là thành viên quan sát</w:t>
      </w:r>
      <w:r w:rsidRPr="004F1D15">
        <w:rPr>
          <w:rStyle w:val="FootnoteReference"/>
          <w:rFonts w:eastAsia="Times New Roman"/>
        </w:rPr>
        <w:footnoteReference w:id="311"/>
      </w:r>
      <w:r w:rsidRPr="00D63EDF">
        <w:t>.</w:t>
      </w:r>
    </w:p>
    <w:p w14:paraId="14F96139" w14:textId="57FA1764" w:rsidR="00D63EDF" w:rsidRPr="004F1D15" w:rsidRDefault="00D63EDF" w:rsidP="007664A3">
      <w:r w:rsidRPr="00D63EDF">
        <w:t>Trên toàn khu vực, các AMS đã dần thể hiện sự quan tâm nhiều hơn đến các dịch vụ đám mây. Ví dụ, Chiến lược Cloud First, một sáng kiến toàn cầu ưu tiên các dịch vụ đám mây hơn các dịch vụ dữ liệu tập trung truyền thống, đã được Singapore, Malaysia, Philippines, Việt Nam và Thái Lan áp dụng</w:t>
      </w:r>
      <w:r w:rsidRPr="004F1D15">
        <w:rPr>
          <w:rStyle w:val="FootnoteReference"/>
          <w:rFonts w:eastAsia="Times New Roman"/>
        </w:rPr>
        <w:footnoteReference w:id="312"/>
      </w:r>
      <w:r w:rsidRPr="00D63EDF">
        <w:t>. Đáng chú ý, Kế hoạch tổng thể số ASEAN 2025 nhấn mạnh tầm quan trọng của việc thiết lập các khung chính sách và pháp lý toàn diện cho điện toán đám mây, nền tảng dữ liệu lớn và bảo vệ dữ liệu trong khu vực</w:t>
      </w:r>
      <w:r w:rsidRPr="004F1D15">
        <w:rPr>
          <w:rStyle w:val="FootnoteReference"/>
          <w:rFonts w:eastAsia="Times New Roman"/>
        </w:rPr>
        <w:footnoteReference w:id="313"/>
      </w:r>
      <w:r w:rsidRPr="00D63EDF">
        <w:t>.</w:t>
      </w:r>
    </w:p>
    <w:p w14:paraId="5CD16DAB" w14:textId="34B805A0" w:rsidR="009C79A5" w:rsidRPr="004F1D15" w:rsidRDefault="009C79A5" w:rsidP="007664A3">
      <w:r w:rsidRPr="009C79A5">
        <w:t>Tuy nhiên, việc áp dụng điện toán đám mây tại ASEAN vẫn còn tương đối thấp do một số yếu tố. Một lý do chính là môi trường vận hành đa dạng trong khu vực, bao gồm mức độ hạ tầng công nghệ và trình độ số hóa khác nhau giữa các quốc gia thành viên. Khoảng cách số trong ASEAN ảnh hưởng đến việc tiếp cận internet, điều cần thiết để sử dụng hiệu quả các dịch vụ đám mây</w:t>
      </w:r>
      <w:r w:rsidRPr="004F1D15">
        <w:rPr>
          <w:rStyle w:val="FootnoteReference"/>
          <w:rFonts w:eastAsia="Times New Roman"/>
        </w:rPr>
        <w:footnoteReference w:id="314"/>
      </w:r>
      <w:r w:rsidRPr="009C79A5">
        <w:t xml:space="preserve">. Ngoài ra, những lo ngại về quyền riêng tư và bảo mật dữ liệu, kết hợp với các thách thức về pháp lý và quy định, đã góp phần khiến doanh nghiệp và chính phủ còn do dự trong việc áp dụng đầy đủ các giải pháp điện toán đám mây. Nhận thức và hiểu biết hạn chế về lợi ích của công nghệ đám mây, cùng với sự phức tạp được cho là trong quá trình di chuyển và tích hợp, càng làm cản trở việc áp dụng rộng rãi. Việc vượt qua các rào cản này sẽ đòi hỏi nỗ lực phối hợp để khắc phục khoảng cách hạ tầng, nâng cao </w:t>
      </w:r>
      <w:r w:rsidRPr="009C79A5">
        <w:lastRenderedPageBreak/>
        <w:t>trình độ số hóa và thiết lập các khung pháp lý rõ ràng hơn nhằm xây dựng niềm tin và sự tự tin vào các dịch vụ điện toán đám mây trên toàn ASEAN.</w:t>
      </w:r>
    </w:p>
    <w:p w14:paraId="101F7EF0" w14:textId="315CFFAA" w:rsidR="00E44EB7" w:rsidRPr="004F1D15" w:rsidRDefault="009C79A5" w:rsidP="00C82E40">
      <w:pPr>
        <w:pStyle w:val="ListParagraph"/>
        <w:numPr>
          <w:ilvl w:val="0"/>
          <w:numId w:val="15"/>
        </w:numPr>
        <w:rPr>
          <w:rFonts w:ascii="Arial" w:eastAsia="Quattrocento Sans" w:hAnsi="Arial"/>
          <w:b/>
          <w:color w:val="auto"/>
          <w:lang w:val="en-GB" w:eastAsia="zh-CN"/>
        </w:rPr>
      </w:pPr>
      <w:r w:rsidRPr="009C79A5">
        <w:rPr>
          <w:rFonts w:ascii="Arial" w:eastAsia="Quattrocento Sans" w:hAnsi="Arial"/>
          <w:b/>
          <w:color w:val="auto"/>
          <w:lang w:val="en-GB" w:eastAsia="zh-CN"/>
        </w:rPr>
        <w:t>Liên kết với các phân nhóm khác / Các cân nhắc khác</w:t>
      </w:r>
    </w:p>
    <w:p w14:paraId="23557815" w14:textId="114D8168" w:rsidR="00E44EB7" w:rsidRPr="004F1D15" w:rsidRDefault="00FB3020" w:rsidP="00E44EB7">
      <w:r w:rsidRPr="004F1D15">
        <w:t>N/A</w:t>
      </w:r>
    </w:p>
    <w:p w14:paraId="4FB4E237" w14:textId="4FAAFA85" w:rsidR="00A11D81" w:rsidRPr="004F1D15" w:rsidRDefault="009C79A5" w:rsidP="007664A3">
      <w:pPr>
        <w:pStyle w:val="Heading2"/>
        <w:rPr>
          <w:lang w:val="en-GB"/>
        </w:rPr>
      </w:pPr>
      <w:r>
        <w:rPr>
          <w:rStyle w:val="Strong"/>
          <w:rFonts w:cs="Arial"/>
          <w:b w:val="0"/>
          <w:szCs w:val="24"/>
          <w:lang w:val="en-GB"/>
        </w:rPr>
        <w:t>Kết luận và Các bước tiếp theo</w:t>
      </w:r>
    </w:p>
    <w:p w14:paraId="472F5776" w14:textId="53F1FA03" w:rsidR="00CD7F0A" w:rsidRPr="004F1D15" w:rsidRDefault="009C79A5" w:rsidP="007664A3">
      <w:r>
        <w:t>Đánh giá khoảng trống đã làm nổi bật một số thách thức tổng thể mà các quốc gia thành viên ASEAN (AMS) đang đối mặt trong việc áp dụng và/hoặc triển khai các tiêu chuẩn thương mại số:</w:t>
      </w:r>
    </w:p>
    <w:p w14:paraId="7EFBA9B0" w14:textId="33EA7834" w:rsidR="009C79A5" w:rsidRPr="00DD42B2" w:rsidRDefault="009C79A5" w:rsidP="00C82E40">
      <w:pPr>
        <w:pStyle w:val="ListParagraph"/>
        <w:numPr>
          <w:ilvl w:val="0"/>
          <w:numId w:val="16"/>
        </w:numPr>
        <w:rPr>
          <w:rFonts w:ascii="Arial" w:hAnsi="Arial"/>
          <w:b/>
          <w:lang w:val="en-GB"/>
        </w:rPr>
      </w:pPr>
      <w:r>
        <w:rPr>
          <w:rFonts w:ascii="Arial" w:hAnsi="Arial"/>
          <w:b/>
          <w:lang w:val="en-GB"/>
        </w:rPr>
        <w:t xml:space="preserve">Khung pháp lý và quy định đa dạng: </w:t>
      </w:r>
      <w:r>
        <w:rPr>
          <w:rFonts w:ascii="Arial" w:hAnsi="Arial"/>
          <w:bCs/>
          <w:lang w:val="en-GB"/>
        </w:rPr>
        <w:t>Một loạt các khung pháp lý và quy định khác nhau giữa các AMS tạo ra sự không đồng nhất và phức tạp trong việc hài hòa các tiêu chuẩn. Điều này gây khó khăn trong việc áp dụng và triển khai các tiêu chuẩn thương mại số chung.</w:t>
      </w:r>
    </w:p>
    <w:p w14:paraId="6387A385" w14:textId="5B92C2D2" w:rsidR="009C79A5" w:rsidRPr="00516087" w:rsidRDefault="009C79A5" w:rsidP="00C82E40">
      <w:pPr>
        <w:pStyle w:val="ListParagraph"/>
        <w:numPr>
          <w:ilvl w:val="0"/>
          <w:numId w:val="16"/>
        </w:numPr>
        <w:rPr>
          <w:rFonts w:ascii="Arial" w:hAnsi="Arial"/>
          <w:b/>
          <w:lang w:val="en-GB"/>
        </w:rPr>
      </w:pPr>
      <w:r>
        <w:rPr>
          <w:rFonts w:ascii="Arial" w:hAnsi="Arial"/>
          <w:b/>
          <w:lang w:val="en-GB"/>
        </w:rPr>
        <w:t xml:space="preserve">Hạn chế về năng lực và nguồn lực: </w:t>
      </w:r>
      <w:r>
        <w:rPr>
          <w:rFonts w:ascii="Arial" w:hAnsi="Arial"/>
          <w:bCs/>
          <w:lang w:val="en-GB"/>
        </w:rPr>
        <w:t>Nhiều AMS gặp chế và năng lực nhân sự, nguồn lực tài chính và chuyên môn công nghệ. Những giới hạn này cản trở khả năng áp dụng hiệu quả và tuân thủ các tiêu chuẩn thương mại số.</w:t>
      </w:r>
    </w:p>
    <w:p w14:paraId="108EA8D4" w14:textId="26D0B0FC" w:rsidR="009C79A5" w:rsidRPr="00DD42B2" w:rsidRDefault="009C79A5" w:rsidP="00C82E40">
      <w:pPr>
        <w:pStyle w:val="ListParagraph"/>
        <w:numPr>
          <w:ilvl w:val="0"/>
          <w:numId w:val="16"/>
        </w:numPr>
        <w:rPr>
          <w:rFonts w:ascii="Arial" w:hAnsi="Arial"/>
          <w:lang w:val="en-GB"/>
        </w:rPr>
      </w:pPr>
      <w:r>
        <w:rPr>
          <w:rFonts w:ascii="Arial" w:hAnsi="Arial"/>
          <w:b/>
          <w:lang w:val="en-GB"/>
        </w:rPr>
        <w:t>Hạ tầng công nghệ khác biệt:</w:t>
      </w:r>
      <w:r>
        <w:rPr>
          <w:rFonts w:ascii="Arial" w:hAnsi="Arial"/>
          <w:lang w:val="en-GB"/>
        </w:rPr>
        <w:t xml:space="preserve"> Sự khác biệt về hạ tầng và năng lực công nghệ giữa các AMS đặt ra thách thức trong việc đảm bảo khả năng tương tác và tương thích với các tiêu chuẩn thương mại số.</w:t>
      </w:r>
    </w:p>
    <w:p w14:paraId="597A78F3" w14:textId="0748FD0A" w:rsidR="009C79A5" w:rsidRPr="00516087" w:rsidRDefault="009C79A5" w:rsidP="00DD42B2">
      <w:pPr>
        <w:pStyle w:val="ListParagraph"/>
        <w:numPr>
          <w:ilvl w:val="0"/>
          <w:numId w:val="16"/>
        </w:numPr>
        <w:rPr>
          <w:rFonts w:ascii="Arial" w:hAnsi="Arial"/>
          <w:lang w:val="en-GB"/>
        </w:rPr>
      </w:pPr>
      <w:r>
        <w:rPr>
          <w:rFonts w:ascii="Arial" w:hAnsi="Arial"/>
          <w:b/>
          <w:lang w:val="en-GB"/>
        </w:rPr>
        <w:t>Nhận thức hạn chế của các bên liên quan:</w:t>
      </w:r>
      <w:r>
        <w:rPr>
          <w:rFonts w:ascii="Arial" w:hAnsi="Arial"/>
          <w:lang w:val="en-GB"/>
        </w:rPr>
        <w:t xml:space="preserve"> Nhiều nhà hoạch định chính sách và doanh nghiệp tại AMS thiếu nhận thức và hiểu biết về tầm quan trọng và lợi ích của việc áp dụng tiêu chuẩn thương mại số.</w:t>
      </w:r>
    </w:p>
    <w:p w14:paraId="4FA803E9" w14:textId="70B271DB" w:rsidR="00CD7F0A" w:rsidRPr="004F1D15" w:rsidRDefault="00923D3D" w:rsidP="007664A3">
      <w:r>
        <w:t>Các thách thức được xác định này đã được sử dụng almf cơ sở để phát triển khung chiến lược và các khuyến nghị chính trong Chương 4 và 5.</w:t>
      </w:r>
    </w:p>
    <w:p w14:paraId="2E56FAC4" w14:textId="71B6A121" w:rsidR="00CD7F0A" w:rsidRPr="004F1D15" w:rsidRDefault="00923D3D" w:rsidP="000D6880">
      <w:pPr>
        <w:pStyle w:val="Heading1"/>
        <w:rPr>
          <w:lang w:val="en-GB"/>
        </w:rPr>
      </w:pPr>
      <w:r>
        <w:rPr>
          <w:lang w:val="en-GB"/>
        </w:rPr>
        <w:lastRenderedPageBreak/>
        <w:t xml:space="preserve">Khung chiến lược cho việc hài hòa các tiêu chuẩn thương mại số </w:t>
      </w:r>
      <w:r w:rsidR="00011B55">
        <w:rPr>
          <w:lang w:val="en-GB"/>
        </w:rPr>
        <w:t>(</w:t>
      </w:r>
      <w:r w:rsidR="00F873B7">
        <w:rPr>
          <w:lang w:val="en-GB"/>
        </w:rPr>
        <w:t>TCTMS</w:t>
      </w:r>
      <w:r w:rsidR="00011B55">
        <w:rPr>
          <w:lang w:val="en-GB"/>
        </w:rPr>
        <w:t>) tại ASEAN</w:t>
      </w:r>
    </w:p>
    <w:p w14:paraId="0DB64017" w14:textId="6088B675" w:rsidR="00C83E09" w:rsidRPr="004F1D15" w:rsidRDefault="00011B55" w:rsidP="00C83E09">
      <w:pPr>
        <w:pStyle w:val="Heading2"/>
        <w:rPr>
          <w:lang w:val="en-GB"/>
        </w:rPr>
      </w:pPr>
      <w:r>
        <w:rPr>
          <w:lang w:val="en-GB"/>
        </w:rPr>
        <w:t>Khung chiến lược</w:t>
      </w:r>
    </w:p>
    <w:p w14:paraId="603105F5" w14:textId="568A1F56" w:rsidR="00E9797E" w:rsidRDefault="00011B55" w:rsidP="006430D5">
      <w:pPr>
        <w:pStyle w:val="Caption"/>
      </w:pPr>
      <w:r>
        <w:t>Hình</w:t>
      </w:r>
      <w:r w:rsidR="004765E0" w:rsidRPr="004F1D15">
        <w:t xml:space="preserve"> </w:t>
      </w:r>
      <w:r w:rsidR="003669F8">
        <w:t>5</w:t>
      </w:r>
      <w:r w:rsidR="00E9797E" w:rsidRPr="004F1D15">
        <w:t xml:space="preserve">. </w:t>
      </w:r>
      <w:r>
        <w:t xml:space="preserve">Khung chiến lược cho Lộ trình </w:t>
      </w:r>
      <w:r w:rsidR="00F873B7">
        <w:t>TCTMS</w:t>
      </w:r>
      <w:r>
        <w:t xml:space="preserve"> ASEAN</w:t>
      </w:r>
    </w:p>
    <w:tbl>
      <w:tblPr>
        <w:tblStyle w:val="TableGrid"/>
        <w:tblW w:w="0" w:type="auto"/>
        <w:tblLook w:val="04A0" w:firstRow="1" w:lastRow="0" w:firstColumn="1" w:lastColumn="0" w:noHBand="0" w:noVBand="1"/>
      </w:tblPr>
      <w:tblGrid>
        <w:gridCol w:w="2158"/>
        <w:gridCol w:w="2158"/>
        <w:gridCol w:w="2158"/>
        <w:gridCol w:w="2158"/>
        <w:gridCol w:w="2158"/>
      </w:tblGrid>
      <w:tr w:rsidR="00621801" w14:paraId="03DF1536" w14:textId="77777777" w:rsidTr="00BB30D2">
        <w:tc>
          <w:tcPr>
            <w:tcW w:w="10790" w:type="dxa"/>
            <w:gridSpan w:val="5"/>
          </w:tcPr>
          <w:p w14:paraId="35B535D6" w14:textId="490B5410" w:rsidR="00621801" w:rsidRPr="00621801" w:rsidRDefault="00621801" w:rsidP="00EC1155">
            <w:pPr>
              <w:rPr>
                <w:b/>
                <w:bCs/>
                <w:lang w:eastAsia="zh-CN"/>
              </w:rPr>
            </w:pPr>
            <w:r w:rsidRPr="00621801">
              <w:rPr>
                <w:b/>
                <w:bCs/>
                <w:lang w:eastAsia="zh-CN"/>
              </w:rPr>
              <w:t>LỘ TRÌNH TIÊU CHUẨN THƯƠNG MẠI SỐ ASEAN: KHUÔN KHỔ CHIẾN LƯỢC</w:t>
            </w:r>
          </w:p>
        </w:tc>
      </w:tr>
      <w:tr w:rsidR="00621801" w14:paraId="11A870A5" w14:textId="77777777" w:rsidTr="00617B3F">
        <w:tc>
          <w:tcPr>
            <w:tcW w:w="2158" w:type="dxa"/>
          </w:tcPr>
          <w:p w14:paraId="203D588A" w14:textId="3AA0D898" w:rsidR="00621801" w:rsidRDefault="00621801" w:rsidP="00EC1155">
            <w:pPr>
              <w:rPr>
                <w:lang w:eastAsia="zh-CN"/>
              </w:rPr>
            </w:pPr>
            <w:r w:rsidRPr="00621801">
              <w:rPr>
                <w:lang w:eastAsia="zh-CN"/>
              </w:rPr>
              <w:t>Kết quả chiến lược</w:t>
            </w:r>
          </w:p>
        </w:tc>
        <w:tc>
          <w:tcPr>
            <w:tcW w:w="8632" w:type="dxa"/>
            <w:gridSpan w:val="4"/>
          </w:tcPr>
          <w:p w14:paraId="4AC69E27" w14:textId="77777777" w:rsidR="00621801" w:rsidRPr="00C67597" w:rsidRDefault="00621801" w:rsidP="00621801">
            <w:pPr>
              <w:pStyle w:val="ListParagraph"/>
              <w:numPr>
                <w:ilvl w:val="0"/>
                <w:numId w:val="16"/>
              </w:numPr>
              <w:spacing w:after="0"/>
              <w:rPr>
                <w:rFonts w:ascii="Arial" w:hAnsi="Arial"/>
                <w:lang w:eastAsia="zh-CN"/>
              </w:rPr>
            </w:pPr>
            <w:r w:rsidRPr="00C67597">
              <w:rPr>
                <w:rFonts w:ascii="Arial" w:hAnsi="Arial"/>
                <w:lang w:eastAsia="zh-CN"/>
              </w:rPr>
              <w:t>Thúc đẩy tăng trưởng khu vực bền vững và bao trùm</w:t>
            </w:r>
          </w:p>
          <w:p w14:paraId="354EF520" w14:textId="77777777" w:rsidR="00621801" w:rsidRPr="00C67597" w:rsidRDefault="00621801" w:rsidP="00621801">
            <w:pPr>
              <w:pStyle w:val="ListParagraph"/>
              <w:numPr>
                <w:ilvl w:val="0"/>
                <w:numId w:val="16"/>
              </w:numPr>
              <w:spacing w:after="0"/>
              <w:rPr>
                <w:rFonts w:ascii="Arial" w:hAnsi="Arial"/>
                <w:lang w:eastAsia="zh-CN"/>
              </w:rPr>
            </w:pPr>
            <w:r w:rsidRPr="00C67597">
              <w:rPr>
                <w:rFonts w:ascii="Arial" w:hAnsi="Arial"/>
                <w:lang w:eastAsia="zh-CN"/>
              </w:rPr>
              <w:t>Đơn giản hóa các luồng thương mại số</w:t>
            </w:r>
          </w:p>
          <w:p w14:paraId="35FBA2FC" w14:textId="2BF6C777" w:rsidR="00621801" w:rsidRDefault="00621801" w:rsidP="00621801">
            <w:pPr>
              <w:pStyle w:val="ListParagraph"/>
              <w:numPr>
                <w:ilvl w:val="0"/>
                <w:numId w:val="16"/>
              </w:numPr>
              <w:spacing w:after="0"/>
              <w:rPr>
                <w:lang w:eastAsia="zh-CN"/>
              </w:rPr>
            </w:pPr>
            <w:r w:rsidRPr="00C67597">
              <w:rPr>
                <w:rFonts w:ascii="Arial" w:hAnsi="Arial"/>
                <w:lang w:eastAsia="zh-CN"/>
              </w:rPr>
              <w:t>Tăng cường hội nhập số</w:t>
            </w:r>
          </w:p>
        </w:tc>
      </w:tr>
      <w:tr w:rsidR="00621801" w14:paraId="43DCF198" w14:textId="77777777" w:rsidTr="00D92EB4">
        <w:tc>
          <w:tcPr>
            <w:tcW w:w="2158" w:type="dxa"/>
          </w:tcPr>
          <w:p w14:paraId="3142BC65" w14:textId="460D2589" w:rsidR="00621801" w:rsidRDefault="00621801" w:rsidP="00EC1155">
            <w:pPr>
              <w:rPr>
                <w:lang w:eastAsia="zh-CN"/>
              </w:rPr>
            </w:pPr>
            <w:r w:rsidRPr="00621801">
              <w:rPr>
                <w:lang w:eastAsia="zh-CN"/>
              </w:rPr>
              <w:t>Tầm nhìn</w:t>
            </w:r>
          </w:p>
        </w:tc>
        <w:tc>
          <w:tcPr>
            <w:tcW w:w="8632" w:type="dxa"/>
            <w:gridSpan w:val="4"/>
          </w:tcPr>
          <w:p w14:paraId="790159BF" w14:textId="40F4266B" w:rsidR="00621801" w:rsidRDefault="00621801" w:rsidP="00621801">
            <w:pPr>
              <w:tabs>
                <w:tab w:val="left" w:pos="1310"/>
              </w:tabs>
              <w:rPr>
                <w:lang w:eastAsia="zh-CN"/>
              </w:rPr>
            </w:pPr>
            <w:r w:rsidRPr="00621801">
              <w:rPr>
                <w:lang w:eastAsia="zh-CN"/>
              </w:rPr>
              <w:t>Đạt được khả năng tương tác thông qua việc tăng cường liên kết, áp dụng và hài hòa hóa các tiêu chuẩn trong các lĩnh vực thương mại số trọng yếu, nhằm thúc đẩy chuyển đổi số, khuyến khích đổi mới sáng tạo và mang lại cho các quốc gia thành viên ASEAN những cơ hội tiếp cận thị trường lớn hơn một cách thực chất về mặt thương mại, cả trong khu vực và trên phạm vi toàn cầu.</w:t>
            </w:r>
          </w:p>
        </w:tc>
      </w:tr>
      <w:tr w:rsidR="00DC65A2" w14:paraId="6B6A9303" w14:textId="77777777" w:rsidTr="00A72EE3">
        <w:tc>
          <w:tcPr>
            <w:tcW w:w="2158" w:type="dxa"/>
          </w:tcPr>
          <w:p w14:paraId="05F62E48" w14:textId="62A641B5" w:rsidR="00DC65A2" w:rsidRDefault="00DC65A2" w:rsidP="00EC1155">
            <w:pPr>
              <w:rPr>
                <w:lang w:eastAsia="zh-CN"/>
              </w:rPr>
            </w:pPr>
            <w:r w:rsidRPr="00DC65A2">
              <w:rPr>
                <w:lang w:eastAsia="zh-CN"/>
              </w:rPr>
              <w:t>Cách tiếp cận đối với hài hòa hóa tiêu chuẩn</w:t>
            </w:r>
          </w:p>
        </w:tc>
        <w:tc>
          <w:tcPr>
            <w:tcW w:w="8632" w:type="dxa"/>
            <w:gridSpan w:val="4"/>
          </w:tcPr>
          <w:p w14:paraId="49F506A6" w14:textId="77777777" w:rsidR="00DC65A2" w:rsidRPr="00C67597" w:rsidRDefault="00DC65A2" w:rsidP="00DC65A2">
            <w:pPr>
              <w:rPr>
                <w:lang w:eastAsia="zh-CN"/>
              </w:rPr>
            </w:pPr>
            <w:r w:rsidRPr="00C67597">
              <w:rPr>
                <w:lang w:eastAsia="zh-CN"/>
              </w:rPr>
              <w:t>Tận dụng cách tiếp cận hiện có của ASEAN đối với hài hòa hóa tiêu chuẩn:</w:t>
            </w:r>
          </w:p>
          <w:p w14:paraId="191E0740" w14:textId="77777777" w:rsidR="00DC65A2" w:rsidRPr="00C67597" w:rsidRDefault="00DC65A2" w:rsidP="00DC65A2">
            <w:pPr>
              <w:pStyle w:val="ListParagraph"/>
              <w:numPr>
                <w:ilvl w:val="0"/>
                <w:numId w:val="16"/>
              </w:numPr>
              <w:spacing w:after="0"/>
              <w:rPr>
                <w:rFonts w:ascii="Arial" w:hAnsi="Arial"/>
                <w:lang w:eastAsia="zh-CN"/>
              </w:rPr>
            </w:pPr>
            <w:r w:rsidRPr="00C67597">
              <w:rPr>
                <w:rFonts w:ascii="Arial" w:hAnsi="Arial"/>
                <w:lang w:eastAsia="zh-CN"/>
              </w:rPr>
              <w:t>Khuyến khích các Cơ quan Tiêu chuẩn Quốc gia (NSB) của các quốc gia thành viên ASEAN (AMS) áp dụng các tiêu chuẩn quốc tế.</w:t>
            </w:r>
          </w:p>
          <w:p w14:paraId="4255AA14" w14:textId="7A5139A9" w:rsidR="00DC65A2" w:rsidRPr="00C67597" w:rsidRDefault="00DC65A2" w:rsidP="00DC65A2">
            <w:pPr>
              <w:pStyle w:val="ListParagraph"/>
              <w:numPr>
                <w:ilvl w:val="0"/>
                <w:numId w:val="16"/>
              </w:numPr>
              <w:spacing w:after="0"/>
              <w:rPr>
                <w:rFonts w:ascii="Arial" w:hAnsi="Arial"/>
                <w:lang w:eastAsia="zh-CN"/>
              </w:rPr>
            </w:pPr>
            <w:r w:rsidRPr="00C67597">
              <w:rPr>
                <w:rFonts w:ascii="Arial" w:hAnsi="Arial"/>
                <w:lang w:eastAsia="zh-CN"/>
              </w:rPr>
              <w:t>Trong trường hợp chưa có tiêu chuẩn quốc tế, ASEAN sẽ xem xét hài hòa hóa ở cấp khu vực và thúc đẩy công nhận lẫn nhau kết quả đánh giá sự phù hợp.</w:t>
            </w:r>
          </w:p>
        </w:tc>
      </w:tr>
      <w:tr w:rsidR="00DF5365" w14:paraId="19768A0A" w14:textId="77777777" w:rsidTr="00DF5365">
        <w:tc>
          <w:tcPr>
            <w:tcW w:w="2158" w:type="dxa"/>
          </w:tcPr>
          <w:p w14:paraId="6EBCF141" w14:textId="568E0D2B" w:rsidR="00DF5365" w:rsidRDefault="006A0ED6" w:rsidP="00EC1155">
            <w:pPr>
              <w:rPr>
                <w:lang w:eastAsia="zh-CN"/>
              </w:rPr>
            </w:pPr>
            <w:r w:rsidRPr="006A0ED6">
              <w:rPr>
                <w:lang w:eastAsia="zh-CN"/>
              </w:rPr>
              <w:t>Các lĩnh vực thương mại số</w:t>
            </w:r>
          </w:p>
        </w:tc>
        <w:tc>
          <w:tcPr>
            <w:tcW w:w="2158" w:type="dxa"/>
          </w:tcPr>
          <w:p w14:paraId="53216DCB" w14:textId="3F3E46E0" w:rsidR="006A0ED6" w:rsidRDefault="006A0ED6" w:rsidP="006A0ED6">
            <w:pPr>
              <w:rPr>
                <w:lang w:eastAsia="zh-CN"/>
              </w:rPr>
            </w:pPr>
            <w:r>
              <w:rPr>
                <w:lang w:eastAsia="zh-CN"/>
              </w:rPr>
              <w:t>Logistics và giao nhận trong thương mại số:</w:t>
            </w:r>
          </w:p>
          <w:p w14:paraId="10AFD30A" w14:textId="77777777" w:rsidR="006A0ED6" w:rsidRPr="00D03131" w:rsidRDefault="006A0ED6" w:rsidP="006A0ED6">
            <w:pPr>
              <w:pStyle w:val="ListParagraph"/>
              <w:numPr>
                <w:ilvl w:val="0"/>
                <w:numId w:val="16"/>
              </w:numPr>
              <w:spacing w:after="0"/>
              <w:rPr>
                <w:rFonts w:ascii="Arial" w:hAnsi="Arial"/>
                <w:lang w:eastAsia="zh-CN"/>
              </w:rPr>
            </w:pPr>
            <w:r w:rsidRPr="00D03131">
              <w:rPr>
                <w:rFonts w:ascii="Arial" w:hAnsi="Arial"/>
                <w:lang w:eastAsia="zh-CN"/>
              </w:rPr>
              <w:t>Giao hàng chặng cuối</w:t>
            </w:r>
          </w:p>
          <w:p w14:paraId="7D9E5C0C" w14:textId="77777777" w:rsidR="006A0ED6" w:rsidRPr="00D03131" w:rsidRDefault="006A0ED6" w:rsidP="006A0ED6">
            <w:pPr>
              <w:pStyle w:val="ListParagraph"/>
              <w:numPr>
                <w:ilvl w:val="0"/>
                <w:numId w:val="16"/>
              </w:numPr>
              <w:spacing w:after="0"/>
              <w:rPr>
                <w:rFonts w:ascii="Arial" w:hAnsi="Arial"/>
                <w:lang w:eastAsia="zh-CN"/>
              </w:rPr>
            </w:pPr>
            <w:r w:rsidRPr="00D03131">
              <w:rPr>
                <w:rFonts w:ascii="Arial" w:hAnsi="Arial"/>
                <w:lang w:eastAsia="zh-CN"/>
              </w:rPr>
              <w:t>Khung khổ hải quan</w:t>
            </w:r>
          </w:p>
          <w:p w14:paraId="61804066" w14:textId="1B4693BC" w:rsidR="00DF5365" w:rsidRDefault="006A0ED6" w:rsidP="006A0ED6">
            <w:pPr>
              <w:pStyle w:val="ListParagraph"/>
              <w:numPr>
                <w:ilvl w:val="0"/>
                <w:numId w:val="16"/>
              </w:numPr>
              <w:spacing w:after="0"/>
              <w:rPr>
                <w:lang w:eastAsia="zh-CN"/>
              </w:rPr>
            </w:pPr>
            <w:r w:rsidRPr="00D03131">
              <w:rPr>
                <w:rFonts w:ascii="Arial" w:hAnsi="Arial"/>
                <w:lang w:eastAsia="zh-CN"/>
              </w:rPr>
              <w:t>Bảo đảm giao dịch</w:t>
            </w:r>
          </w:p>
        </w:tc>
        <w:tc>
          <w:tcPr>
            <w:tcW w:w="2158" w:type="dxa"/>
          </w:tcPr>
          <w:p w14:paraId="4C63E1BD" w14:textId="6AF38D18" w:rsidR="006A0ED6" w:rsidRDefault="006A0ED6" w:rsidP="006A0ED6">
            <w:pPr>
              <w:rPr>
                <w:lang w:eastAsia="zh-CN"/>
              </w:rPr>
            </w:pPr>
            <w:r>
              <w:rPr>
                <w:lang w:eastAsia="zh-CN"/>
              </w:rPr>
              <w:t>Giao dịch số:</w:t>
            </w:r>
          </w:p>
          <w:p w14:paraId="7A477AAE" w14:textId="77777777" w:rsidR="00D03131" w:rsidRPr="00D03131" w:rsidRDefault="006A0ED6" w:rsidP="006A0ED6">
            <w:pPr>
              <w:pStyle w:val="ListParagraph"/>
              <w:numPr>
                <w:ilvl w:val="0"/>
                <w:numId w:val="16"/>
              </w:numPr>
              <w:spacing w:after="0"/>
              <w:rPr>
                <w:rFonts w:ascii="Arial" w:hAnsi="Arial"/>
                <w:lang w:eastAsia="zh-CN"/>
              </w:rPr>
            </w:pPr>
            <w:r w:rsidRPr="00D03131">
              <w:rPr>
                <w:rFonts w:ascii="Arial" w:hAnsi="Arial"/>
                <w:lang w:eastAsia="zh-CN"/>
              </w:rPr>
              <w:t>Thương mại điện tử xuyên biên giới</w:t>
            </w:r>
          </w:p>
          <w:p w14:paraId="762E8B17" w14:textId="77777777" w:rsidR="00D03131" w:rsidRPr="00D03131" w:rsidRDefault="006A0ED6" w:rsidP="006A0ED6">
            <w:pPr>
              <w:pStyle w:val="ListParagraph"/>
              <w:numPr>
                <w:ilvl w:val="0"/>
                <w:numId w:val="16"/>
              </w:numPr>
              <w:spacing w:after="0"/>
              <w:rPr>
                <w:rFonts w:ascii="Arial" w:hAnsi="Arial"/>
                <w:lang w:eastAsia="zh-CN"/>
              </w:rPr>
            </w:pPr>
            <w:r w:rsidRPr="00D03131">
              <w:rPr>
                <w:rFonts w:ascii="Arial" w:hAnsi="Arial"/>
                <w:lang w:eastAsia="zh-CN"/>
              </w:rPr>
              <w:t>Hóa đơn điện tử</w:t>
            </w:r>
          </w:p>
          <w:p w14:paraId="10337794" w14:textId="4EBAFAA6" w:rsidR="00DF5365" w:rsidRDefault="006A0ED6" w:rsidP="006A0ED6">
            <w:pPr>
              <w:pStyle w:val="ListParagraph"/>
              <w:numPr>
                <w:ilvl w:val="0"/>
                <w:numId w:val="16"/>
              </w:numPr>
              <w:spacing w:after="0"/>
              <w:rPr>
                <w:lang w:eastAsia="zh-CN"/>
              </w:rPr>
            </w:pPr>
            <w:r w:rsidRPr="00D03131">
              <w:rPr>
                <w:rFonts w:ascii="Arial" w:hAnsi="Arial"/>
                <w:lang w:eastAsia="zh-CN"/>
              </w:rPr>
              <w:t>Thanh toán điện tử</w:t>
            </w:r>
          </w:p>
        </w:tc>
        <w:tc>
          <w:tcPr>
            <w:tcW w:w="2158" w:type="dxa"/>
          </w:tcPr>
          <w:p w14:paraId="2DC96C07" w14:textId="54AA36D8" w:rsidR="00D03131" w:rsidRDefault="00D03131" w:rsidP="00D03131">
            <w:pPr>
              <w:rPr>
                <w:lang w:eastAsia="zh-CN"/>
              </w:rPr>
            </w:pPr>
            <w:r>
              <w:rPr>
                <w:lang w:eastAsia="zh-CN"/>
              </w:rPr>
              <w:t>Niềm tin số:</w:t>
            </w:r>
          </w:p>
          <w:p w14:paraId="29FF383A" w14:textId="77777777" w:rsidR="00D03131" w:rsidRPr="00D0357D" w:rsidRDefault="00D03131" w:rsidP="00D03131">
            <w:pPr>
              <w:pStyle w:val="ListParagraph"/>
              <w:numPr>
                <w:ilvl w:val="0"/>
                <w:numId w:val="16"/>
              </w:numPr>
              <w:spacing w:after="0"/>
              <w:rPr>
                <w:rFonts w:ascii="Arial" w:hAnsi="Arial"/>
                <w:lang w:eastAsia="zh-CN"/>
              </w:rPr>
            </w:pPr>
            <w:r w:rsidRPr="00D0357D">
              <w:rPr>
                <w:rFonts w:ascii="Arial" w:hAnsi="Arial"/>
                <w:lang w:eastAsia="zh-CN"/>
              </w:rPr>
              <w:t>Định danh số và xác thực</w:t>
            </w:r>
          </w:p>
          <w:p w14:paraId="60CF857E" w14:textId="77777777" w:rsidR="00D03131" w:rsidRPr="00D0357D" w:rsidRDefault="00D03131" w:rsidP="00D03131">
            <w:pPr>
              <w:pStyle w:val="ListParagraph"/>
              <w:numPr>
                <w:ilvl w:val="0"/>
                <w:numId w:val="16"/>
              </w:numPr>
              <w:spacing w:after="0"/>
              <w:rPr>
                <w:rFonts w:ascii="Arial" w:hAnsi="Arial"/>
                <w:lang w:eastAsia="zh-CN"/>
              </w:rPr>
            </w:pPr>
            <w:r w:rsidRPr="00D0357D">
              <w:rPr>
                <w:rFonts w:ascii="Arial" w:hAnsi="Arial"/>
                <w:lang w:eastAsia="zh-CN"/>
              </w:rPr>
              <w:t>An ninh mạng</w:t>
            </w:r>
          </w:p>
          <w:p w14:paraId="5B7A5BFB" w14:textId="77777777" w:rsidR="00D0357D" w:rsidRPr="00D0357D" w:rsidRDefault="00D03131" w:rsidP="00D03131">
            <w:pPr>
              <w:pStyle w:val="ListParagraph"/>
              <w:numPr>
                <w:ilvl w:val="0"/>
                <w:numId w:val="16"/>
              </w:numPr>
              <w:spacing w:after="0"/>
              <w:rPr>
                <w:rFonts w:ascii="Arial" w:hAnsi="Arial"/>
                <w:lang w:eastAsia="zh-CN"/>
              </w:rPr>
            </w:pPr>
            <w:r w:rsidRPr="00D0357D">
              <w:rPr>
                <w:rFonts w:ascii="Arial" w:hAnsi="Arial"/>
                <w:lang w:eastAsia="zh-CN"/>
              </w:rPr>
              <w:t>An toàn trực tuyến</w:t>
            </w:r>
          </w:p>
          <w:p w14:paraId="217F192C" w14:textId="5A17BB54" w:rsidR="00DF5365" w:rsidRDefault="00D03131" w:rsidP="00D03131">
            <w:pPr>
              <w:pStyle w:val="ListParagraph"/>
              <w:numPr>
                <w:ilvl w:val="0"/>
                <w:numId w:val="16"/>
              </w:numPr>
              <w:spacing w:after="0"/>
              <w:rPr>
                <w:lang w:eastAsia="zh-CN"/>
              </w:rPr>
            </w:pPr>
            <w:r w:rsidRPr="00D0357D">
              <w:rPr>
                <w:rFonts w:ascii="Arial" w:hAnsi="Arial"/>
                <w:lang w:eastAsia="zh-CN"/>
              </w:rPr>
              <w:t>Bảo vệ dữ liệu và quyền riêng tư xuyên biên giới</w:t>
            </w:r>
          </w:p>
        </w:tc>
        <w:tc>
          <w:tcPr>
            <w:tcW w:w="2158" w:type="dxa"/>
          </w:tcPr>
          <w:p w14:paraId="56B5795D" w14:textId="0B877126" w:rsidR="00D0357D" w:rsidRDefault="00D0357D" w:rsidP="00D0357D">
            <w:pPr>
              <w:rPr>
                <w:lang w:eastAsia="zh-CN"/>
              </w:rPr>
            </w:pPr>
            <w:r>
              <w:rPr>
                <w:lang w:eastAsia="zh-CN"/>
              </w:rPr>
              <w:t>Hợp tác về các chủ đề mới nổi:</w:t>
            </w:r>
          </w:p>
          <w:p w14:paraId="70DE2258" w14:textId="77777777" w:rsidR="00D0357D" w:rsidRPr="00D0357D" w:rsidRDefault="00D0357D" w:rsidP="00D0357D">
            <w:pPr>
              <w:pStyle w:val="ListParagraph"/>
              <w:numPr>
                <w:ilvl w:val="0"/>
                <w:numId w:val="16"/>
              </w:numPr>
              <w:spacing w:after="0"/>
              <w:rPr>
                <w:rFonts w:ascii="Arial" w:hAnsi="Arial"/>
                <w:lang w:eastAsia="zh-CN"/>
              </w:rPr>
            </w:pPr>
            <w:r w:rsidRPr="00D0357D">
              <w:rPr>
                <w:rFonts w:ascii="Arial" w:hAnsi="Arial"/>
                <w:lang w:eastAsia="zh-CN"/>
              </w:rPr>
              <w:t>Trí tuệ nhân tạo (AI)</w:t>
            </w:r>
          </w:p>
          <w:p w14:paraId="18A4E887" w14:textId="77777777" w:rsidR="00D0357D" w:rsidRPr="00D0357D" w:rsidRDefault="00D0357D" w:rsidP="00D0357D">
            <w:pPr>
              <w:pStyle w:val="ListParagraph"/>
              <w:numPr>
                <w:ilvl w:val="0"/>
                <w:numId w:val="16"/>
              </w:numPr>
              <w:spacing w:after="0"/>
              <w:rPr>
                <w:rFonts w:ascii="Arial" w:hAnsi="Arial"/>
                <w:lang w:eastAsia="zh-CN"/>
              </w:rPr>
            </w:pPr>
            <w:r w:rsidRPr="00D0357D">
              <w:rPr>
                <w:rFonts w:ascii="Arial" w:hAnsi="Arial"/>
                <w:lang w:eastAsia="zh-CN"/>
              </w:rPr>
              <w:t>Blockchain</w:t>
            </w:r>
          </w:p>
          <w:p w14:paraId="23F56D80" w14:textId="01118841" w:rsidR="00DF5365" w:rsidRDefault="00D0357D" w:rsidP="00D0357D">
            <w:pPr>
              <w:pStyle w:val="ListParagraph"/>
              <w:numPr>
                <w:ilvl w:val="0"/>
                <w:numId w:val="16"/>
              </w:numPr>
              <w:spacing w:after="0"/>
              <w:rPr>
                <w:lang w:eastAsia="zh-CN"/>
              </w:rPr>
            </w:pPr>
            <w:r w:rsidRPr="00D0357D">
              <w:rPr>
                <w:rFonts w:ascii="Arial" w:hAnsi="Arial"/>
                <w:lang w:eastAsia="zh-CN"/>
              </w:rPr>
              <w:t>Điện toán đám mây</w:t>
            </w:r>
          </w:p>
        </w:tc>
      </w:tr>
      <w:tr w:rsidR="00C67597" w14:paraId="041BCBE3" w14:textId="77777777" w:rsidTr="00A251A6">
        <w:tc>
          <w:tcPr>
            <w:tcW w:w="2158" w:type="dxa"/>
            <w:vMerge w:val="restart"/>
          </w:tcPr>
          <w:p w14:paraId="7296BA72" w14:textId="22808397" w:rsidR="00C67597" w:rsidRDefault="00C67597" w:rsidP="00EC1155">
            <w:pPr>
              <w:rPr>
                <w:lang w:eastAsia="zh-CN"/>
              </w:rPr>
            </w:pPr>
            <w:r w:rsidRPr="00C67597">
              <w:rPr>
                <w:lang w:eastAsia="zh-CN"/>
              </w:rPr>
              <w:t>Các nhóm hành động</w:t>
            </w:r>
          </w:p>
        </w:tc>
        <w:tc>
          <w:tcPr>
            <w:tcW w:w="8632" w:type="dxa"/>
            <w:gridSpan w:val="4"/>
          </w:tcPr>
          <w:p w14:paraId="4A0A318D" w14:textId="0C5885DE" w:rsidR="00C67597" w:rsidRDefault="00C67597" w:rsidP="00EC1155">
            <w:pPr>
              <w:rPr>
                <w:lang w:eastAsia="zh-CN"/>
              </w:rPr>
            </w:pPr>
            <w:r w:rsidRPr="00C67597">
              <w:rPr>
                <w:lang w:eastAsia="zh-CN"/>
              </w:rPr>
              <w:t>Liên kết và điều phối chính sách</w:t>
            </w:r>
          </w:p>
        </w:tc>
      </w:tr>
      <w:tr w:rsidR="00C67597" w14:paraId="5A8E996D" w14:textId="77777777" w:rsidTr="00A76D12">
        <w:tc>
          <w:tcPr>
            <w:tcW w:w="2158" w:type="dxa"/>
            <w:vMerge/>
          </w:tcPr>
          <w:p w14:paraId="396978E4" w14:textId="77777777" w:rsidR="00C67597" w:rsidRDefault="00C67597" w:rsidP="00EC1155">
            <w:pPr>
              <w:rPr>
                <w:lang w:eastAsia="zh-CN"/>
              </w:rPr>
            </w:pPr>
          </w:p>
        </w:tc>
        <w:tc>
          <w:tcPr>
            <w:tcW w:w="8632" w:type="dxa"/>
            <w:gridSpan w:val="4"/>
          </w:tcPr>
          <w:p w14:paraId="093F4033" w14:textId="4C175B31" w:rsidR="00C67597" w:rsidRDefault="00C67597" w:rsidP="00EC1155">
            <w:pPr>
              <w:rPr>
                <w:lang w:eastAsia="zh-CN"/>
              </w:rPr>
            </w:pPr>
            <w:r w:rsidRPr="00C67597">
              <w:rPr>
                <w:lang w:eastAsia="zh-CN"/>
              </w:rPr>
              <w:t>Xây dựng năng lực và hỗ trợ kỹ thuật</w:t>
            </w:r>
          </w:p>
        </w:tc>
      </w:tr>
      <w:tr w:rsidR="00C67597" w14:paraId="20D00A5A" w14:textId="77777777" w:rsidTr="00A646F9">
        <w:tc>
          <w:tcPr>
            <w:tcW w:w="2158" w:type="dxa"/>
            <w:vMerge/>
          </w:tcPr>
          <w:p w14:paraId="1EB65DE2" w14:textId="77777777" w:rsidR="00C67597" w:rsidRDefault="00C67597" w:rsidP="00EC1155">
            <w:pPr>
              <w:rPr>
                <w:lang w:eastAsia="zh-CN"/>
              </w:rPr>
            </w:pPr>
          </w:p>
        </w:tc>
        <w:tc>
          <w:tcPr>
            <w:tcW w:w="8632" w:type="dxa"/>
            <w:gridSpan w:val="4"/>
          </w:tcPr>
          <w:p w14:paraId="524449CC" w14:textId="7BF10294" w:rsidR="00C67597" w:rsidRDefault="00C67597" w:rsidP="00EC1155">
            <w:pPr>
              <w:rPr>
                <w:lang w:eastAsia="zh-CN"/>
              </w:rPr>
            </w:pPr>
            <w:r w:rsidRPr="00C67597">
              <w:rPr>
                <w:lang w:eastAsia="zh-CN"/>
              </w:rPr>
              <w:t>Phát triển hạ tầng số</w:t>
            </w:r>
          </w:p>
        </w:tc>
      </w:tr>
      <w:tr w:rsidR="00C67597" w14:paraId="49906BDA" w14:textId="77777777" w:rsidTr="00B75690">
        <w:tc>
          <w:tcPr>
            <w:tcW w:w="2158" w:type="dxa"/>
          </w:tcPr>
          <w:p w14:paraId="3215AA1D" w14:textId="7350172D" w:rsidR="00C67597" w:rsidRDefault="00C67597" w:rsidP="00EC1155">
            <w:pPr>
              <w:rPr>
                <w:lang w:eastAsia="zh-CN"/>
              </w:rPr>
            </w:pPr>
            <w:r w:rsidRPr="00C67597">
              <w:rPr>
                <w:lang w:eastAsia="zh-CN"/>
              </w:rPr>
              <w:lastRenderedPageBreak/>
              <w:t>Tiêu chí ưu tiên và hài hòa hóa tiêu chuẩn</w:t>
            </w:r>
          </w:p>
        </w:tc>
        <w:tc>
          <w:tcPr>
            <w:tcW w:w="8632" w:type="dxa"/>
            <w:gridSpan w:val="4"/>
          </w:tcPr>
          <w:p w14:paraId="06DA313D" w14:textId="77777777" w:rsidR="00C67597" w:rsidRPr="00C67597" w:rsidRDefault="00C67597" w:rsidP="00C67597">
            <w:pPr>
              <w:pStyle w:val="ListParagraph"/>
              <w:numPr>
                <w:ilvl w:val="0"/>
                <w:numId w:val="16"/>
              </w:numPr>
              <w:spacing w:after="0"/>
              <w:rPr>
                <w:rFonts w:ascii="Arial" w:hAnsi="Arial"/>
                <w:lang w:eastAsia="zh-CN"/>
              </w:rPr>
            </w:pPr>
            <w:r w:rsidRPr="00C67597">
              <w:rPr>
                <w:rFonts w:ascii="Arial" w:hAnsi="Arial"/>
                <w:lang w:eastAsia="zh-CN"/>
              </w:rPr>
              <w:t>Tác động đối với thương mại số của ASEAN</w:t>
            </w:r>
          </w:p>
          <w:p w14:paraId="1EA9AB0F" w14:textId="77777777" w:rsidR="00C67597" w:rsidRPr="00C67597" w:rsidRDefault="00C67597" w:rsidP="00C67597">
            <w:pPr>
              <w:pStyle w:val="ListParagraph"/>
              <w:numPr>
                <w:ilvl w:val="0"/>
                <w:numId w:val="16"/>
              </w:numPr>
              <w:spacing w:after="0"/>
              <w:rPr>
                <w:rFonts w:ascii="Arial" w:hAnsi="Arial"/>
                <w:lang w:eastAsia="zh-CN"/>
              </w:rPr>
            </w:pPr>
            <w:r w:rsidRPr="00C67597">
              <w:rPr>
                <w:rFonts w:ascii="Arial" w:hAnsi="Arial"/>
                <w:lang w:eastAsia="zh-CN"/>
              </w:rPr>
              <w:t>Mức độ phù hợp với các sáng kiến số trọng điểm của ASEAN và thực tiễn quốc tế tốt nhất</w:t>
            </w:r>
          </w:p>
          <w:p w14:paraId="6D63E3B3" w14:textId="77777777" w:rsidR="00C67597" w:rsidRPr="00C67597" w:rsidRDefault="00C67597" w:rsidP="00C67597">
            <w:pPr>
              <w:pStyle w:val="ListParagraph"/>
              <w:numPr>
                <w:ilvl w:val="0"/>
                <w:numId w:val="16"/>
              </w:numPr>
              <w:spacing w:after="0"/>
              <w:rPr>
                <w:rFonts w:ascii="Arial" w:hAnsi="Arial"/>
                <w:lang w:eastAsia="zh-CN"/>
              </w:rPr>
            </w:pPr>
            <w:r w:rsidRPr="00C67597">
              <w:rPr>
                <w:rFonts w:ascii="Arial" w:hAnsi="Arial"/>
                <w:lang w:eastAsia="zh-CN"/>
              </w:rPr>
              <w:t>Tính khả thi và mức độ quan tâm thương mại</w:t>
            </w:r>
          </w:p>
          <w:p w14:paraId="5CD74574" w14:textId="72F64938" w:rsidR="00C67597" w:rsidRDefault="00C67597" w:rsidP="00C67597">
            <w:pPr>
              <w:pStyle w:val="ListParagraph"/>
              <w:numPr>
                <w:ilvl w:val="0"/>
                <w:numId w:val="16"/>
              </w:numPr>
              <w:spacing w:after="0"/>
              <w:rPr>
                <w:lang w:eastAsia="zh-CN"/>
              </w:rPr>
            </w:pPr>
            <w:r w:rsidRPr="00C67597">
              <w:rPr>
                <w:rFonts w:ascii="Arial" w:hAnsi="Arial"/>
                <w:lang w:eastAsia="zh-CN"/>
              </w:rPr>
              <w:t>Tình trạng áp dụng và triển khai tiêu chuẩn tại các quốc gia thành viên ASEAN</w:t>
            </w:r>
          </w:p>
        </w:tc>
      </w:tr>
      <w:tr w:rsidR="00980F8C" w14:paraId="037679FC" w14:textId="77777777" w:rsidTr="004F76E1">
        <w:tc>
          <w:tcPr>
            <w:tcW w:w="2158" w:type="dxa"/>
            <w:vMerge w:val="restart"/>
          </w:tcPr>
          <w:p w14:paraId="22A07457" w14:textId="41FB5E0D" w:rsidR="00980F8C" w:rsidRDefault="00695C1B" w:rsidP="00EC1155">
            <w:pPr>
              <w:rPr>
                <w:lang w:eastAsia="zh-CN"/>
              </w:rPr>
            </w:pPr>
            <w:r w:rsidRPr="00695C1B">
              <w:rPr>
                <w:lang w:eastAsia="zh-CN"/>
              </w:rPr>
              <w:t>Các sáng kiến số trọng điểm của ASEAN</w:t>
            </w:r>
          </w:p>
        </w:tc>
        <w:tc>
          <w:tcPr>
            <w:tcW w:w="8632" w:type="dxa"/>
            <w:gridSpan w:val="4"/>
          </w:tcPr>
          <w:p w14:paraId="61EAB033" w14:textId="22EA8E06" w:rsidR="00980F8C" w:rsidRDefault="00980F8C" w:rsidP="00EC1155">
            <w:pPr>
              <w:rPr>
                <w:lang w:eastAsia="zh-CN"/>
              </w:rPr>
            </w:pPr>
            <w:r w:rsidRPr="00980F8C">
              <w:rPr>
                <w:lang w:eastAsia="zh-CN"/>
              </w:rPr>
              <w:t>Lộ trình Tiêu chuẩn Thương mại Số ASEAN (ASEAN DTS Roadmap) hướng tới liên kết, bổ trợ và đóng góp cho các sáng kiến số trọng điểm của ASEAN, bao gồm:</w:t>
            </w:r>
          </w:p>
        </w:tc>
      </w:tr>
      <w:tr w:rsidR="00980F8C" w14:paraId="464FF347" w14:textId="77777777" w:rsidTr="009D10AA">
        <w:tc>
          <w:tcPr>
            <w:tcW w:w="2158" w:type="dxa"/>
            <w:vMerge/>
          </w:tcPr>
          <w:p w14:paraId="2BA0CD94" w14:textId="77777777" w:rsidR="00980F8C" w:rsidRDefault="00980F8C" w:rsidP="00EC1155">
            <w:pPr>
              <w:rPr>
                <w:lang w:eastAsia="zh-CN"/>
              </w:rPr>
            </w:pPr>
          </w:p>
        </w:tc>
        <w:tc>
          <w:tcPr>
            <w:tcW w:w="8632" w:type="dxa"/>
            <w:gridSpan w:val="4"/>
          </w:tcPr>
          <w:p w14:paraId="04DB850F" w14:textId="4A9670DC" w:rsidR="00616571" w:rsidRDefault="00616571" w:rsidP="00616571">
            <w:pPr>
              <w:rPr>
                <w:lang w:eastAsia="zh-CN"/>
              </w:rPr>
            </w:pPr>
            <w:r>
              <w:rPr>
                <w:lang w:eastAsia="zh-CN"/>
              </w:rPr>
              <w:t>Kế hoạch Tổng thể Số ASEAN 2025 (ASEAN Digital Masterplan 2025)</w:t>
            </w:r>
          </w:p>
          <w:p w14:paraId="425920D1" w14:textId="08748D9A" w:rsidR="00616571" w:rsidRDefault="00616571" w:rsidP="00616571">
            <w:pPr>
              <w:rPr>
                <w:lang w:eastAsia="zh-CN"/>
              </w:rPr>
            </w:pPr>
            <w:r>
              <w:rPr>
                <w:lang w:eastAsia="zh-CN"/>
              </w:rPr>
              <w:t>Kế hoạch Tổng thể CNTT ASEAN 2020 (ASEAN ICT Masterplan 2020)</w:t>
            </w:r>
          </w:p>
          <w:p w14:paraId="4B2107AC" w14:textId="7A691313" w:rsidR="00616571" w:rsidRDefault="00616571" w:rsidP="00616571">
            <w:pPr>
              <w:rPr>
                <w:lang w:eastAsia="zh-CN"/>
              </w:rPr>
            </w:pPr>
            <w:r>
              <w:rPr>
                <w:lang w:eastAsia="zh-CN"/>
              </w:rPr>
              <w:t>Kế hoạch Tổng thể Số ASEAN 2030 (dự kiến hoàn thiện năm 2025)</w:t>
            </w:r>
          </w:p>
          <w:p w14:paraId="5C446127" w14:textId="4D302208" w:rsidR="00980F8C" w:rsidRDefault="00616571" w:rsidP="00616571">
            <w:pPr>
              <w:rPr>
                <w:lang w:eastAsia="zh-CN"/>
              </w:rPr>
            </w:pPr>
            <w:r>
              <w:rPr>
                <w:lang w:eastAsia="zh-CN"/>
              </w:rPr>
              <w:t>Theo dõi Chỉ số Đổi mới Toàn cầu của WIPO (GII) trong khuôn khổ Chỉ số Hội nhập Số ASEAN (ADII)</w:t>
            </w:r>
          </w:p>
        </w:tc>
      </w:tr>
      <w:tr w:rsidR="00980F8C" w14:paraId="4430A01D" w14:textId="77777777" w:rsidTr="00DF5365">
        <w:tc>
          <w:tcPr>
            <w:tcW w:w="2158" w:type="dxa"/>
            <w:vMerge/>
          </w:tcPr>
          <w:p w14:paraId="238A0DBB" w14:textId="77777777" w:rsidR="00980F8C" w:rsidRDefault="00980F8C" w:rsidP="00EC1155">
            <w:pPr>
              <w:rPr>
                <w:lang w:eastAsia="zh-CN"/>
              </w:rPr>
            </w:pPr>
          </w:p>
        </w:tc>
        <w:tc>
          <w:tcPr>
            <w:tcW w:w="2158" w:type="dxa"/>
          </w:tcPr>
          <w:p w14:paraId="275343D8" w14:textId="77777777" w:rsidR="00695C1B" w:rsidRPr="00695C1B" w:rsidRDefault="00695C1B" w:rsidP="00695C1B">
            <w:pPr>
              <w:pStyle w:val="ListParagraph"/>
              <w:numPr>
                <w:ilvl w:val="0"/>
                <w:numId w:val="16"/>
              </w:numPr>
              <w:spacing w:after="0"/>
              <w:rPr>
                <w:rFonts w:ascii="Arial" w:hAnsi="Arial"/>
                <w:lang w:eastAsia="zh-CN"/>
              </w:rPr>
            </w:pPr>
            <w:r w:rsidRPr="00695C1B">
              <w:rPr>
                <w:rFonts w:ascii="Arial" w:hAnsi="Arial"/>
                <w:lang w:eastAsia="zh-CN"/>
              </w:rPr>
              <w:t>Cơ chế Một cửa ASEAN</w:t>
            </w:r>
          </w:p>
          <w:p w14:paraId="48C8EAD4" w14:textId="77777777" w:rsidR="00695C1B" w:rsidRPr="00695C1B" w:rsidRDefault="00695C1B" w:rsidP="00695C1B">
            <w:pPr>
              <w:pStyle w:val="ListParagraph"/>
              <w:numPr>
                <w:ilvl w:val="0"/>
                <w:numId w:val="16"/>
              </w:numPr>
              <w:spacing w:after="0"/>
              <w:rPr>
                <w:rFonts w:ascii="Arial" w:hAnsi="Arial"/>
                <w:lang w:eastAsia="zh-CN"/>
              </w:rPr>
            </w:pPr>
            <w:r w:rsidRPr="00695C1B">
              <w:rPr>
                <w:rFonts w:ascii="Arial" w:hAnsi="Arial"/>
                <w:lang w:eastAsia="zh-CN"/>
              </w:rPr>
              <w:t>Hệ thống Quá cảnh Hải quan ASEAN (ACTS)</w:t>
            </w:r>
          </w:p>
          <w:p w14:paraId="6E616E3E" w14:textId="77777777" w:rsidR="00695C1B" w:rsidRPr="00695C1B" w:rsidRDefault="00695C1B" w:rsidP="00695C1B">
            <w:pPr>
              <w:pStyle w:val="ListParagraph"/>
              <w:numPr>
                <w:ilvl w:val="0"/>
                <w:numId w:val="16"/>
              </w:numPr>
              <w:spacing w:after="0"/>
              <w:rPr>
                <w:rFonts w:ascii="Arial" w:hAnsi="Arial"/>
                <w:lang w:eastAsia="zh-CN"/>
              </w:rPr>
            </w:pPr>
            <w:r w:rsidRPr="00695C1B">
              <w:rPr>
                <w:rFonts w:ascii="Arial" w:hAnsi="Arial"/>
                <w:lang w:eastAsia="zh-CN"/>
              </w:rPr>
              <w:t>Hướng dẫn Trao đổi Thông tin trong Thương mại điện tử giữa các Cơ quan Hải quan</w:t>
            </w:r>
          </w:p>
          <w:p w14:paraId="023D7483" w14:textId="20FB93CA" w:rsidR="00980F8C" w:rsidRPr="00695C1B" w:rsidRDefault="00695C1B" w:rsidP="00695C1B">
            <w:pPr>
              <w:pStyle w:val="ListParagraph"/>
              <w:numPr>
                <w:ilvl w:val="0"/>
                <w:numId w:val="16"/>
              </w:numPr>
              <w:spacing w:after="0"/>
              <w:rPr>
                <w:rFonts w:ascii="Arial" w:hAnsi="Arial"/>
                <w:lang w:eastAsia="zh-CN"/>
              </w:rPr>
            </w:pPr>
            <w:r w:rsidRPr="00695C1B">
              <w:rPr>
                <w:rFonts w:ascii="Arial" w:hAnsi="Arial"/>
                <w:lang w:eastAsia="zh-CN"/>
              </w:rPr>
              <w:t>Đăng ký Nhà vận hành Thương mại điện tử ASEAN (dự kiến hoàn thiện năm 2025)</w:t>
            </w:r>
          </w:p>
        </w:tc>
        <w:tc>
          <w:tcPr>
            <w:tcW w:w="2158" w:type="dxa"/>
          </w:tcPr>
          <w:p w14:paraId="3ED85C34" w14:textId="77777777" w:rsidR="00695C1B" w:rsidRPr="00695C1B" w:rsidRDefault="00695C1B" w:rsidP="00695C1B">
            <w:pPr>
              <w:pStyle w:val="ListParagraph"/>
              <w:numPr>
                <w:ilvl w:val="0"/>
                <w:numId w:val="16"/>
              </w:numPr>
              <w:spacing w:after="0"/>
              <w:rPr>
                <w:rFonts w:ascii="Arial" w:hAnsi="Arial"/>
                <w:lang w:eastAsia="zh-CN"/>
              </w:rPr>
            </w:pPr>
            <w:r w:rsidRPr="00695C1B">
              <w:rPr>
                <w:rFonts w:ascii="Arial" w:hAnsi="Arial"/>
                <w:lang w:eastAsia="zh-CN"/>
              </w:rPr>
              <w:t>Hiệp định ASEAN về Thương mại Điện tử</w:t>
            </w:r>
          </w:p>
          <w:p w14:paraId="60F66010" w14:textId="77777777" w:rsidR="00695C1B" w:rsidRPr="00695C1B" w:rsidRDefault="00695C1B" w:rsidP="00695C1B">
            <w:pPr>
              <w:pStyle w:val="ListParagraph"/>
              <w:numPr>
                <w:ilvl w:val="0"/>
                <w:numId w:val="16"/>
              </w:numPr>
              <w:spacing w:after="0"/>
              <w:rPr>
                <w:rFonts w:ascii="Arial" w:hAnsi="Arial"/>
                <w:lang w:eastAsia="zh-CN"/>
              </w:rPr>
            </w:pPr>
            <w:r w:rsidRPr="00695C1B">
              <w:rPr>
                <w:rFonts w:ascii="Arial" w:hAnsi="Arial"/>
                <w:lang w:eastAsia="zh-CN"/>
              </w:rPr>
              <w:t>Khung chính sách ASEAN về thanh toán bán lẻ xuyên biên giới theo thời gian thực (RT-RPS)</w:t>
            </w:r>
          </w:p>
          <w:p w14:paraId="6EC9029E" w14:textId="77777777" w:rsidR="00695C1B" w:rsidRPr="00695C1B" w:rsidRDefault="00695C1B" w:rsidP="00695C1B">
            <w:pPr>
              <w:pStyle w:val="ListParagraph"/>
              <w:numPr>
                <w:ilvl w:val="0"/>
                <w:numId w:val="16"/>
              </w:numPr>
              <w:spacing w:after="0"/>
              <w:rPr>
                <w:rFonts w:ascii="Arial" w:hAnsi="Arial"/>
                <w:lang w:eastAsia="zh-CN"/>
              </w:rPr>
            </w:pPr>
            <w:r w:rsidRPr="00695C1B">
              <w:rPr>
                <w:rFonts w:ascii="Arial" w:hAnsi="Arial"/>
                <w:lang w:eastAsia="zh-CN"/>
              </w:rPr>
              <w:t>Sổ tay Thương mại điện tử và Cạnh tranh trong ASEAN</w:t>
            </w:r>
          </w:p>
          <w:p w14:paraId="0AAB7433" w14:textId="070891AB" w:rsidR="00980F8C" w:rsidRPr="00695C1B" w:rsidRDefault="00695C1B" w:rsidP="00695C1B">
            <w:pPr>
              <w:pStyle w:val="ListParagraph"/>
              <w:numPr>
                <w:ilvl w:val="0"/>
                <w:numId w:val="16"/>
              </w:numPr>
              <w:spacing w:after="0"/>
              <w:rPr>
                <w:rFonts w:ascii="Arial" w:hAnsi="Arial"/>
                <w:lang w:eastAsia="zh-CN"/>
              </w:rPr>
            </w:pPr>
            <w:r w:rsidRPr="00695C1B">
              <w:rPr>
                <w:rFonts w:ascii="Arial" w:hAnsi="Arial"/>
                <w:lang w:eastAsia="zh-CN"/>
              </w:rPr>
              <w:t xml:space="preserve">Phân tích khoảng trống về khung pháp lý thương mại </w:t>
            </w:r>
            <w:r w:rsidRPr="00695C1B">
              <w:rPr>
                <w:rFonts w:ascii="Arial" w:hAnsi="Arial"/>
                <w:lang w:eastAsia="zh-CN"/>
              </w:rPr>
              <w:lastRenderedPageBreak/>
              <w:t>điện tử ASEAN</w:t>
            </w:r>
          </w:p>
        </w:tc>
        <w:tc>
          <w:tcPr>
            <w:tcW w:w="2158" w:type="dxa"/>
          </w:tcPr>
          <w:p w14:paraId="0D936BD3" w14:textId="77777777" w:rsidR="00695C1B" w:rsidRPr="00695C1B" w:rsidRDefault="00695C1B" w:rsidP="00695C1B">
            <w:pPr>
              <w:pStyle w:val="ListParagraph"/>
              <w:numPr>
                <w:ilvl w:val="0"/>
                <w:numId w:val="16"/>
              </w:numPr>
              <w:spacing w:after="0"/>
              <w:rPr>
                <w:rFonts w:ascii="Arial" w:hAnsi="Arial"/>
                <w:lang w:eastAsia="zh-CN"/>
              </w:rPr>
            </w:pPr>
            <w:r w:rsidRPr="00695C1B">
              <w:rPr>
                <w:rFonts w:ascii="Arial" w:hAnsi="Arial"/>
                <w:lang w:eastAsia="zh-CN"/>
              </w:rPr>
              <w:lastRenderedPageBreak/>
              <w:t>Số định danh doanh nghiệp duy nhất (UBIN)</w:t>
            </w:r>
          </w:p>
          <w:p w14:paraId="0BAF7DB9" w14:textId="77777777" w:rsidR="00695C1B" w:rsidRPr="00695C1B" w:rsidRDefault="00695C1B" w:rsidP="00695C1B">
            <w:pPr>
              <w:pStyle w:val="ListParagraph"/>
              <w:numPr>
                <w:ilvl w:val="0"/>
                <w:numId w:val="16"/>
              </w:numPr>
              <w:spacing w:after="0"/>
              <w:rPr>
                <w:rFonts w:ascii="Arial" w:hAnsi="Arial"/>
                <w:lang w:eastAsia="zh-CN"/>
              </w:rPr>
            </w:pPr>
            <w:r w:rsidRPr="00695C1B">
              <w:rPr>
                <w:rFonts w:ascii="Arial" w:hAnsi="Arial"/>
                <w:lang w:eastAsia="zh-CN"/>
              </w:rPr>
              <w:t>Thông tin định danh số ASEAN</w:t>
            </w:r>
          </w:p>
          <w:p w14:paraId="2B42B2EB" w14:textId="77777777" w:rsidR="00695C1B" w:rsidRPr="00695C1B" w:rsidRDefault="00695C1B" w:rsidP="00695C1B">
            <w:pPr>
              <w:pStyle w:val="ListParagraph"/>
              <w:numPr>
                <w:ilvl w:val="0"/>
                <w:numId w:val="16"/>
              </w:numPr>
              <w:spacing w:after="0"/>
              <w:rPr>
                <w:rFonts w:ascii="Arial" w:hAnsi="Arial"/>
                <w:lang w:eastAsia="zh-CN"/>
              </w:rPr>
            </w:pPr>
            <w:r w:rsidRPr="00695C1B">
              <w:rPr>
                <w:rFonts w:ascii="Arial" w:hAnsi="Arial"/>
                <w:lang w:eastAsia="zh-CN"/>
              </w:rPr>
              <w:t>Chiến lược Hợp tác An ninh mạng ASEAN 2021–2025</w:t>
            </w:r>
          </w:p>
          <w:p w14:paraId="2F6A4AF8" w14:textId="77777777" w:rsidR="00695C1B" w:rsidRPr="00695C1B" w:rsidRDefault="00695C1B" w:rsidP="00695C1B">
            <w:pPr>
              <w:pStyle w:val="ListParagraph"/>
              <w:numPr>
                <w:ilvl w:val="0"/>
                <w:numId w:val="16"/>
              </w:numPr>
              <w:spacing w:after="0"/>
              <w:rPr>
                <w:rFonts w:ascii="Arial" w:hAnsi="Arial"/>
                <w:lang w:eastAsia="zh-CN"/>
              </w:rPr>
            </w:pPr>
            <w:r w:rsidRPr="00695C1B">
              <w:rPr>
                <w:rFonts w:ascii="Arial" w:hAnsi="Arial"/>
                <w:lang w:eastAsia="zh-CN"/>
              </w:rPr>
              <w:t>Hướng dẫn ASEAN về Bảo vệ người tiêu dùng trong thương mại điện tử</w:t>
            </w:r>
          </w:p>
          <w:p w14:paraId="2DE76B8F" w14:textId="77777777" w:rsidR="00695C1B" w:rsidRPr="00695C1B" w:rsidRDefault="00695C1B" w:rsidP="00695C1B">
            <w:pPr>
              <w:pStyle w:val="ListParagraph"/>
              <w:numPr>
                <w:ilvl w:val="0"/>
                <w:numId w:val="16"/>
              </w:numPr>
              <w:spacing w:after="0"/>
              <w:rPr>
                <w:rFonts w:ascii="Arial" w:hAnsi="Arial"/>
                <w:lang w:eastAsia="zh-CN"/>
              </w:rPr>
            </w:pPr>
            <w:r w:rsidRPr="00695C1B">
              <w:rPr>
                <w:rFonts w:ascii="Arial" w:hAnsi="Arial"/>
                <w:lang w:eastAsia="zh-CN"/>
              </w:rPr>
              <w:t xml:space="preserve">Bộ Quy tắc Ứng xử Kinh doanh </w:t>
            </w:r>
            <w:r w:rsidRPr="00695C1B">
              <w:rPr>
                <w:rFonts w:ascii="Arial" w:hAnsi="Arial"/>
                <w:lang w:eastAsia="zh-CN"/>
              </w:rPr>
              <w:lastRenderedPageBreak/>
              <w:t>Trực tuyến ASEAN</w:t>
            </w:r>
          </w:p>
          <w:p w14:paraId="324C2FFE" w14:textId="77777777" w:rsidR="00695C1B" w:rsidRPr="00695C1B" w:rsidRDefault="00695C1B" w:rsidP="00695C1B">
            <w:pPr>
              <w:pStyle w:val="ListParagraph"/>
              <w:numPr>
                <w:ilvl w:val="0"/>
                <w:numId w:val="16"/>
              </w:numPr>
              <w:spacing w:after="0"/>
              <w:rPr>
                <w:rFonts w:ascii="Arial" w:hAnsi="Arial"/>
                <w:lang w:eastAsia="zh-CN"/>
              </w:rPr>
            </w:pPr>
            <w:r w:rsidRPr="00695C1B">
              <w:rPr>
                <w:rFonts w:ascii="Arial" w:hAnsi="Arial"/>
                <w:lang w:eastAsia="zh-CN"/>
              </w:rPr>
              <w:t>Hướng dẫn Giải quyết Tranh chấp Trực tuyến ASEAN</w:t>
            </w:r>
          </w:p>
          <w:p w14:paraId="13462EF8" w14:textId="77777777" w:rsidR="00695C1B" w:rsidRPr="00695C1B" w:rsidRDefault="00695C1B" w:rsidP="00695C1B">
            <w:pPr>
              <w:pStyle w:val="ListParagraph"/>
              <w:numPr>
                <w:ilvl w:val="0"/>
                <w:numId w:val="16"/>
              </w:numPr>
              <w:spacing w:after="0"/>
              <w:rPr>
                <w:rFonts w:ascii="Arial" w:hAnsi="Arial"/>
                <w:lang w:eastAsia="zh-CN"/>
              </w:rPr>
            </w:pPr>
            <w:r w:rsidRPr="00695C1B">
              <w:rPr>
                <w:rFonts w:ascii="Arial" w:hAnsi="Arial"/>
                <w:lang w:eastAsia="zh-CN"/>
              </w:rPr>
              <w:t>Khung ASEAN về Bảo vệ Dữ liệu Cá nhân</w:t>
            </w:r>
          </w:p>
          <w:p w14:paraId="1A0DA5A8" w14:textId="77777777" w:rsidR="00695C1B" w:rsidRPr="00695C1B" w:rsidRDefault="00695C1B" w:rsidP="00695C1B">
            <w:pPr>
              <w:pStyle w:val="ListParagraph"/>
              <w:numPr>
                <w:ilvl w:val="0"/>
                <w:numId w:val="16"/>
              </w:numPr>
              <w:spacing w:after="0"/>
              <w:rPr>
                <w:rFonts w:ascii="Arial" w:hAnsi="Arial"/>
                <w:lang w:eastAsia="zh-CN"/>
              </w:rPr>
            </w:pPr>
            <w:r w:rsidRPr="00695C1B">
              <w:rPr>
                <w:rFonts w:ascii="Arial" w:hAnsi="Arial"/>
                <w:lang w:eastAsia="zh-CN"/>
              </w:rPr>
              <w:t>Khung Quản trị Dữ liệu ASEAN</w:t>
            </w:r>
          </w:p>
          <w:p w14:paraId="438EC795" w14:textId="77777777" w:rsidR="00695C1B" w:rsidRPr="00695C1B" w:rsidRDefault="00695C1B" w:rsidP="00695C1B">
            <w:pPr>
              <w:pStyle w:val="ListParagraph"/>
              <w:numPr>
                <w:ilvl w:val="0"/>
                <w:numId w:val="16"/>
              </w:numPr>
              <w:spacing w:after="0"/>
              <w:rPr>
                <w:rFonts w:ascii="Arial" w:hAnsi="Arial"/>
                <w:lang w:eastAsia="zh-CN"/>
              </w:rPr>
            </w:pPr>
            <w:r w:rsidRPr="00695C1B">
              <w:rPr>
                <w:rFonts w:ascii="Arial" w:hAnsi="Arial"/>
                <w:lang w:eastAsia="zh-CN"/>
              </w:rPr>
              <w:t>Điều khoản hợp đồng mẫu ASEAN về dòng dữ liệu xuyên biên giới</w:t>
            </w:r>
          </w:p>
          <w:p w14:paraId="34656B79" w14:textId="77777777" w:rsidR="00695C1B" w:rsidRPr="00695C1B" w:rsidRDefault="00695C1B" w:rsidP="00695C1B">
            <w:pPr>
              <w:pStyle w:val="ListParagraph"/>
              <w:numPr>
                <w:ilvl w:val="0"/>
                <w:numId w:val="16"/>
              </w:numPr>
              <w:spacing w:after="0"/>
              <w:rPr>
                <w:rFonts w:ascii="Arial" w:hAnsi="Arial"/>
                <w:lang w:eastAsia="zh-CN"/>
              </w:rPr>
            </w:pPr>
            <w:r w:rsidRPr="00695C1B">
              <w:rPr>
                <w:rFonts w:ascii="Arial" w:hAnsi="Arial"/>
                <w:lang w:eastAsia="zh-CN"/>
              </w:rPr>
              <w:t>Cơ chế chứng nhận ASEAN cho dòng dữ liệu xuyên biên giới (dự kiến hoàn thiện năm 2025)</w:t>
            </w:r>
          </w:p>
          <w:p w14:paraId="6E957B41" w14:textId="64769600" w:rsidR="00980F8C" w:rsidRPr="00695C1B" w:rsidRDefault="00695C1B" w:rsidP="00695C1B">
            <w:pPr>
              <w:pStyle w:val="ListParagraph"/>
              <w:numPr>
                <w:ilvl w:val="0"/>
                <w:numId w:val="16"/>
              </w:numPr>
              <w:spacing w:after="0"/>
              <w:rPr>
                <w:rFonts w:ascii="Arial" w:hAnsi="Arial"/>
                <w:lang w:eastAsia="zh-CN"/>
              </w:rPr>
            </w:pPr>
            <w:r w:rsidRPr="00695C1B">
              <w:rPr>
                <w:rFonts w:ascii="Arial" w:hAnsi="Arial"/>
                <w:lang w:eastAsia="zh-CN"/>
              </w:rPr>
              <w:t xml:space="preserve">Chiến lược Hợp tác An ninh mạng ASEAN 2026–2030 (dự kiến </w:t>
            </w:r>
            <w:r w:rsidRPr="00695C1B">
              <w:rPr>
                <w:rFonts w:ascii="Arial" w:hAnsi="Arial"/>
                <w:lang w:eastAsia="zh-CN"/>
              </w:rPr>
              <w:lastRenderedPageBreak/>
              <w:t>hoàn thiện năm 2025)</w:t>
            </w:r>
          </w:p>
        </w:tc>
        <w:tc>
          <w:tcPr>
            <w:tcW w:w="2158" w:type="dxa"/>
          </w:tcPr>
          <w:p w14:paraId="1D5BF6EE" w14:textId="77777777" w:rsidR="00695C1B" w:rsidRPr="00695C1B" w:rsidRDefault="00695C1B" w:rsidP="00695C1B">
            <w:pPr>
              <w:pStyle w:val="ListParagraph"/>
              <w:numPr>
                <w:ilvl w:val="0"/>
                <w:numId w:val="16"/>
              </w:numPr>
              <w:spacing w:after="0"/>
              <w:rPr>
                <w:rFonts w:ascii="Arial" w:hAnsi="Arial"/>
                <w:lang w:eastAsia="zh-CN"/>
              </w:rPr>
            </w:pPr>
            <w:r w:rsidRPr="00695C1B">
              <w:rPr>
                <w:rFonts w:ascii="Arial" w:hAnsi="Arial"/>
                <w:lang w:eastAsia="zh-CN"/>
              </w:rPr>
              <w:lastRenderedPageBreak/>
              <w:t>Hướng dẫn ASEAN về Quản trị và Đạo đức AI</w:t>
            </w:r>
          </w:p>
          <w:p w14:paraId="77A65C52" w14:textId="245649DA" w:rsidR="00980F8C" w:rsidRPr="00695C1B" w:rsidRDefault="00695C1B" w:rsidP="00695C1B">
            <w:pPr>
              <w:pStyle w:val="ListParagraph"/>
              <w:numPr>
                <w:ilvl w:val="0"/>
                <w:numId w:val="16"/>
              </w:numPr>
              <w:spacing w:after="0"/>
              <w:rPr>
                <w:rFonts w:ascii="Arial" w:hAnsi="Arial"/>
                <w:lang w:eastAsia="zh-CN"/>
              </w:rPr>
            </w:pPr>
            <w:r w:rsidRPr="00695C1B">
              <w:rPr>
                <w:rFonts w:ascii="Arial" w:hAnsi="Arial"/>
                <w:lang w:eastAsia="zh-CN"/>
              </w:rPr>
              <w:t>Lộ trình AI có trách nhiệm của ASEAN (dự kiến hoàn thiện năm 2024)</w:t>
            </w:r>
          </w:p>
        </w:tc>
      </w:tr>
    </w:tbl>
    <w:p w14:paraId="5B617B8C" w14:textId="77777777" w:rsidR="00EC1155" w:rsidRPr="002556A6" w:rsidRDefault="00EC1155" w:rsidP="00EC1155">
      <w:pPr>
        <w:rPr>
          <w:lang w:eastAsia="zh-CN"/>
        </w:rPr>
      </w:pPr>
    </w:p>
    <w:p w14:paraId="0F57EF15" w14:textId="3950E9B3" w:rsidR="00735411" w:rsidRDefault="007677A4" w:rsidP="00735411">
      <w:pPr>
        <w:spacing w:after="0"/>
      </w:pPr>
      <w:r>
        <w:rPr>
          <w:i/>
          <w:sz w:val="20"/>
          <w:szCs w:val="20"/>
        </w:rPr>
        <w:t>Nguồn</w:t>
      </w:r>
      <w:r w:rsidR="00E9797E" w:rsidRPr="004F1D15">
        <w:rPr>
          <w:i/>
          <w:sz w:val="20"/>
          <w:szCs w:val="20"/>
        </w:rPr>
        <w:t xml:space="preserve">: </w:t>
      </w:r>
      <w:r>
        <w:rPr>
          <w:i/>
          <w:sz w:val="20"/>
          <w:szCs w:val="20"/>
        </w:rPr>
        <w:t>Phân tích của Access Partnership</w:t>
      </w:r>
    </w:p>
    <w:p w14:paraId="2C43231C" w14:textId="0BE744EF" w:rsidR="00E7036A" w:rsidRPr="004F1D15" w:rsidRDefault="00E7036A" w:rsidP="007664A3">
      <w:r w:rsidRPr="00E7036A">
        <w:t xml:space="preserve">Khung chiến lược cho Lộ trình </w:t>
      </w:r>
      <w:r w:rsidR="00F873B7">
        <w:t>TCTMS</w:t>
      </w:r>
      <w:r w:rsidRPr="00E7036A">
        <w:t xml:space="preserve"> của ASEAN đóng vai trò như một phương pháp tiếp cận toàn diện nhằm xây dựng một môi trường thương mại số gắn kết và hiệu quả trên toàn khu vực. Chương này trình bày các yếu tố then chốt của khung chiến lược, bao gồm: (1) các kết quả chiến lược, (2) tầm nhìn, (3) lập bản đồ các lĩnh vực thương mại số và các mục tiêu cuối cùng cho việc hài hòa tiêu chuẩn trong từng lĩnh vực, (4) các nhóm lĩnh vực hành động, (5) tiêu chí ưu tiên và hài hòa tiêu chuẩn, và (6) các sáng kiến </w:t>
      </w:r>
      <w:r w:rsidR="00616696">
        <w:t>số</w:t>
      </w:r>
      <w:r w:rsidRPr="00E7036A">
        <w:t xml:space="preserve"> trọng điểm của ASEAN. Khung này hỗ trợ các quốc gia thành viên ASEAN (AMS) trong việc điều chỉnh với các sáng kiến khu vực và thông lệ quốc tế, qua đó nâng cao năng lực cạnh tranh của ASEAN trong nền kinh tế số toàn cầu.</w:t>
      </w:r>
    </w:p>
    <w:p w14:paraId="23C5672F" w14:textId="15DDDFF7" w:rsidR="00C83E09" w:rsidRPr="004F1D15" w:rsidRDefault="00A03101" w:rsidP="00C83E09">
      <w:pPr>
        <w:pStyle w:val="Heading3"/>
        <w:rPr>
          <w:lang w:val="en-GB"/>
        </w:rPr>
      </w:pPr>
      <w:r>
        <w:rPr>
          <w:lang w:val="en-GB"/>
        </w:rPr>
        <w:t>Kết quả chiến lược</w:t>
      </w:r>
    </w:p>
    <w:p w14:paraId="10712680" w14:textId="633893AD" w:rsidR="00A03101" w:rsidRPr="004F1D15" w:rsidRDefault="00A03101" w:rsidP="007664A3">
      <w:r>
        <w:t xml:space="preserve">Lộ trình hướng tới ba kết quả chiến lược: (1) Thúc đẩy tăng trưởng bền vững và bao trùm; (2) Đơn giản hóa các dòng chảy thương mại số; </w:t>
      </w:r>
      <w:r w:rsidR="00291CB4">
        <w:t xml:space="preserve">và </w:t>
      </w:r>
      <w:r>
        <w:t>(3) Tăng cường hội nhập số</w:t>
      </w:r>
      <w:r w:rsidR="00291CB4">
        <w:t>. Phần sau trình bày chi tiết ba kết quả chiến lược này.</w:t>
      </w:r>
    </w:p>
    <w:p w14:paraId="400CCAA8" w14:textId="60EE808A" w:rsidR="008377B2" w:rsidRPr="004F1D15" w:rsidRDefault="00291CB4" w:rsidP="007664A3">
      <w:pPr>
        <w:rPr>
          <w:b/>
          <w:bCs/>
        </w:rPr>
      </w:pPr>
      <w:r>
        <w:rPr>
          <w:b/>
          <w:bCs/>
        </w:rPr>
        <w:t>Thúc đẩy tăng trưởng khu vực bền vững và bao trùm</w:t>
      </w:r>
    </w:p>
    <w:p w14:paraId="244B9DAB" w14:textId="68A71312" w:rsidR="00291CB4" w:rsidRPr="004F1D15" w:rsidRDefault="00291CB4" w:rsidP="00291CB4">
      <w:r>
        <w:t xml:space="preserve">Lộ trình </w:t>
      </w:r>
      <w:r w:rsidR="00F873B7">
        <w:t>TCTMS</w:t>
      </w:r>
      <w:r>
        <w:t xml:space="preserve"> của ASEAN hướng tới thúc đẩy tăng trưởng kinh tế và xã hội mang tính bền vững và bao trùm thông qua việc thúc đẩy hài hòa các tiêu chuẩn thương mại số. Bằng cách điều chỉnh các tiêu chuẩn thương mại số, ASEAN có thể đạt được tăng trưởng kinh tế và xã hội có tính bao trùm. Về mặt kinh tế, việc xây dựng các khuôn khổ và tiêu chuẩn chung có thể giảm rào cản thương mại, tăng cường tạo thuận lợi thương mại, và thúc đẩy phân bổ thu nhập cũng như tăng trưởng bình quân đầu người</w:t>
      </w:r>
      <w:r w:rsidR="00892CD6">
        <w:rPr>
          <w:rStyle w:val="FootnoteReference"/>
        </w:rPr>
        <w:footnoteReference w:id="315"/>
      </w:r>
      <w:r>
        <w:t>, đảm bảo rằng mọi quốc gia đều có cơ hội công bằng để tham gia và hưởng lợi từ nền kinh tế số. Bên cạnh lợi ích tài chính, việc hài hòa các tiêu chuẩn thương mại số còn giúp xây dựng một xã hội số mang tính bao trùm, hỗ trợ tất cả các bên liên quan, bao gồm MSMEs (doanh nghiệp siêu nhỏ, nhỏ và vừa) và các cộng đồng yếu thế. Ví dụ, khu vực hiện có khoảng 60 triệu doanh nghiệp do phụ nữ sở hữu và điều hành, trong đó nhiều doanh nghiệp gặp thách thức lớn như hạn chế tiếp cận tài chính, công nghệ, cũng như hạn chế về năng lực tài chính và hiểu biết số</w:t>
      </w:r>
      <w:r w:rsidR="00892CD6">
        <w:rPr>
          <w:rStyle w:val="FootnoteReference"/>
        </w:rPr>
        <w:footnoteReference w:id="316"/>
      </w:r>
      <w:r>
        <w:t>. Việc hài hòa các tiêu chuẩn thương mại số có thể mở ra cơ hội cho các MSMEs do phụ nữ sở hữu và điều hành, cũng như các nhóm yếu thế khác, từ đó nâng cao khả năng tiếp cận, hiệu quả và chất lượng cuộc sống</w:t>
      </w:r>
      <w:r w:rsidR="00892CD6">
        <w:rPr>
          <w:rStyle w:val="FootnoteReference"/>
        </w:rPr>
        <w:footnoteReference w:id="317"/>
      </w:r>
      <w:r>
        <w:t xml:space="preserve">. Hơn nữa, việc thực hiện Lộ trình sẽ giúp điều chỉnh chính sách và phối hợp nỗ lực nhằm thúc đẩy áp dụng các tiêu chuẩn thương mại số, ưu tiên các sáng kiến xây dựng năng lực, và thúc đẩy đầu tư vào hạ </w:t>
      </w:r>
      <w:r>
        <w:lastRenderedPageBreak/>
        <w:t>tầng số tại các khu vực kém phát triển hơn. Những nỗ lực tổng hợp này đều góp phần hỗ trợ tăng trưởng kinh tế và xã hội bền vững, mang lại lợi ích cho tất cả các quốc gia thành viên.</w:t>
      </w:r>
    </w:p>
    <w:p w14:paraId="0AE604A7" w14:textId="5B6947EE" w:rsidR="008377B2" w:rsidRPr="004F1D15" w:rsidRDefault="00892CD6" w:rsidP="007664A3">
      <w:pPr>
        <w:rPr>
          <w:b/>
          <w:bCs/>
        </w:rPr>
      </w:pPr>
      <w:r>
        <w:rPr>
          <w:b/>
          <w:bCs/>
        </w:rPr>
        <w:t>Đơn giản hóa các dòng chảy thương mại số</w:t>
      </w:r>
    </w:p>
    <w:p w14:paraId="5BA3944F" w14:textId="7759540A" w:rsidR="00892CD6" w:rsidRPr="004F1D15" w:rsidRDefault="00892CD6" w:rsidP="00892CD6">
      <w:r>
        <w:t>Một kết quả chiến lược quan trọng của lộ trình là đơn giản hóa các dòng chảy thương mại số, được thúc đẩy bởi việc hài hòa các tiêu chuẩn thương mại số. Việc tiêu chuẩn hóa các quy trình quy định và định dạng dữ liệu giúp giảm sự phức tạp và chi phí liên quan đến thương mại số, tạo điều kiện để doanh nghiệp ở mọi quy mô dễ dàng tham gia thương mại quốc tế. Nỗ lực đơn giản hóa này giúp loại bỏ nhu cầu doanh nghiệp phải xử lý các quy định quốc gia đa dạng, dẫn tới quá trình thông quan nhanh hơn và giảm chi phí hành chính. Sự hài hòa như vậy nâng cao tính minh bạch và khả năng dự đoán của môi trường thương mại, từ đó củng cố sức cạnh tranh của nền kinh tế số ASEAN. Nhìn chung, việc hài hòa các tiêu chuẩn thương mại số là chìa khóa để tạo thuận lợi thương mại và loại bỏ các rào cản phi thuế quan hoặc rào cản kỹ thuật đối với thương mại.</w:t>
      </w:r>
    </w:p>
    <w:p w14:paraId="19C83852" w14:textId="19DDB9A1" w:rsidR="008377B2" w:rsidRPr="004F1D15" w:rsidRDefault="00892CD6" w:rsidP="007664A3">
      <w:pPr>
        <w:rPr>
          <w:b/>
          <w:bCs/>
        </w:rPr>
      </w:pPr>
      <w:r>
        <w:rPr>
          <w:b/>
          <w:bCs/>
        </w:rPr>
        <w:t>Tăng cường hội nhập số</w:t>
      </w:r>
    </w:p>
    <w:p w14:paraId="546A93B2" w14:textId="064BC447" w:rsidR="00E55F5A" w:rsidRPr="004F1D15" w:rsidRDefault="00E55F5A" w:rsidP="00E55F5A">
      <w:r>
        <w:t>Tăng cường hội nhập số trong ASEAN là yếu tố quan trọng để đạt được một thị trường khu vực có khả năng tương tác cao. Bằng cách thiết lập các giao thức và khuôn khổ thống nhất, ASEAN tạo điều kiện cho việc trao đổi dữ liệu xuyên biên giới và tăng khả năng tương tác giữa các quốc gia thành viên. Sự hội nhập này không chỉ hỗ trợ dòng chảy giao dịch số liền mạch mà còn thúc đẩy môi trường thuận lợi cho đổi mới sáng tạo. Một thị trường số có khả năng tương tác tốt khuyến khích doanh nghiệp mở rộng quy mô hoạt động ở cấp khu vực và toàn cầu một cách hiệu quả hơn, từ đó mở ra các cơ hội kinh tế mới trên nhiều lĩnh vực khác nhau.</w:t>
      </w:r>
    </w:p>
    <w:p w14:paraId="188FDC14" w14:textId="6BBB83FE" w:rsidR="008F5D49" w:rsidRPr="004F1D15" w:rsidRDefault="00221CA6" w:rsidP="008F5D49">
      <w:pPr>
        <w:pStyle w:val="Heading3"/>
        <w:rPr>
          <w:lang w:val="en-GB"/>
        </w:rPr>
      </w:pPr>
      <w:r>
        <w:rPr>
          <w:lang w:val="en-GB"/>
        </w:rPr>
        <w:t>Tầm nhìn</w:t>
      </w:r>
    </w:p>
    <w:p w14:paraId="53B7C82C" w14:textId="7039BC59" w:rsidR="00221CA6" w:rsidRPr="004F1D15" w:rsidRDefault="00221CA6" w:rsidP="007664A3">
      <w:r w:rsidRPr="00221CA6">
        <w:t>Tầm nhìn của Lộ trình Tiêu chuẩn Thương mại Số (</w:t>
      </w:r>
      <w:r w:rsidR="00F873B7">
        <w:t>TCTMS</w:t>
      </w:r>
      <w:r w:rsidRPr="00221CA6">
        <w:t>) của ASEAN là đạt được khả năng tương tác (interoperability) thông qua việc tăng cường điều chỉnh, áp dụng và hài hòa các tiêu chuẩn trong các lĩnh vực thương mại số trọng yếu. Tầm nhìn này hướng đến thúc đẩy lợi ích chung của ASEAN trong việc tham gia và tác động tới các tiêu chuẩn quốc tế nhằm hỗ trợ lợi ích kinh doanh của ASEAN và mở rộng khả năng tiếp cận thị trường cũng như mức độ hòa nhập vào chuỗi giá trị toàn cầu.</w:t>
      </w:r>
      <w:r>
        <w:t xml:space="preserve"> </w:t>
      </w:r>
      <w:r w:rsidRPr="00221CA6">
        <w:t>Về dài hạn, tầm nhìn này nhằm thúc đẩy chuyển đổi số, kích thích đổi mới sáng tạo và mở ra các cơ hội thương mại đáng kể cho các quốc gia thành viên ASEAN (AMS).</w:t>
      </w:r>
    </w:p>
    <w:p w14:paraId="036BB074" w14:textId="0AD152A2" w:rsidR="009D6725" w:rsidRPr="004F1D15" w:rsidRDefault="00221CA6" w:rsidP="007664A3">
      <w:r w:rsidRPr="00221CA6">
        <w:t>Lộ trình này ghi nhận bối cảnh công nghệ số thay đổi nhanh chóng và thách thức vốn có trong việc cân bằng giữa đổi mới sáng tạo và việc xây dựng các khuôn khổ và tiêu chuẩn cần thiết cho thương mại số, đặc biệt đối với các công nghệ mới nổi. Điều quan trọng là các tiêu chuẩn không được cản trở đổi mới. Thay vào đó, chúng cần được thiết kế để có thể đáp ứng các trường hợp sử dụng và ứng dụng mới, đảm bảo rằng tiêu chuẩn đóng vai trò chất xúc tác mở khóa tiềm năng của thương mại số, chứ không chỉ là công cụ quản lý mang tính thủ tục.</w:t>
      </w:r>
    </w:p>
    <w:p w14:paraId="2D9E7A9C" w14:textId="573A0E91" w:rsidR="0032638D" w:rsidRDefault="00221CA6" w:rsidP="0032638D">
      <w:pPr>
        <w:pStyle w:val="Heading3"/>
        <w:jc w:val="left"/>
      </w:pPr>
      <w:r>
        <w:t xml:space="preserve">Cách tiếp cận của ASEAN đối với hài hòa tiêu chuẩn </w:t>
      </w:r>
    </w:p>
    <w:p w14:paraId="5C17B826" w14:textId="0D28CEED" w:rsidR="00475913" w:rsidRDefault="00475913" w:rsidP="004E17C8">
      <w:r w:rsidRPr="00475913">
        <w:t xml:space="preserve">Hài hòa tiêu chuẩn đóng vai trò then chốt trong việc thúc đẩy và tạo thuận lợi cho thương mại số. Bằng cách điều chỉnh các yêu cầu kỹ thuật và thực tiễn quản lý, các quốc gia có thể giảm rào cản thương </w:t>
      </w:r>
      <w:r w:rsidRPr="00475913">
        <w:lastRenderedPageBreak/>
        <w:t>mại, tăng cường khả năng tương tác, duy trì tính trung lập công nghệ và thúc đẩy một môi trường kinh tế gắn kết hơn.</w:t>
      </w:r>
    </w:p>
    <w:p w14:paraId="4B2CEF5C" w14:textId="17E62AC2" w:rsidR="00475913" w:rsidRPr="000C7E63" w:rsidRDefault="00475913" w:rsidP="004E17C8">
      <w:r w:rsidRPr="00475913">
        <w:t>Lộ trình này củng cố cách tiếp cận hiện hành của ASEAN đối với hài hòa tiêu chuẩn, trong đó khuyến khích các Cơ quan Tiêu chuẩn Quốc gia (NSBs) của các nước AMS áp dụng các tiêu chuẩn quốc tế. Trong trường hợp chưa có tiêu chuẩn quốc tế, ASEAN sẽ xem xét hài hòa ở cấp khu vực và thúc đẩy công nhận lẫn nhau đối với kết quả đánh giá sự phù hợp. Cách tiếp cận này phù hợp với các nỗ lực rộng hơn của ASEAN nhằm tăng cường hài hòa tiêu chuẩn, được nêu trong các tài liệu như Hướng dẫn ASEAN về Hài hòa Tiêu chuẩn, Hướng dẫn ASEAN về Công nhận và Đánh giá Sự phù hợp, và Hướng dẫn về Các Thỏa thuận Công nhận Lẫn nhau (MRAs).</w:t>
      </w:r>
    </w:p>
    <w:p w14:paraId="126BA652" w14:textId="6B4B92A5" w:rsidR="00CC2DF1" w:rsidRDefault="00475913" w:rsidP="004A38A8">
      <w:pPr>
        <w:rPr>
          <w:b/>
          <w:bCs/>
        </w:rPr>
      </w:pPr>
      <w:r>
        <w:rPr>
          <w:b/>
          <w:bCs/>
        </w:rPr>
        <w:t xml:space="preserve">Áp dụng tiêu chuẩn hài hòa </w:t>
      </w:r>
    </w:p>
    <w:p w14:paraId="043E4256" w14:textId="44C258BF" w:rsidR="00475913" w:rsidRDefault="00475913" w:rsidP="004A38A8">
      <w:pPr>
        <w:rPr>
          <w:lang w:val="en-US"/>
        </w:rPr>
      </w:pPr>
      <w:r w:rsidRPr="00475913">
        <w:rPr>
          <w:lang w:val="en-US"/>
        </w:rPr>
        <w:t>Tiêu chuẩn hài hòa là các tiêu chuẩn cùng chủ đề do các Cơ quan Tiêu chuẩn Quốc gia (NSBs) của AMS phê duyệt, nhằm thiết lập khả năng thay thế cho nhau của sản phẩm, quy trình, dịch vụ hoặc đảm bảo sự hiểu biết chung về kết quả thử nghiệm hoặc thông tin được cung cấp dựa trên các Tiêu chuẩn Tham chiếu (Reference Standards) được công nhận.</w:t>
      </w:r>
      <w:r>
        <w:rPr>
          <w:lang w:val="en-US"/>
        </w:rPr>
        <w:t xml:space="preserve"> </w:t>
      </w:r>
      <w:r w:rsidRPr="00475913">
        <w:rPr>
          <w:lang w:val="en-US"/>
        </w:rPr>
        <w:t>Tiêu chuẩn Tham chiếu là các tiêu chuẩn quốc tế hoặc tiêu chuẩn đã công bố, được phê duyệt để sử dụng làm cơ sở cho việc hài hòa trong ASEAN nhưng chưa được áp dụng làm tiêu chuẩn quốc gia tại AMS</w:t>
      </w:r>
      <w:r>
        <w:rPr>
          <w:rStyle w:val="FootnoteReference"/>
          <w:lang w:val="en-US"/>
        </w:rPr>
        <w:footnoteReference w:id="318"/>
      </w:r>
      <w:r w:rsidRPr="00475913">
        <w:rPr>
          <w:lang w:val="en-US"/>
        </w:rPr>
        <w:t>.</w:t>
      </w:r>
    </w:p>
    <w:p w14:paraId="36BAC74C" w14:textId="4711A09A" w:rsidR="008D7689" w:rsidRPr="004F1D15" w:rsidRDefault="008D7689" w:rsidP="00F0426A">
      <w:r w:rsidRPr="008D7689">
        <w:t>Việc các AMS áp dụng tiêu chuẩn hài hòa có thể đảm bảo tính nhất quán và đồng bộ trong các yêu cầu kỹ thuật, quy trình thử nghiệm và tuân thủ quy định. Điều này giúp giảm rào cản thương mại, thúc đẩy khả năng tương tác và tạo thuận lợi cho thương mại số xuyên biên giới, qua đó nâng cao niềm tin của người tiêu dùng và tăng cường hội nhập thị trường toàn cầu.</w:t>
      </w:r>
    </w:p>
    <w:p w14:paraId="4670B0C6" w14:textId="1D1AD775" w:rsidR="005C1D6B" w:rsidRPr="004F1D15" w:rsidRDefault="008D7689" w:rsidP="005C1D6B">
      <w:pPr>
        <w:rPr>
          <w:b/>
          <w:bCs/>
        </w:rPr>
      </w:pPr>
      <w:r>
        <w:rPr>
          <w:b/>
          <w:bCs/>
        </w:rPr>
        <w:t>Công nhận lẫn nhau kết quả đánh giá sự phù hợp</w:t>
      </w:r>
    </w:p>
    <w:p w14:paraId="1053294D" w14:textId="6E44A8F7" w:rsidR="008D7689" w:rsidRDefault="008D7689" w:rsidP="005C1D6B">
      <w:r w:rsidRPr="008D7689">
        <w:t>Công nhận lẫn nhau kết quả đánh giá sự phù hợp đề cập đến việc chấp nhận các quy trình (ví dụ: báo cáo thử nghiệm, chứng nhận tuân thủ) được sử dụng để xác minh sự tuân thủ với tiêu chuẩn của nước nhập khẩu</w:t>
      </w:r>
      <w:r>
        <w:rPr>
          <w:rStyle w:val="FootnoteReference"/>
        </w:rPr>
        <w:footnoteReference w:id="319"/>
      </w:r>
      <w:r w:rsidRPr="008D7689">
        <w:t>. Điều này có nghĩa rằng quốc gia nhập khẩu công nhận năng lực của các tổ chức đánh giá sự phù hợp của nước xuất khẩu trong việc thực hiện thử nghiệm hoặc chứng nhận theo tiêu chuẩn của nước nhập khẩu.</w:t>
      </w:r>
    </w:p>
    <w:p w14:paraId="1D7D7E38" w14:textId="6F9EFB91" w:rsidR="008D7689" w:rsidRDefault="008D7689" w:rsidP="005C1D6B">
      <w:r w:rsidRPr="008D7689">
        <w:t>Để thúc đẩy việc công nhận lẫn nhau các kết quả đánh giá sự phù hợp, các Thỏa thuận Công nhận Lẫn nhau (MRAs) – là các thỏa thuận giữa hai hoặc nhiều quốc gia nhằm công nhận lẫn nhau việc đánh giá sự phù hợp như thử nghiệm, chứng nhận và kiểm định – đóng vai trò then chốt.</w:t>
      </w:r>
      <w:r>
        <w:t xml:space="preserve"> </w:t>
      </w:r>
      <w:r w:rsidRPr="008D7689">
        <w:t>Các thỏa thuận này, dù song phương hoặc khu vực, giúp giảm rào cản kỹ thuật đối với thương mại và thúc đẩy hội tụ quy định. MRAs có thể đơn giản hóa quy trình tuân thủ, giảm trùng lặp trong thử nghiệm và chứng nhận, đồng thời tăng cường niềm tin giữa các đối tác thương mại.</w:t>
      </w:r>
    </w:p>
    <w:p w14:paraId="67692836" w14:textId="5F50BBB7" w:rsidR="0084243E" w:rsidRPr="004F1D15" w:rsidRDefault="00C04C67" w:rsidP="00C83E09">
      <w:pPr>
        <w:pStyle w:val="Heading3"/>
        <w:rPr>
          <w:lang w:val="en-GB"/>
        </w:rPr>
      </w:pPr>
      <w:r>
        <w:rPr>
          <w:lang w:val="en-GB"/>
        </w:rPr>
        <w:lastRenderedPageBreak/>
        <w:t>Các lĩnh vực Thương mại Số</w:t>
      </w:r>
    </w:p>
    <w:p w14:paraId="6070781D" w14:textId="4BAF4BC9" w:rsidR="00D7035A" w:rsidRPr="00073C0D" w:rsidRDefault="00C04C67" w:rsidP="00D7035A">
      <w:pPr>
        <w:pStyle w:val="Heading4"/>
        <w:rPr>
          <w:lang w:val="en-GB"/>
        </w:rPr>
      </w:pPr>
      <w:r>
        <w:rPr>
          <w:lang w:val="en-GB"/>
        </w:rPr>
        <w:t>Lập bản đồ các Lĩnh vực Thương mại Số</w:t>
      </w:r>
    </w:p>
    <w:p w14:paraId="28648B97" w14:textId="32FCD02B" w:rsidR="006F78C4" w:rsidRPr="00516087" w:rsidRDefault="00C04C67" w:rsidP="007664A3">
      <w:pPr>
        <w:rPr>
          <w:lang w:eastAsia="zh-CN"/>
        </w:rPr>
      </w:pPr>
      <w:r>
        <w:rPr>
          <w:lang w:eastAsia="zh-CN"/>
        </w:rPr>
        <w:t xml:space="preserve">Lộ trình đã </w:t>
      </w:r>
      <w:r w:rsidR="00236840">
        <w:rPr>
          <w:lang w:eastAsia="zh-CN"/>
        </w:rPr>
        <w:t>xác định các lĩnh vực và phân tích lĩnh vực thương mại số trọng yếu mà ASEAN và các quốc gia thành viên cần ưu tiên trong nỗ lực hài hòa hóa tiêu chuẩn. Các lĩnh vực này được phân tích chi tiết ở Chương 4.</w:t>
      </w:r>
    </w:p>
    <w:p w14:paraId="0D7F8F2E" w14:textId="2B357C58" w:rsidR="007732AB" w:rsidRPr="004F1D15" w:rsidRDefault="00236840" w:rsidP="0019055C">
      <w:pPr>
        <w:spacing w:line="259" w:lineRule="auto"/>
        <w:jc w:val="left"/>
        <w:rPr>
          <w:rFonts w:eastAsia="Times New Roman"/>
        </w:rPr>
      </w:pPr>
      <w:r>
        <w:t>Bảng 11</w:t>
      </w:r>
      <w:r w:rsidR="007732AB" w:rsidRPr="004F1D15">
        <w:t xml:space="preserve">. </w:t>
      </w:r>
      <w:r>
        <w:t>Các Lĩnh vực và Phân Lĩnh vực Thương mại Số</w:t>
      </w:r>
    </w:p>
    <w:tbl>
      <w:tblPr>
        <w:tblStyle w:val="ListTable3-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677"/>
      </w:tblGrid>
      <w:tr w:rsidR="006F78C4" w:rsidRPr="004F1D15" w14:paraId="4365738A" w14:textId="77777777" w:rsidTr="00AC0AE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957" w:type="dxa"/>
            <w:shd w:val="clear" w:color="auto" w:fill="002060"/>
          </w:tcPr>
          <w:p w14:paraId="4DE557B4" w14:textId="3A5D278E" w:rsidR="006F78C4" w:rsidRPr="004F1D15" w:rsidRDefault="00236840" w:rsidP="00AC0AE1">
            <w:pPr>
              <w:jc w:val="center"/>
            </w:pPr>
            <w:r>
              <w:t>Lĩnh vực Thương mại Số</w:t>
            </w:r>
          </w:p>
        </w:tc>
        <w:tc>
          <w:tcPr>
            <w:tcW w:w="4677" w:type="dxa"/>
            <w:shd w:val="clear" w:color="auto" w:fill="002060"/>
          </w:tcPr>
          <w:p w14:paraId="72626263" w14:textId="4E4FD658" w:rsidR="006F78C4" w:rsidRPr="004F1D15" w:rsidRDefault="006B5370" w:rsidP="00AC0AE1">
            <w:pPr>
              <w:jc w:val="center"/>
              <w:cnfStyle w:val="100000000000" w:firstRow="1" w:lastRow="0" w:firstColumn="0" w:lastColumn="0" w:oddVBand="0" w:evenVBand="0" w:oddHBand="0" w:evenHBand="0" w:firstRowFirstColumn="0" w:firstRowLastColumn="0" w:lastRowFirstColumn="0" w:lastRowLastColumn="0"/>
            </w:pPr>
            <w:r>
              <w:t>Phân lĩnh vực</w:t>
            </w:r>
          </w:p>
        </w:tc>
      </w:tr>
      <w:tr w:rsidR="006F78C4" w:rsidRPr="004F1D15" w14:paraId="72A51D90" w14:textId="77777777" w:rsidTr="007732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57" w:type="dxa"/>
            <w:vMerge w:val="restart"/>
          </w:tcPr>
          <w:p w14:paraId="260E4D7A" w14:textId="4AE94102" w:rsidR="006F78C4" w:rsidRPr="004F1D15" w:rsidRDefault="006B5370" w:rsidP="007664A3">
            <w:r>
              <w:t>Logistics và giao hàng trong thương mại số</w:t>
            </w:r>
          </w:p>
        </w:tc>
        <w:tc>
          <w:tcPr>
            <w:tcW w:w="4677" w:type="dxa"/>
          </w:tcPr>
          <w:p w14:paraId="0DBEFAB8" w14:textId="62D16E14" w:rsidR="006F78C4" w:rsidRPr="004F1D15" w:rsidRDefault="006B5370" w:rsidP="007664A3">
            <w:pPr>
              <w:cnfStyle w:val="000000100000" w:firstRow="0" w:lastRow="0" w:firstColumn="0" w:lastColumn="0" w:oddVBand="0" w:evenVBand="0" w:oddHBand="1" w:evenHBand="0" w:firstRowFirstColumn="0" w:firstRowLastColumn="0" w:lastRowFirstColumn="0" w:lastRowLastColumn="0"/>
            </w:pPr>
            <w:r>
              <w:t>Giao hàng chặng cuối</w:t>
            </w:r>
          </w:p>
        </w:tc>
      </w:tr>
      <w:tr w:rsidR="006F78C4" w:rsidRPr="004F1D15" w14:paraId="58DAB365" w14:textId="77777777" w:rsidTr="007732AB">
        <w:trPr>
          <w:jc w:val="center"/>
        </w:trPr>
        <w:tc>
          <w:tcPr>
            <w:cnfStyle w:val="001000000000" w:firstRow="0" w:lastRow="0" w:firstColumn="1" w:lastColumn="0" w:oddVBand="0" w:evenVBand="0" w:oddHBand="0" w:evenHBand="0" w:firstRowFirstColumn="0" w:firstRowLastColumn="0" w:lastRowFirstColumn="0" w:lastRowLastColumn="0"/>
            <w:tcW w:w="4957" w:type="dxa"/>
            <w:vMerge/>
          </w:tcPr>
          <w:p w14:paraId="436C0A69" w14:textId="77777777" w:rsidR="006F78C4" w:rsidRPr="004F1D15" w:rsidRDefault="006F78C4" w:rsidP="007664A3"/>
        </w:tc>
        <w:tc>
          <w:tcPr>
            <w:tcW w:w="4677" w:type="dxa"/>
          </w:tcPr>
          <w:p w14:paraId="22D8239B" w14:textId="25C440D3" w:rsidR="006F78C4" w:rsidRPr="004F1D15" w:rsidRDefault="006B5370" w:rsidP="007664A3">
            <w:pPr>
              <w:cnfStyle w:val="000000000000" w:firstRow="0" w:lastRow="0" w:firstColumn="0" w:lastColumn="0" w:oddVBand="0" w:evenVBand="0" w:oddHBand="0" w:evenHBand="0" w:firstRowFirstColumn="0" w:firstRowLastColumn="0" w:lastRowFirstColumn="0" w:lastRowLastColumn="0"/>
            </w:pPr>
            <w:r>
              <w:t>Khung pháp lý hải quan</w:t>
            </w:r>
          </w:p>
        </w:tc>
      </w:tr>
      <w:tr w:rsidR="006F78C4" w:rsidRPr="004F1D15" w14:paraId="33853EC5" w14:textId="77777777" w:rsidTr="007732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57" w:type="dxa"/>
            <w:vMerge/>
          </w:tcPr>
          <w:p w14:paraId="1A9B1F68" w14:textId="77777777" w:rsidR="006F78C4" w:rsidRPr="004F1D15" w:rsidRDefault="006F78C4" w:rsidP="007664A3"/>
        </w:tc>
        <w:tc>
          <w:tcPr>
            <w:tcW w:w="4677" w:type="dxa"/>
          </w:tcPr>
          <w:p w14:paraId="4C109732" w14:textId="06C775BD" w:rsidR="006F78C4" w:rsidRPr="004F1D15" w:rsidRDefault="006B5370" w:rsidP="007664A3">
            <w:pPr>
              <w:cnfStyle w:val="000000100000" w:firstRow="0" w:lastRow="0" w:firstColumn="0" w:lastColumn="0" w:oddVBand="0" w:evenVBand="0" w:oddHBand="1" w:evenHBand="0" w:firstRowFirstColumn="0" w:firstRowLastColumn="0" w:lastRowFirstColumn="0" w:lastRowLastColumn="0"/>
            </w:pPr>
            <w:r>
              <w:t xml:space="preserve">Đảm bảo giao dịch </w:t>
            </w:r>
          </w:p>
        </w:tc>
      </w:tr>
      <w:tr w:rsidR="006F78C4" w:rsidRPr="004F1D15" w14:paraId="3385F13F" w14:textId="77777777" w:rsidTr="007732AB">
        <w:trPr>
          <w:jc w:val="center"/>
        </w:trPr>
        <w:tc>
          <w:tcPr>
            <w:cnfStyle w:val="001000000000" w:firstRow="0" w:lastRow="0" w:firstColumn="1" w:lastColumn="0" w:oddVBand="0" w:evenVBand="0" w:oddHBand="0" w:evenHBand="0" w:firstRowFirstColumn="0" w:firstRowLastColumn="0" w:lastRowFirstColumn="0" w:lastRowLastColumn="0"/>
            <w:tcW w:w="4957" w:type="dxa"/>
            <w:vMerge w:val="restart"/>
          </w:tcPr>
          <w:p w14:paraId="03403275" w14:textId="14653853" w:rsidR="006F78C4" w:rsidRPr="004F1D15" w:rsidRDefault="006B5370" w:rsidP="007664A3">
            <w:r>
              <w:t>Giao dịch số</w:t>
            </w:r>
          </w:p>
        </w:tc>
        <w:tc>
          <w:tcPr>
            <w:tcW w:w="4677" w:type="dxa"/>
          </w:tcPr>
          <w:p w14:paraId="50DC6E72" w14:textId="36C29878" w:rsidR="006F78C4" w:rsidRPr="004F1D15" w:rsidRDefault="006B5370" w:rsidP="007664A3">
            <w:pPr>
              <w:cnfStyle w:val="000000000000" w:firstRow="0" w:lastRow="0" w:firstColumn="0" w:lastColumn="0" w:oddVBand="0" w:evenVBand="0" w:oddHBand="0" w:evenHBand="0" w:firstRowFirstColumn="0" w:firstRowLastColumn="0" w:lastRowFirstColumn="0" w:lastRowLastColumn="0"/>
            </w:pPr>
            <w:r>
              <w:t>Thương mại điện tử xuyên biên giới</w:t>
            </w:r>
          </w:p>
        </w:tc>
      </w:tr>
      <w:tr w:rsidR="006F78C4" w:rsidRPr="004F1D15" w14:paraId="6AA7057E" w14:textId="77777777" w:rsidTr="007732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57" w:type="dxa"/>
            <w:vMerge/>
          </w:tcPr>
          <w:p w14:paraId="419B9ABF" w14:textId="77777777" w:rsidR="006F78C4" w:rsidRPr="004F1D15" w:rsidRDefault="006F78C4" w:rsidP="007664A3"/>
        </w:tc>
        <w:tc>
          <w:tcPr>
            <w:tcW w:w="4677" w:type="dxa"/>
          </w:tcPr>
          <w:p w14:paraId="098C690E" w14:textId="34F96044" w:rsidR="006F78C4" w:rsidRPr="004F1D15" w:rsidRDefault="006B5370" w:rsidP="007664A3">
            <w:pPr>
              <w:cnfStyle w:val="000000100000" w:firstRow="0" w:lastRow="0" w:firstColumn="0" w:lastColumn="0" w:oddVBand="0" w:evenVBand="0" w:oddHBand="1" w:evenHBand="0" w:firstRowFirstColumn="0" w:firstRowLastColumn="0" w:lastRowFirstColumn="0" w:lastRowLastColumn="0"/>
            </w:pPr>
            <w:r>
              <w:t>Hóa đơn điện tử (E-invoicing)</w:t>
            </w:r>
          </w:p>
        </w:tc>
      </w:tr>
      <w:tr w:rsidR="006F78C4" w:rsidRPr="004F1D15" w14:paraId="2D769C2C" w14:textId="77777777" w:rsidTr="007732AB">
        <w:trPr>
          <w:jc w:val="center"/>
        </w:trPr>
        <w:tc>
          <w:tcPr>
            <w:cnfStyle w:val="001000000000" w:firstRow="0" w:lastRow="0" w:firstColumn="1" w:lastColumn="0" w:oddVBand="0" w:evenVBand="0" w:oddHBand="0" w:evenHBand="0" w:firstRowFirstColumn="0" w:firstRowLastColumn="0" w:lastRowFirstColumn="0" w:lastRowLastColumn="0"/>
            <w:tcW w:w="4957" w:type="dxa"/>
            <w:vMerge/>
          </w:tcPr>
          <w:p w14:paraId="1F23C95A" w14:textId="77777777" w:rsidR="006F78C4" w:rsidRPr="004F1D15" w:rsidRDefault="006F78C4" w:rsidP="007664A3"/>
        </w:tc>
        <w:tc>
          <w:tcPr>
            <w:tcW w:w="4677" w:type="dxa"/>
          </w:tcPr>
          <w:p w14:paraId="3AF03D90" w14:textId="097FA8EC" w:rsidR="006F78C4" w:rsidRPr="004F1D15" w:rsidRDefault="006B5370" w:rsidP="007664A3">
            <w:pPr>
              <w:cnfStyle w:val="000000000000" w:firstRow="0" w:lastRow="0" w:firstColumn="0" w:lastColumn="0" w:oddVBand="0" w:evenVBand="0" w:oddHBand="0" w:evenHBand="0" w:firstRowFirstColumn="0" w:firstRowLastColumn="0" w:lastRowFirstColumn="0" w:lastRowLastColumn="0"/>
            </w:pPr>
            <w:r>
              <w:t>Thanh toán</w:t>
            </w:r>
          </w:p>
        </w:tc>
      </w:tr>
      <w:tr w:rsidR="006F78C4" w:rsidRPr="004F1D15" w14:paraId="216EEAB7" w14:textId="77777777" w:rsidTr="007732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57" w:type="dxa"/>
            <w:vMerge w:val="restart"/>
          </w:tcPr>
          <w:p w14:paraId="25B2A4F3" w14:textId="28F05D26" w:rsidR="006F78C4" w:rsidRPr="004F1D15" w:rsidRDefault="006B5370" w:rsidP="007664A3">
            <w:r>
              <w:t>Niềm tin số</w:t>
            </w:r>
          </w:p>
        </w:tc>
        <w:tc>
          <w:tcPr>
            <w:tcW w:w="4677" w:type="dxa"/>
          </w:tcPr>
          <w:p w14:paraId="516EC456" w14:textId="53B5FFB8" w:rsidR="006F78C4" w:rsidRPr="004F1D15" w:rsidRDefault="006B5370" w:rsidP="007664A3">
            <w:pPr>
              <w:cnfStyle w:val="000000100000" w:firstRow="0" w:lastRow="0" w:firstColumn="0" w:lastColumn="0" w:oddVBand="0" w:evenVBand="0" w:oddHBand="1" w:evenHBand="0" w:firstRowFirstColumn="0" w:firstRowLastColumn="0" w:lastRowFirstColumn="0" w:lastRowLastColumn="0"/>
            </w:pPr>
            <w:r>
              <w:t>Định danh và xác thực số</w:t>
            </w:r>
          </w:p>
        </w:tc>
      </w:tr>
      <w:tr w:rsidR="006F78C4" w:rsidRPr="004F1D15" w14:paraId="716E5A65" w14:textId="77777777" w:rsidTr="007732AB">
        <w:trPr>
          <w:jc w:val="center"/>
        </w:trPr>
        <w:tc>
          <w:tcPr>
            <w:cnfStyle w:val="001000000000" w:firstRow="0" w:lastRow="0" w:firstColumn="1" w:lastColumn="0" w:oddVBand="0" w:evenVBand="0" w:oddHBand="0" w:evenHBand="0" w:firstRowFirstColumn="0" w:firstRowLastColumn="0" w:lastRowFirstColumn="0" w:lastRowLastColumn="0"/>
            <w:tcW w:w="4957" w:type="dxa"/>
            <w:vMerge/>
          </w:tcPr>
          <w:p w14:paraId="41A8B7C6" w14:textId="77777777" w:rsidR="006F78C4" w:rsidRPr="004F1D15" w:rsidRDefault="006F78C4" w:rsidP="007664A3"/>
        </w:tc>
        <w:tc>
          <w:tcPr>
            <w:tcW w:w="4677" w:type="dxa"/>
          </w:tcPr>
          <w:p w14:paraId="009F117B" w14:textId="36459A26" w:rsidR="006F78C4" w:rsidRPr="004F1D15" w:rsidRDefault="006B5370" w:rsidP="007664A3">
            <w:pPr>
              <w:cnfStyle w:val="000000000000" w:firstRow="0" w:lastRow="0" w:firstColumn="0" w:lastColumn="0" w:oddVBand="0" w:evenVBand="0" w:oddHBand="0" w:evenHBand="0" w:firstRowFirstColumn="0" w:firstRowLastColumn="0" w:lastRowFirstColumn="0" w:lastRowLastColumn="0"/>
            </w:pPr>
            <w:r>
              <w:t xml:space="preserve">An ninh mạng </w:t>
            </w:r>
          </w:p>
        </w:tc>
      </w:tr>
      <w:tr w:rsidR="006F78C4" w:rsidRPr="004F1D15" w14:paraId="014ECD28" w14:textId="77777777" w:rsidTr="007732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57" w:type="dxa"/>
            <w:vMerge/>
          </w:tcPr>
          <w:p w14:paraId="566979E6" w14:textId="77777777" w:rsidR="006F78C4" w:rsidRPr="004F1D15" w:rsidRDefault="006F78C4" w:rsidP="007664A3"/>
        </w:tc>
        <w:tc>
          <w:tcPr>
            <w:tcW w:w="4677" w:type="dxa"/>
          </w:tcPr>
          <w:p w14:paraId="277652AF" w14:textId="679503AC" w:rsidR="006F78C4" w:rsidRPr="004F1D15" w:rsidRDefault="006B5370" w:rsidP="007664A3">
            <w:pPr>
              <w:cnfStyle w:val="000000100000" w:firstRow="0" w:lastRow="0" w:firstColumn="0" w:lastColumn="0" w:oddVBand="0" w:evenVBand="0" w:oddHBand="1" w:evenHBand="0" w:firstRowFirstColumn="0" w:firstRowLastColumn="0" w:lastRowFirstColumn="0" w:lastRowLastColumn="0"/>
            </w:pPr>
            <w:r>
              <w:t>An toàn trực tuyến</w:t>
            </w:r>
          </w:p>
        </w:tc>
      </w:tr>
      <w:tr w:rsidR="006F78C4" w:rsidRPr="004F1D15" w14:paraId="23FB9311" w14:textId="77777777" w:rsidTr="007732AB">
        <w:trPr>
          <w:jc w:val="center"/>
        </w:trPr>
        <w:tc>
          <w:tcPr>
            <w:cnfStyle w:val="001000000000" w:firstRow="0" w:lastRow="0" w:firstColumn="1" w:lastColumn="0" w:oddVBand="0" w:evenVBand="0" w:oddHBand="0" w:evenHBand="0" w:firstRowFirstColumn="0" w:firstRowLastColumn="0" w:lastRowFirstColumn="0" w:lastRowLastColumn="0"/>
            <w:tcW w:w="4957" w:type="dxa"/>
            <w:vMerge/>
          </w:tcPr>
          <w:p w14:paraId="59210B79" w14:textId="77777777" w:rsidR="006F78C4" w:rsidRPr="004F1D15" w:rsidRDefault="006F78C4" w:rsidP="007664A3"/>
        </w:tc>
        <w:tc>
          <w:tcPr>
            <w:tcW w:w="4677" w:type="dxa"/>
          </w:tcPr>
          <w:p w14:paraId="63C1FC5E" w14:textId="296F6D1C" w:rsidR="006F78C4" w:rsidRPr="004F1D15" w:rsidRDefault="000C62B3" w:rsidP="007664A3">
            <w:pPr>
              <w:cnfStyle w:val="000000000000" w:firstRow="0" w:lastRow="0" w:firstColumn="0" w:lastColumn="0" w:oddVBand="0" w:evenVBand="0" w:oddHBand="0" w:evenHBand="0" w:firstRowFirstColumn="0" w:firstRowLastColumn="0" w:lastRowFirstColumn="0" w:lastRowLastColumn="0"/>
            </w:pPr>
            <w:r>
              <w:t>Bảo vệ dữ liệu và quyền riêng tư xuyên biên giới</w:t>
            </w:r>
          </w:p>
        </w:tc>
      </w:tr>
      <w:tr w:rsidR="006F78C4" w:rsidRPr="004F1D15" w14:paraId="78C8F3EC" w14:textId="77777777" w:rsidTr="007732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57" w:type="dxa"/>
            <w:vMerge w:val="restart"/>
          </w:tcPr>
          <w:p w14:paraId="30568EEE" w14:textId="17B94250" w:rsidR="006F78C4" w:rsidRPr="004F1D15" w:rsidRDefault="000C62B3" w:rsidP="007664A3">
            <w:r>
              <w:t>Hợp tác về các chủ đề mới nổi</w:t>
            </w:r>
          </w:p>
        </w:tc>
        <w:tc>
          <w:tcPr>
            <w:tcW w:w="4677" w:type="dxa"/>
          </w:tcPr>
          <w:p w14:paraId="03B60420" w14:textId="64A13A56" w:rsidR="006F78C4" w:rsidRPr="004F1D15" w:rsidRDefault="000C62B3" w:rsidP="007664A3">
            <w:pPr>
              <w:cnfStyle w:val="000000100000" w:firstRow="0" w:lastRow="0" w:firstColumn="0" w:lastColumn="0" w:oddVBand="0" w:evenVBand="0" w:oddHBand="1" w:evenHBand="0" w:firstRowFirstColumn="0" w:firstRowLastColumn="0" w:lastRowFirstColumn="0" w:lastRowLastColumn="0"/>
            </w:pPr>
            <w:r>
              <w:t>Trí tuệ nhân tạo (AI)</w:t>
            </w:r>
          </w:p>
        </w:tc>
      </w:tr>
      <w:tr w:rsidR="006F78C4" w:rsidRPr="004F1D15" w14:paraId="37494C40" w14:textId="77777777" w:rsidTr="007732AB">
        <w:trPr>
          <w:jc w:val="center"/>
        </w:trPr>
        <w:tc>
          <w:tcPr>
            <w:cnfStyle w:val="001000000000" w:firstRow="0" w:lastRow="0" w:firstColumn="1" w:lastColumn="0" w:oddVBand="0" w:evenVBand="0" w:oddHBand="0" w:evenHBand="0" w:firstRowFirstColumn="0" w:firstRowLastColumn="0" w:lastRowFirstColumn="0" w:lastRowLastColumn="0"/>
            <w:tcW w:w="4957" w:type="dxa"/>
            <w:vMerge/>
          </w:tcPr>
          <w:p w14:paraId="6ABE9D35" w14:textId="77777777" w:rsidR="006F78C4" w:rsidRPr="004F1D15" w:rsidRDefault="006F78C4" w:rsidP="007664A3"/>
        </w:tc>
        <w:tc>
          <w:tcPr>
            <w:tcW w:w="4677" w:type="dxa"/>
          </w:tcPr>
          <w:p w14:paraId="2DA1E7E0" w14:textId="20DC6A80" w:rsidR="006F78C4" w:rsidRPr="004F1D15" w:rsidRDefault="006F78C4" w:rsidP="007664A3">
            <w:pPr>
              <w:cnfStyle w:val="000000000000" w:firstRow="0" w:lastRow="0" w:firstColumn="0" w:lastColumn="0" w:oddVBand="0" w:evenVBand="0" w:oddHBand="0" w:evenHBand="0" w:firstRowFirstColumn="0" w:firstRowLastColumn="0" w:lastRowFirstColumn="0" w:lastRowLastColumn="0"/>
            </w:pPr>
            <w:r w:rsidRPr="004F1D15">
              <w:t>Blockchain</w:t>
            </w:r>
          </w:p>
        </w:tc>
      </w:tr>
      <w:tr w:rsidR="006F78C4" w:rsidRPr="004F1D15" w14:paraId="084BCDFF" w14:textId="77777777" w:rsidTr="007732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57" w:type="dxa"/>
            <w:vMerge/>
          </w:tcPr>
          <w:p w14:paraId="0545C2C1" w14:textId="77777777" w:rsidR="006F78C4" w:rsidRPr="004F1D15" w:rsidRDefault="006F78C4" w:rsidP="007664A3"/>
        </w:tc>
        <w:tc>
          <w:tcPr>
            <w:tcW w:w="4677" w:type="dxa"/>
          </w:tcPr>
          <w:p w14:paraId="604D15D7" w14:textId="7179DDB9" w:rsidR="006F78C4" w:rsidRPr="004F1D15" w:rsidRDefault="000C62B3" w:rsidP="007664A3">
            <w:pPr>
              <w:cnfStyle w:val="000000100000" w:firstRow="0" w:lastRow="0" w:firstColumn="0" w:lastColumn="0" w:oddVBand="0" w:evenVBand="0" w:oddHBand="1" w:evenHBand="0" w:firstRowFirstColumn="0" w:firstRowLastColumn="0" w:lastRowFirstColumn="0" w:lastRowLastColumn="0"/>
            </w:pPr>
            <w:r>
              <w:t>Điện toán đám mây</w:t>
            </w:r>
          </w:p>
        </w:tc>
      </w:tr>
    </w:tbl>
    <w:p w14:paraId="4365D391" w14:textId="6EB72E4F" w:rsidR="007732AB" w:rsidRPr="004F1D15" w:rsidRDefault="007677A4" w:rsidP="007664A3">
      <w:pPr>
        <w:rPr>
          <w:i/>
          <w:sz w:val="20"/>
          <w:szCs w:val="20"/>
        </w:rPr>
      </w:pPr>
      <w:r>
        <w:rPr>
          <w:i/>
          <w:sz w:val="20"/>
          <w:szCs w:val="20"/>
        </w:rPr>
        <w:t>Nguồn</w:t>
      </w:r>
      <w:r w:rsidR="007732AB" w:rsidRPr="004F1D15">
        <w:rPr>
          <w:i/>
          <w:sz w:val="20"/>
          <w:szCs w:val="20"/>
        </w:rPr>
        <w:t xml:space="preserve">: </w:t>
      </w:r>
      <w:r>
        <w:rPr>
          <w:i/>
          <w:sz w:val="20"/>
          <w:szCs w:val="20"/>
        </w:rPr>
        <w:t>Phân tích của Access Partnership</w:t>
      </w:r>
    </w:p>
    <w:p w14:paraId="4CB72D1F" w14:textId="10C516A2" w:rsidR="0084243E" w:rsidRPr="004F1D15" w:rsidRDefault="00D46645" w:rsidP="00D7035A">
      <w:pPr>
        <w:pStyle w:val="Heading4"/>
        <w:rPr>
          <w:lang w:val="en-GB"/>
        </w:rPr>
      </w:pPr>
      <w:r>
        <w:rPr>
          <w:lang w:val="en-GB"/>
        </w:rPr>
        <w:t xml:space="preserve">Mục tiêu cho các Lĩnh vực Thương mại Số chủ chốt </w:t>
      </w:r>
    </w:p>
    <w:p w14:paraId="0A80E19D" w14:textId="03560EB5" w:rsidR="00D46645" w:rsidRPr="004F1D15" w:rsidRDefault="00D46645" w:rsidP="007664A3">
      <w:r w:rsidRPr="00D46645">
        <w:t>Các mục tiêu cuối cùng cho việc áp dụng và triển khai tiêu chuẩn trong các lĩnh vực thương mại số đóng vai trò then chốt để các quốc gia thành viên ASEAN (AMS) theo dõi và đánh giá tiến trình hài hòa hóa tiêu chuẩn. Những mục tiêu này cung cấp các đích đến rõ ràng, có tính bối cảnh, tập trung và đo lường được, giúp AMS xác định những lĩnh vực cần tăng cường liên kết và cải thiện. Qua đó, ASEAN có thể thúc đẩy xây dựng một nền kinh tế số khu vực gắn kết và hội nhập sâu rộng.</w:t>
      </w:r>
      <w:r>
        <w:t xml:space="preserve"> </w:t>
      </w:r>
      <w:r w:rsidRPr="00D46645">
        <w:t>Cách tiếp cận có cấu trúc này hỗ trợ việc liên tục điều chỉnh và áp dụng các tiêu chuẩn thương mại số, đóng góp trực tiếp vào ba kết quả chiến lược đã nêu tại Mục 4.1.1.</w:t>
      </w:r>
    </w:p>
    <w:p w14:paraId="6487C7CB" w14:textId="5F3E5BDF" w:rsidR="00FF502E" w:rsidRPr="004F1D15" w:rsidRDefault="00D46645" w:rsidP="007664A3">
      <w:r w:rsidRPr="00D46645">
        <w:t>Bảng dưới đây trình bày các mục tiêu cuối cùng cho việc áp dụng và triển khai tiêu chuẩn trong từng lĩnh vực và phân lĩnh vực thương mại số.</w:t>
      </w:r>
    </w:p>
    <w:p w14:paraId="272CFAFC" w14:textId="74F7FD0F" w:rsidR="007732AB" w:rsidRPr="004F1D15" w:rsidRDefault="00D46645" w:rsidP="007664A3">
      <w:pPr>
        <w:pStyle w:val="Caption"/>
      </w:pPr>
      <w:r>
        <w:t>Bảng</w:t>
      </w:r>
      <w:r w:rsidR="009F494C">
        <w:t xml:space="preserve"> 1</w:t>
      </w:r>
      <w:r w:rsidR="00295520">
        <w:t>2</w:t>
      </w:r>
      <w:r w:rsidR="007732AB" w:rsidRPr="004F1D15">
        <w:t>.</w:t>
      </w:r>
      <w:r w:rsidR="00EF799E">
        <w:t xml:space="preserve"> Mục tiêu cho các Lĩnh vực Thương mại Số Chủ chốt</w:t>
      </w:r>
    </w:p>
    <w:tbl>
      <w:tblPr>
        <w:tblStyle w:val="ListTable3-Accent11"/>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8532"/>
      </w:tblGrid>
      <w:tr w:rsidR="002574EA" w:rsidRPr="004F1D15" w14:paraId="30F85C2B" w14:textId="77777777" w:rsidTr="00AC0A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shd w:val="clear" w:color="auto" w:fill="002060"/>
          </w:tcPr>
          <w:p w14:paraId="03A481D8" w14:textId="2CBC9C6C" w:rsidR="002574EA" w:rsidRPr="004F1D15" w:rsidRDefault="00EF799E" w:rsidP="00AC0AE1">
            <w:pPr>
              <w:jc w:val="center"/>
            </w:pPr>
            <w:r>
              <w:t>Lĩnh vực và phân lĩnh vực thương mại số</w:t>
            </w:r>
          </w:p>
        </w:tc>
        <w:tc>
          <w:tcPr>
            <w:tcW w:w="8532" w:type="dxa"/>
            <w:shd w:val="clear" w:color="auto" w:fill="002060"/>
          </w:tcPr>
          <w:p w14:paraId="5915F649" w14:textId="128847F4" w:rsidR="002574EA" w:rsidRPr="004F1D15" w:rsidRDefault="00EF799E" w:rsidP="00AC0AE1">
            <w:pPr>
              <w:jc w:val="center"/>
              <w:cnfStyle w:val="100000000000" w:firstRow="1" w:lastRow="0" w:firstColumn="0" w:lastColumn="0" w:oddVBand="0" w:evenVBand="0" w:oddHBand="0" w:evenHBand="0" w:firstRowFirstColumn="0" w:firstRowLastColumn="0" w:lastRowFirstColumn="0" w:lastRowLastColumn="0"/>
            </w:pPr>
            <w:r>
              <w:t>Mục tiêu cuối cùng cho việc áp dụng/triển khai tiêu chuẩn</w:t>
            </w:r>
          </w:p>
        </w:tc>
      </w:tr>
      <w:tr w:rsidR="002574EA" w:rsidRPr="004F1D15" w14:paraId="3DCE4DF9" w14:textId="77777777" w:rsidTr="15096D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BDD6EE" w:themeFill="accent5" w:themeFillTint="66"/>
          </w:tcPr>
          <w:p w14:paraId="175FA182" w14:textId="7890C33C" w:rsidR="002574EA" w:rsidRPr="004F1D15" w:rsidRDefault="003036F0" w:rsidP="003F7E7C">
            <w:pPr>
              <w:jc w:val="left"/>
            </w:pPr>
            <w:r>
              <w:lastRenderedPageBreak/>
              <w:t>Logistics và giao hàng trong thương mại số</w:t>
            </w:r>
          </w:p>
        </w:tc>
        <w:tc>
          <w:tcPr>
            <w:tcW w:w="8532" w:type="dxa"/>
            <w:shd w:val="clear" w:color="auto" w:fill="BDD6EE" w:themeFill="accent5" w:themeFillTint="66"/>
          </w:tcPr>
          <w:p w14:paraId="4AC3B4C5" w14:textId="232B592B" w:rsidR="002574EA" w:rsidRPr="00516087" w:rsidRDefault="003036F0" w:rsidP="00276C00">
            <w:pPr>
              <w:pStyle w:val="ListParagraph"/>
              <w:cnfStyle w:val="000000100000" w:firstRow="0" w:lastRow="0" w:firstColumn="0" w:lastColumn="0" w:oddVBand="0" w:evenVBand="0" w:oddHBand="1" w:evenHBand="0" w:firstRowFirstColumn="0" w:firstRowLastColumn="0" w:lastRowFirstColumn="0" w:lastRowLastColumn="0"/>
              <w:rPr>
                <w:rFonts w:ascii="Arial" w:eastAsia="DengXian" w:hAnsi="Arial"/>
                <w:lang w:val="en-GB"/>
              </w:rPr>
            </w:pPr>
            <w:r>
              <w:rPr>
                <w:rFonts w:ascii="Arial" w:eastAsia="DengXian" w:hAnsi="Arial"/>
                <w:lang w:val="en-GB"/>
              </w:rPr>
              <w:t>Phát triển thế hệ mới của Cơ chế Một cửa ASEAN (ASEAN Single Window) để hỗ trợ trao đổi điện tử các chứng từ thương mại xuyên biên giới giữa các nước ASEAN</w:t>
            </w:r>
            <w:r w:rsidR="002574EA" w:rsidRPr="00276C00">
              <w:rPr>
                <w:rStyle w:val="FootnoteReference"/>
                <w:rFonts w:ascii="Arial" w:hAnsi="Arial"/>
                <w:lang w:val="en-GB"/>
              </w:rPr>
              <w:footnoteReference w:id="320"/>
            </w:r>
            <w:r>
              <w:rPr>
                <w:rFonts w:ascii="Arial" w:eastAsia="DengXian" w:hAnsi="Arial"/>
                <w:lang w:val="en-GB"/>
              </w:rPr>
              <w:t>.</w:t>
            </w:r>
          </w:p>
        </w:tc>
      </w:tr>
      <w:tr w:rsidR="002574EA" w:rsidRPr="004F1D15" w14:paraId="0C3BB118" w14:textId="77777777" w:rsidTr="003F7E7C">
        <w:tc>
          <w:tcPr>
            <w:cnfStyle w:val="001000000000" w:firstRow="0" w:lastRow="0" w:firstColumn="1" w:lastColumn="0" w:oddVBand="0" w:evenVBand="0" w:oddHBand="0" w:evenHBand="0" w:firstRowFirstColumn="0" w:firstRowLastColumn="0" w:lastRowFirstColumn="0" w:lastRowLastColumn="0"/>
            <w:tcW w:w="2263" w:type="dxa"/>
          </w:tcPr>
          <w:p w14:paraId="45C3DF83" w14:textId="16FC82E5" w:rsidR="002574EA" w:rsidRPr="004F1D15" w:rsidRDefault="003036F0" w:rsidP="003F7E7C">
            <w:pPr>
              <w:jc w:val="left"/>
            </w:pPr>
            <w:r>
              <w:t>Giao hàng chặng cuối</w:t>
            </w:r>
            <w:r w:rsidR="002574EA" w:rsidRPr="004F1D15">
              <w:t xml:space="preserve"> </w:t>
            </w:r>
          </w:p>
        </w:tc>
        <w:tc>
          <w:tcPr>
            <w:tcW w:w="8532" w:type="dxa"/>
          </w:tcPr>
          <w:p w14:paraId="06628ADF" w14:textId="204AF70D" w:rsidR="002574EA" w:rsidRPr="00516087" w:rsidRDefault="003036F0" w:rsidP="00276C00">
            <w:pPr>
              <w:pStyle w:val="ListParagraph"/>
              <w:cnfStyle w:val="000000000000" w:firstRow="0" w:lastRow="0" w:firstColumn="0" w:lastColumn="0" w:oddVBand="0" w:evenVBand="0" w:oddHBand="0" w:evenHBand="0" w:firstRowFirstColumn="0" w:firstRowLastColumn="0" w:lastRowFirstColumn="0" w:lastRowLastColumn="0"/>
              <w:rPr>
                <w:rFonts w:ascii="Arial" w:eastAsia="DengXian" w:hAnsi="Arial"/>
                <w:lang w:val="en-GB"/>
              </w:rPr>
            </w:pPr>
            <w:r>
              <w:rPr>
                <w:rFonts w:ascii="Arial" w:eastAsia="DengXian" w:hAnsi="Arial"/>
                <w:lang w:val="en-GB"/>
              </w:rPr>
              <w:t xml:space="preserve">Xây dựng Khung Giao hàng Chặng cuối ASEAN </w:t>
            </w:r>
          </w:p>
        </w:tc>
      </w:tr>
      <w:tr w:rsidR="002574EA" w:rsidRPr="004F1D15" w14:paraId="470DB70C" w14:textId="77777777" w:rsidTr="003F7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8C55AA0" w14:textId="669A6430" w:rsidR="002574EA" w:rsidRPr="004F1D15" w:rsidRDefault="003036F0" w:rsidP="003F7E7C">
            <w:pPr>
              <w:jc w:val="left"/>
            </w:pPr>
            <w:r>
              <w:t>Khung Hải quan</w:t>
            </w:r>
          </w:p>
        </w:tc>
        <w:tc>
          <w:tcPr>
            <w:tcW w:w="8532" w:type="dxa"/>
          </w:tcPr>
          <w:p w14:paraId="28581F0F" w14:textId="083A99ED" w:rsidR="00152D62" w:rsidRPr="00516087" w:rsidRDefault="003036F0" w:rsidP="00276C00">
            <w:pPr>
              <w:pStyle w:val="ListParagraph"/>
              <w:cnfStyle w:val="000000100000" w:firstRow="0" w:lastRow="0" w:firstColumn="0" w:lastColumn="0" w:oddVBand="0" w:evenVBand="0" w:oddHBand="1" w:evenHBand="0" w:firstRowFirstColumn="0" w:firstRowLastColumn="0" w:lastRowFirstColumn="0" w:lastRowLastColumn="0"/>
              <w:rPr>
                <w:rFonts w:ascii="Arial" w:eastAsia="DengXian" w:hAnsi="Arial"/>
                <w:lang w:val="en-GB"/>
              </w:rPr>
            </w:pPr>
            <w:r>
              <w:rPr>
                <w:rFonts w:ascii="Arial" w:eastAsia="DengXian" w:hAnsi="Arial"/>
                <w:lang w:val="en-GB"/>
              </w:rPr>
              <w:t>Phát triển thế hệ mới của Cơ chế Một cửa ASEAN</w:t>
            </w:r>
            <w:r w:rsidR="002574EA" w:rsidRPr="00276C00">
              <w:rPr>
                <w:rStyle w:val="FootnoteReference"/>
                <w:rFonts w:ascii="Arial" w:hAnsi="Arial"/>
                <w:lang w:val="en-GB"/>
              </w:rPr>
              <w:footnoteReference w:id="321"/>
            </w:r>
            <w:r>
              <w:rPr>
                <w:rFonts w:ascii="Arial" w:eastAsia="DengXian" w:hAnsi="Arial"/>
                <w:lang w:val="en-GB"/>
              </w:rPr>
              <w:t>.</w:t>
            </w:r>
            <w:r w:rsidR="002574EA" w:rsidRPr="00516087">
              <w:rPr>
                <w:rFonts w:ascii="Arial" w:eastAsia="DengXian" w:hAnsi="Arial"/>
                <w:lang w:val="en-GB"/>
              </w:rPr>
              <w:t xml:space="preserve"> </w:t>
            </w:r>
          </w:p>
          <w:p w14:paraId="46329FAA" w14:textId="20150A38" w:rsidR="002574EA" w:rsidRPr="00516087" w:rsidRDefault="00BF6B81" w:rsidP="00276C00">
            <w:pPr>
              <w:pStyle w:val="ListParagraph"/>
              <w:cnfStyle w:val="000000100000" w:firstRow="0" w:lastRow="0" w:firstColumn="0" w:lastColumn="0" w:oddVBand="0" w:evenVBand="0" w:oddHBand="1" w:evenHBand="0" w:firstRowFirstColumn="0" w:firstRowLastColumn="0" w:lastRowFirstColumn="0" w:lastRowLastColumn="0"/>
              <w:rPr>
                <w:lang w:val="en-GB"/>
              </w:rPr>
            </w:pPr>
            <w:r>
              <w:rPr>
                <w:rFonts w:ascii="Arial" w:eastAsia="DengXian" w:hAnsi="Arial"/>
                <w:lang w:val="en-GB"/>
              </w:rPr>
              <w:t>Xây dựng Hướng dẫn Trao đổi Thông tin Dữ liệu Thương mại Điện tử giữa Cơ quan Hải quan và Doanh nghiệp Thương mại Điện tử.</w:t>
            </w:r>
          </w:p>
        </w:tc>
      </w:tr>
      <w:tr w:rsidR="002574EA" w:rsidRPr="004F1D15" w14:paraId="6A6D08D0" w14:textId="77777777" w:rsidTr="003F7E7C">
        <w:tc>
          <w:tcPr>
            <w:cnfStyle w:val="001000000000" w:firstRow="0" w:lastRow="0" w:firstColumn="1" w:lastColumn="0" w:oddVBand="0" w:evenVBand="0" w:oddHBand="0" w:evenHBand="0" w:firstRowFirstColumn="0" w:firstRowLastColumn="0" w:lastRowFirstColumn="0" w:lastRowLastColumn="0"/>
            <w:tcW w:w="2263" w:type="dxa"/>
          </w:tcPr>
          <w:p w14:paraId="7A87C828" w14:textId="73098E86" w:rsidR="002574EA" w:rsidRPr="004F1D15" w:rsidRDefault="00BF6B81" w:rsidP="003F7E7C">
            <w:pPr>
              <w:jc w:val="left"/>
            </w:pPr>
            <w:r>
              <w:t>Đảm bảo giao dịch</w:t>
            </w:r>
          </w:p>
        </w:tc>
        <w:tc>
          <w:tcPr>
            <w:tcW w:w="8532" w:type="dxa"/>
          </w:tcPr>
          <w:p w14:paraId="4616949A" w14:textId="12FAD1AE" w:rsidR="00BF6B81" w:rsidRPr="00BF6B81" w:rsidRDefault="00BF6B81" w:rsidP="00BF6B81">
            <w:pPr>
              <w:pStyle w:val="ListParagraph"/>
              <w:spacing w:after="0"/>
              <w:cnfStyle w:val="000000000000" w:firstRow="0" w:lastRow="0" w:firstColumn="0" w:lastColumn="0" w:oddVBand="0" w:evenVBand="0" w:oddHBand="0" w:evenHBand="0" w:firstRowFirstColumn="0" w:firstRowLastColumn="0" w:lastRowFirstColumn="0" w:lastRowLastColumn="0"/>
              <w:rPr>
                <w:rFonts w:ascii="Arial" w:eastAsia="DengXian" w:hAnsi="Arial"/>
                <w:lang w:val="en-GB"/>
              </w:rPr>
            </w:pPr>
            <w:r>
              <w:rPr>
                <w:rFonts w:ascii="Arial" w:eastAsia="DengXian" w:hAnsi="Arial"/>
                <w:lang w:val="en-GB"/>
              </w:rPr>
              <w:t>Tăng</w:t>
            </w:r>
            <w:r w:rsidR="00A17F0D">
              <w:rPr>
                <w:rFonts w:ascii="Arial" w:eastAsia="DengXian" w:hAnsi="Arial"/>
                <w:lang w:val="en-GB"/>
              </w:rPr>
              <w:t xml:space="preserve"> cường việc các nước ASEAN áp dụng tiêu chuẩn ISO/TC 321 về đảm bảo giao dịch trong thương mại điện tử, và đưa tiêu chuẩn này vào các lần rà soát tiếp theo của Kế hoạch triển khai Hiệp định Thương mại Điện tử ASEAN.</w:t>
            </w:r>
          </w:p>
        </w:tc>
      </w:tr>
      <w:tr w:rsidR="002574EA" w:rsidRPr="004F1D15" w14:paraId="2D18A7F6" w14:textId="77777777" w:rsidTr="003F7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BDD6EE" w:themeFill="accent5" w:themeFillTint="66"/>
          </w:tcPr>
          <w:p w14:paraId="49FC6DE0" w14:textId="2134018C" w:rsidR="002574EA" w:rsidRPr="004F1D15" w:rsidRDefault="000F0AED" w:rsidP="003F7E7C">
            <w:pPr>
              <w:jc w:val="left"/>
            </w:pPr>
            <w:r>
              <w:t>Giao dịch số</w:t>
            </w:r>
          </w:p>
        </w:tc>
        <w:tc>
          <w:tcPr>
            <w:tcW w:w="8532" w:type="dxa"/>
            <w:shd w:val="clear" w:color="auto" w:fill="BDD6EE" w:themeFill="accent5" w:themeFillTint="66"/>
          </w:tcPr>
          <w:p w14:paraId="73E9E407" w14:textId="609C2B26" w:rsidR="002574EA" w:rsidRPr="00516087" w:rsidRDefault="000F0AED" w:rsidP="4DC266D6">
            <w:pPr>
              <w:pStyle w:val="ListParagraph"/>
              <w:spacing w:after="0"/>
              <w:cnfStyle w:val="000000100000" w:firstRow="0" w:lastRow="0" w:firstColumn="0" w:lastColumn="0" w:oddVBand="0" w:evenVBand="0" w:oddHBand="1" w:evenHBand="0" w:firstRowFirstColumn="0" w:firstRowLastColumn="0" w:lastRowFirstColumn="0" w:lastRowLastColumn="0"/>
              <w:rPr>
                <w:rFonts w:ascii="Arial" w:eastAsia="DengXian" w:hAnsi="Arial"/>
                <w:lang w:val="en-GB"/>
              </w:rPr>
            </w:pPr>
            <w:r>
              <w:rPr>
                <w:rFonts w:ascii="Arial" w:eastAsia="DengXian" w:hAnsi="Arial"/>
                <w:lang w:val="en-GB"/>
              </w:rPr>
              <w:t>Nâng cao nhận thức, tăng cường điều chỉnh và áp dụng UNCITRAL MLEC và MLETR phù hợp với các tiêu chuẩn Tạo thuận lợi Thương mại của WTO</w:t>
            </w:r>
          </w:p>
          <w:p w14:paraId="740FFB5F" w14:textId="0289FA90" w:rsidR="002574EA" w:rsidRPr="00516087" w:rsidRDefault="000F0AED" w:rsidP="4DC266D6">
            <w:pPr>
              <w:pStyle w:val="ListParagraph"/>
              <w:spacing w:after="0"/>
              <w:cnfStyle w:val="000000100000" w:firstRow="0" w:lastRow="0" w:firstColumn="0" w:lastColumn="0" w:oddVBand="0" w:evenVBand="0" w:oddHBand="1" w:evenHBand="0" w:firstRowFirstColumn="0" w:firstRowLastColumn="0" w:lastRowFirstColumn="0" w:lastRowLastColumn="0"/>
              <w:rPr>
                <w:rFonts w:ascii="Arial" w:eastAsia="DengXian" w:hAnsi="Arial"/>
                <w:lang w:val="en-GB"/>
              </w:rPr>
            </w:pPr>
            <w:r>
              <w:rPr>
                <w:rFonts w:ascii="Arial" w:eastAsia="DengXian" w:hAnsi="Arial"/>
                <w:lang w:val="en-GB"/>
              </w:rPr>
              <w:t>Tăng cường triển khai các tiêu chuẩn liên thông cho thanh toán số.</w:t>
            </w:r>
          </w:p>
        </w:tc>
      </w:tr>
      <w:tr w:rsidR="002574EA" w:rsidRPr="004F1D15" w14:paraId="6BBDCB6E" w14:textId="77777777" w:rsidTr="003F7E7C">
        <w:tc>
          <w:tcPr>
            <w:cnfStyle w:val="001000000000" w:firstRow="0" w:lastRow="0" w:firstColumn="1" w:lastColumn="0" w:oddVBand="0" w:evenVBand="0" w:oddHBand="0" w:evenHBand="0" w:firstRowFirstColumn="0" w:firstRowLastColumn="0" w:lastRowFirstColumn="0" w:lastRowLastColumn="0"/>
            <w:tcW w:w="2263" w:type="dxa"/>
          </w:tcPr>
          <w:p w14:paraId="4DD28F64" w14:textId="30981B30" w:rsidR="002574EA" w:rsidRPr="004F1D15" w:rsidRDefault="00721198" w:rsidP="003F7E7C">
            <w:pPr>
              <w:jc w:val="left"/>
            </w:pPr>
            <w:r>
              <w:t>Thương mại điện tử xuyên biên giới</w:t>
            </w:r>
          </w:p>
        </w:tc>
        <w:tc>
          <w:tcPr>
            <w:tcW w:w="8532" w:type="dxa"/>
          </w:tcPr>
          <w:p w14:paraId="21D3C9FE" w14:textId="31406BD3" w:rsidR="002574EA" w:rsidRPr="00516087" w:rsidRDefault="00721198" w:rsidP="1DB6AC78">
            <w:pPr>
              <w:pStyle w:val="ListParagraph"/>
              <w:spacing w:after="0"/>
              <w:cnfStyle w:val="000000000000" w:firstRow="0" w:lastRow="0" w:firstColumn="0" w:lastColumn="0" w:oddVBand="0" w:evenVBand="0" w:oddHBand="0" w:evenHBand="0" w:firstRowFirstColumn="0" w:firstRowLastColumn="0" w:lastRowFirstColumn="0" w:lastRowLastColumn="0"/>
              <w:rPr>
                <w:rFonts w:ascii="Arial" w:eastAsia="DengXian" w:hAnsi="Arial"/>
                <w:lang w:val="en-GB"/>
              </w:rPr>
            </w:pPr>
            <w:r>
              <w:rPr>
                <w:rFonts w:ascii="Arial" w:eastAsia="DengXian" w:hAnsi="Arial"/>
                <w:lang w:val="en-GB"/>
              </w:rPr>
              <w:t xml:space="preserve">Nâng cao nhận thức, tăng cường điều chỉnh và áp dụng UNCITRAL MLEC và MLETR phù hợp với các tiêu chuẩn Tạo thuận lợi Thương mại của WTO </w:t>
            </w:r>
          </w:p>
        </w:tc>
      </w:tr>
      <w:tr w:rsidR="002574EA" w:rsidRPr="004F1D15" w14:paraId="551DB445" w14:textId="77777777" w:rsidTr="003F7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C7928FC" w14:textId="213C43AF" w:rsidR="002574EA" w:rsidRPr="004F1D15" w:rsidRDefault="00FD689E" w:rsidP="003F7E7C">
            <w:pPr>
              <w:jc w:val="left"/>
            </w:pPr>
            <w:r>
              <w:t>Hóa đơn điện tử</w:t>
            </w:r>
          </w:p>
        </w:tc>
        <w:tc>
          <w:tcPr>
            <w:tcW w:w="8532" w:type="dxa"/>
          </w:tcPr>
          <w:p w14:paraId="1F25FB21" w14:textId="4EA729B2" w:rsidR="002574EA" w:rsidRPr="00516087" w:rsidRDefault="00254D33" w:rsidP="1DB6AC78">
            <w:pPr>
              <w:pStyle w:val="ListParagraph"/>
              <w:spacing w:after="0"/>
              <w:cnfStyle w:val="000000100000" w:firstRow="0" w:lastRow="0" w:firstColumn="0" w:lastColumn="0" w:oddVBand="0" w:evenVBand="0" w:oddHBand="1" w:evenHBand="0" w:firstRowFirstColumn="0" w:firstRowLastColumn="0" w:lastRowFirstColumn="0" w:lastRowLastColumn="0"/>
              <w:rPr>
                <w:rFonts w:ascii="Arial" w:eastAsia="DengXian" w:hAnsi="Arial"/>
                <w:lang w:val="en-GB"/>
              </w:rPr>
            </w:pPr>
            <w:r>
              <w:rPr>
                <w:rFonts w:ascii="Arial" w:eastAsia="DengXian" w:hAnsi="Arial"/>
                <w:lang w:val="en-GB"/>
              </w:rPr>
              <w:t>Tăng cường áp dụng tiêu chuẩn hóa đơn điện tử và/hoặc hài hòa hóa hệ thống hóa đơn điện tử quốc gia với các tiêu chuẩn quốc tế.</w:t>
            </w:r>
          </w:p>
        </w:tc>
      </w:tr>
      <w:tr w:rsidR="002574EA" w:rsidRPr="004F1D15" w14:paraId="44210975" w14:textId="77777777" w:rsidTr="003F7E7C">
        <w:tc>
          <w:tcPr>
            <w:cnfStyle w:val="001000000000" w:firstRow="0" w:lastRow="0" w:firstColumn="1" w:lastColumn="0" w:oddVBand="0" w:evenVBand="0" w:oddHBand="0" w:evenHBand="0" w:firstRowFirstColumn="0" w:firstRowLastColumn="0" w:lastRowFirstColumn="0" w:lastRowLastColumn="0"/>
            <w:tcW w:w="2263" w:type="dxa"/>
          </w:tcPr>
          <w:p w14:paraId="5BA7A7BE" w14:textId="73D2602B" w:rsidR="002574EA" w:rsidRPr="004F1D15" w:rsidRDefault="00254D33" w:rsidP="003F7E7C">
            <w:pPr>
              <w:jc w:val="left"/>
            </w:pPr>
            <w:r>
              <w:t>Thanh toán</w:t>
            </w:r>
          </w:p>
        </w:tc>
        <w:tc>
          <w:tcPr>
            <w:tcW w:w="8532" w:type="dxa"/>
          </w:tcPr>
          <w:p w14:paraId="49DB1CA8" w14:textId="09922153" w:rsidR="002574EA" w:rsidRPr="00516087" w:rsidRDefault="00970A52" w:rsidP="00276C00">
            <w:pPr>
              <w:pStyle w:val="ListParagraph"/>
              <w:cnfStyle w:val="000000000000" w:firstRow="0" w:lastRow="0" w:firstColumn="0" w:lastColumn="0" w:oddVBand="0" w:evenVBand="0" w:oddHBand="0" w:evenHBand="0" w:firstRowFirstColumn="0" w:firstRowLastColumn="0" w:lastRowFirstColumn="0" w:lastRowLastColumn="0"/>
              <w:rPr>
                <w:rFonts w:ascii="Arial" w:eastAsia="DengXian" w:hAnsi="Arial"/>
                <w:lang w:val="en-GB"/>
              </w:rPr>
            </w:pPr>
            <w:r>
              <w:rPr>
                <w:rFonts w:ascii="Arial" w:eastAsia="DengXian" w:hAnsi="Arial"/>
                <w:lang w:val="en-GB"/>
              </w:rPr>
              <w:t xml:space="preserve">Áp dụng tiêu chuẩn ISO 20022 trong vả Hệ thống Thanh </w:t>
            </w:r>
            <w:r w:rsidR="00C06D29">
              <w:rPr>
                <w:rFonts w:ascii="Arial" w:eastAsia="DengXian" w:hAnsi="Arial"/>
                <w:lang w:val="en-GB"/>
              </w:rPr>
              <w:t>toán Giá trị lớn tại cả 10 nước ASEAN; đồng thời tăng cường hài hòa với các tiêu chuẩn thanh toán toàn cầu như CBPR+, IP và CPMI.</w:t>
            </w:r>
          </w:p>
        </w:tc>
      </w:tr>
      <w:tr w:rsidR="002574EA" w:rsidRPr="004F1D15" w14:paraId="59E7C8FA" w14:textId="77777777" w:rsidTr="003F7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BDD6EE" w:themeFill="accent5" w:themeFillTint="66"/>
          </w:tcPr>
          <w:p w14:paraId="6A9AE24F" w14:textId="71CFE644" w:rsidR="002574EA" w:rsidRPr="004F1D15" w:rsidRDefault="00254D33" w:rsidP="003F7E7C">
            <w:pPr>
              <w:jc w:val="left"/>
            </w:pPr>
            <w:r>
              <w:t>Niềm tin</w:t>
            </w:r>
            <w:r w:rsidR="00DB241C">
              <w:t xml:space="preserve"> số</w:t>
            </w:r>
          </w:p>
        </w:tc>
        <w:tc>
          <w:tcPr>
            <w:tcW w:w="8532" w:type="dxa"/>
            <w:shd w:val="clear" w:color="auto" w:fill="BDD6EE" w:themeFill="accent5" w:themeFillTint="66"/>
          </w:tcPr>
          <w:p w14:paraId="54BFB5BE" w14:textId="0FA2E3A0" w:rsidR="002574EA" w:rsidRPr="00516087" w:rsidRDefault="00DB241C" w:rsidP="2EBEB450">
            <w:pPr>
              <w:pStyle w:val="ListParagraph"/>
              <w:spacing w:after="0"/>
              <w:cnfStyle w:val="000000100000" w:firstRow="0" w:lastRow="0" w:firstColumn="0" w:lastColumn="0" w:oddVBand="0" w:evenVBand="0" w:oddHBand="1" w:evenHBand="0" w:firstRowFirstColumn="0" w:firstRowLastColumn="0" w:lastRowFirstColumn="0" w:lastRowLastColumn="0"/>
              <w:rPr>
                <w:rFonts w:ascii="Arial" w:eastAsia="DengXian" w:hAnsi="Arial"/>
                <w:lang w:val="en-GB"/>
              </w:rPr>
            </w:pPr>
            <w:r>
              <w:rPr>
                <w:rFonts w:ascii="Arial" w:eastAsia="DengXian" w:hAnsi="Arial"/>
                <w:lang w:val="en-GB"/>
              </w:rPr>
              <w:t>Tăng cường áp dụng các tiêu chuẩn an ninh mạng quốc tế và các thông lệ chuẩn về vệ sinh an toàn mạng.</w:t>
            </w:r>
          </w:p>
          <w:p w14:paraId="59AC2A44" w14:textId="3532325C" w:rsidR="002574EA" w:rsidRPr="00516087" w:rsidRDefault="00DB241C" w:rsidP="2EBEB450">
            <w:pPr>
              <w:pStyle w:val="ListParagraph"/>
              <w:spacing w:after="0"/>
              <w:cnfStyle w:val="000000100000" w:firstRow="0" w:lastRow="0" w:firstColumn="0" w:lastColumn="0" w:oddVBand="0" w:evenVBand="0" w:oddHBand="1" w:evenHBand="0" w:firstRowFirstColumn="0" w:firstRowLastColumn="0" w:lastRowFirstColumn="0" w:lastRowLastColumn="0"/>
              <w:rPr>
                <w:rFonts w:ascii="Arial" w:eastAsia="DengXian" w:hAnsi="Arial"/>
                <w:lang w:val="en-GB"/>
              </w:rPr>
            </w:pPr>
            <w:r>
              <w:rPr>
                <w:rFonts w:ascii="Arial" w:eastAsia="DengXian" w:hAnsi="Arial"/>
                <w:lang w:val="en-GB"/>
              </w:rPr>
              <w:t>Hài hòa hóa quy định bảo vệ dữ liệu và cơ chế chuyển dữ liệu xuyên biên giới.</w:t>
            </w:r>
          </w:p>
          <w:p w14:paraId="3CDE504A" w14:textId="46387419" w:rsidR="002574EA" w:rsidRPr="00516087" w:rsidRDefault="002574EA" w:rsidP="2EBEB450">
            <w:pPr>
              <w:pStyle w:val="ListParagraph"/>
              <w:spacing w:after="0"/>
              <w:cnfStyle w:val="000000100000" w:firstRow="0" w:lastRow="0" w:firstColumn="0" w:lastColumn="0" w:oddVBand="0" w:evenVBand="0" w:oddHBand="1" w:evenHBand="0" w:firstRowFirstColumn="0" w:firstRowLastColumn="0" w:lastRowFirstColumn="0" w:lastRowLastColumn="0"/>
              <w:rPr>
                <w:rFonts w:ascii="Arial" w:eastAsia="DengXian" w:hAnsi="Arial"/>
                <w:lang w:val="en-GB"/>
              </w:rPr>
            </w:pPr>
            <w:r w:rsidRPr="00516087">
              <w:rPr>
                <w:rFonts w:ascii="Arial" w:eastAsia="DengXian" w:hAnsi="Arial"/>
                <w:lang w:val="en-GB"/>
              </w:rPr>
              <w:t>Increase</w:t>
            </w:r>
            <w:r w:rsidR="00276C00" w:rsidRPr="00516087">
              <w:rPr>
                <w:rFonts w:ascii="Arial" w:eastAsia="DengXian" w:hAnsi="Arial"/>
                <w:lang w:val="en-GB"/>
              </w:rPr>
              <w:t xml:space="preserve"> </w:t>
            </w:r>
            <w:r w:rsidRPr="00516087">
              <w:rPr>
                <w:rFonts w:ascii="Arial" w:eastAsia="DengXian" w:hAnsi="Arial"/>
                <w:lang w:val="en-GB"/>
              </w:rPr>
              <w:t xml:space="preserve">adoption of </w:t>
            </w:r>
            <w:r w:rsidR="0041563B" w:rsidRPr="00516087">
              <w:rPr>
                <w:rFonts w:ascii="Arial" w:eastAsia="DengXian" w:hAnsi="Arial"/>
                <w:lang w:val="en-GB"/>
              </w:rPr>
              <w:t>ASEAN Model Contractual Clauses on Cross Border Data Flow</w:t>
            </w:r>
            <w:r w:rsidRPr="00516087">
              <w:rPr>
                <w:rFonts w:ascii="Arial" w:eastAsia="DengXian" w:hAnsi="Arial"/>
                <w:lang w:val="en-GB"/>
              </w:rPr>
              <w:t xml:space="preserve"> amongst domestic businesses through guidance on operationalisation</w:t>
            </w:r>
            <w:r w:rsidR="00DB241C">
              <w:rPr>
                <w:rFonts w:ascii="Arial" w:eastAsia="DengXian" w:hAnsi="Arial"/>
                <w:lang w:val="en-GB"/>
              </w:rPr>
              <w:t xml:space="preserve"> Tăng cường áp dụng Bộ Điều khoản Hợp đồng Mẫu ASEAN về Chuyển Dữ liệu Xuyên Biên giới trong các doanh nghiệp nội địa thông qua hướng dẫn vận hành</w:t>
            </w:r>
            <w:r w:rsidR="0063733D">
              <w:rPr>
                <w:rFonts w:ascii="Arial" w:eastAsia="DengXian" w:hAnsi="Arial"/>
                <w:lang w:val="en-GB"/>
              </w:rPr>
              <w:t>.</w:t>
            </w:r>
          </w:p>
          <w:p w14:paraId="52E8D2EE" w14:textId="254522F3" w:rsidR="002574EA" w:rsidRPr="004F1D15" w:rsidRDefault="0063733D" w:rsidP="2EBEB450">
            <w:pPr>
              <w:pStyle w:val="ListParagraph"/>
              <w:spacing w:line="288" w:lineRule="auto"/>
              <w:cnfStyle w:val="000000100000" w:firstRow="0" w:lastRow="0" w:firstColumn="0" w:lastColumn="0" w:oddVBand="0" w:evenVBand="0" w:oddHBand="1" w:evenHBand="0" w:firstRowFirstColumn="0" w:firstRowLastColumn="0" w:lastRowFirstColumn="0" w:lastRowLastColumn="0"/>
              <w:rPr>
                <w:rFonts w:ascii="Arial" w:hAnsi="Arial"/>
                <w:lang w:val="en-GB"/>
              </w:rPr>
            </w:pPr>
            <w:r>
              <w:rPr>
                <w:rFonts w:ascii="Arial" w:hAnsi="Arial"/>
                <w:lang w:val="en-GB"/>
              </w:rPr>
              <w:lastRenderedPageBreak/>
              <w:t>Xây dựng Lộ trình ASEAN và UBIN.</w:t>
            </w:r>
          </w:p>
        </w:tc>
      </w:tr>
      <w:tr w:rsidR="002574EA" w:rsidRPr="004F1D15" w14:paraId="55EBE911" w14:textId="77777777" w:rsidTr="003F7E7C">
        <w:tc>
          <w:tcPr>
            <w:cnfStyle w:val="001000000000" w:firstRow="0" w:lastRow="0" w:firstColumn="1" w:lastColumn="0" w:oddVBand="0" w:evenVBand="0" w:oddHBand="0" w:evenHBand="0" w:firstRowFirstColumn="0" w:firstRowLastColumn="0" w:lastRowFirstColumn="0" w:lastRowLastColumn="0"/>
            <w:tcW w:w="2263" w:type="dxa"/>
          </w:tcPr>
          <w:p w14:paraId="73E50105" w14:textId="2C3F7928" w:rsidR="002574EA" w:rsidRPr="004F1D15" w:rsidRDefault="0063733D" w:rsidP="003F7E7C">
            <w:pPr>
              <w:jc w:val="left"/>
            </w:pPr>
            <w:r>
              <w:lastRenderedPageBreak/>
              <w:t>Định danh và xác thực số</w:t>
            </w:r>
          </w:p>
        </w:tc>
        <w:tc>
          <w:tcPr>
            <w:tcW w:w="8532" w:type="dxa"/>
          </w:tcPr>
          <w:p w14:paraId="33650831" w14:textId="2CC65C02" w:rsidR="002574EA" w:rsidRPr="00516087" w:rsidRDefault="0063733D" w:rsidP="00276C00">
            <w:pPr>
              <w:pStyle w:val="ListParagraph"/>
              <w:cnfStyle w:val="000000000000" w:firstRow="0" w:lastRow="0" w:firstColumn="0" w:lastColumn="0" w:oddVBand="0" w:evenVBand="0" w:oddHBand="0" w:evenHBand="0" w:firstRowFirstColumn="0" w:firstRowLastColumn="0" w:lastRowFirstColumn="0" w:lastRowLastColumn="0"/>
              <w:rPr>
                <w:rFonts w:ascii="Arial" w:eastAsia="DengXian" w:hAnsi="Arial"/>
                <w:lang w:val="en-GB"/>
              </w:rPr>
            </w:pPr>
            <w:r>
              <w:rPr>
                <w:rFonts w:ascii="Arial" w:eastAsia="DengXian" w:hAnsi="Arial"/>
                <w:lang w:val="en-GB"/>
              </w:rPr>
              <w:t>Xây dựng lộ trình triển khai nhằm thiết lập UBIN có khả năng so sánh và được công nhận trên toàn khu vực ASEAN.</w:t>
            </w:r>
          </w:p>
        </w:tc>
      </w:tr>
      <w:tr w:rsidR="002574EA" w:rsidRPr="004F1D15" w14:paraId="175C51C1" w14:textId="77777777" w:rsidTr="003F7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7BD85B4" w14:textId="677960F5" w:rsidR="002574EA" w:rsidRPr="004F1D15" w:rsidRDefault="00A151C2" w:rsidP="003F7E7C">
            <w:pPr>
              <w:jc w:val="left"/>
            </w:pPr>
            <w:r>
              <w:t xml:space="preserve">An ninh mạng </w:t>
            </w:r>
          </w:p>
        </w:tc>
        <w:tc>
          <w:tcPr>
            <w:tcW w:w="8532" w:type="dxa"/>
          </w:tcPr>
          <w:p w14:paraId="0CBF115A" w14:textId="11EDB6C9" w:rsidR="002574EA" w:rsidRPr="00516087" w:rsidRDefault="00A151C2" w:rsidP="647AC654">
            <w:pPr>
              <w:pStyle w:val="ListParagraph"/>
              <w:spacing w:after="0"/>
              <w:cnfStyle w:val="000000100000" w:firstRow="0" w:lastRow="0" w:firstColumn="0" w:lastColumn="0" w:oddVBand="0" w:evenVBand="0" w:oddHBand="1" w:evenHBand="0" w:firstRowFirstColumn="0" w:firstRowLastColumn="0" w:lastRowFirstColumn="0" w:lastRowLastColumn="0"/>
              <w:rPr>
                <w:rFonts w:ascii="Arial" w:eastAsia="DengXian" w:hAnsi="Arial"/>
                <w:lang w:val="en-GB"/>
              </w:rPr>
            </w:pPr>
            <w:r>
              <w:rPr>
                <w:rFonts w:ascii="Arial" w:eastAsia="DengXian" w:hAnsi="Arial"/>
                <w:lang w:val="en-GB"/>
              </w:rPr>
              <w:t>Áp dụng tiêu chuẩn ISO/IEC 27001 và 27002 tại cả 10 nước ASEAN.</w:t>
            </w:r>
          </w:p>
        </w:tc>
      </w:tr>
      <w:tr w:rsidR="002574EA" w:rsidRPr="004F1D15" w14:paraId="7661C5AE" w14:textId="77777777" w:rsidTr="003F7E7C">
        <w:tc>
          <w:tcPr>
            <w:cnfStyle w:val="001000000000" w:firstRow="0" w:lastRow="0" w:firstColumn="1" w:lastColumn="0" w:oddVBand="0" w:evenVBand="0" w:oddHBand="0" w:evenHBand="0" w:firstRowFirstColumn="0" w:firstRowLastColumn="0" w:lastRowFirstColumn="0" w:lastRowLastColumn="0"/>
            <w:tcW w:w="2263" w:type="dxa"/>
          </w:tcPr>
          <w:p w14:paraId="66275B15" w14:textId="32786366" w:rsidR="002574EA" w:rsidRPr="004F1D15" w:rsidRDefault="00A151C2" w:rsidP="003F7E7C">
            <w:pPr>
              <w:jc w:val="left"/>
            </w:pPr>
            <w:r>
              <w:t xml:space="preserve">An toàn trực tuyến </w:t>
            </w:r>
          </w:p>
        </w:tc>
        <w:tc>
          <w:tcPr>
            <w:tcW w:w="8532" w:type="dxa"/>
          </w:tcPr>
          <w:p w14:paraId="0EDE22A1" w14:textId="31A02F1A" w:rsidR="00730D36" w:rsidRPr="00EC1A54" w:rsidRDefault="006C144E" w:rsidP="00EC1A54">
            <w:pPr>
              <w:pStyle w:val="ListParagraph"/>
              <w:spacing w:after="0"/>
              <w:cnfStyle w:val="000000000000" w:firstRow="0" w:lastRow="0" w:firstColumn="0" w:lastColumn="0" w:oddVBand="0" w:evenVBand="0" w:oddHBand="0" w:evenHBand="0" w:firstRowFirstColumn="0" w:firstRowLastColumn="0" w:lastRowFirstColumn="0" w:lastRowLastColumn="0"/>
              <w:rPr>
                <w:rFonts w:eastAsia="DengXian"/>
              </w:rPr>
            </w:pPr>
            <w:r>
              <w:rPr>
                <w:rFonts w:ascii="Arial" w:eastAsia="DengXian" w:hAnsi="Arial"/>
                <w:lang w:val="en-GB"/>
              </w:rPr>
              <w:t>Nâng cao Bộ Quy tắc Ứng xử Kinh doanh Trực tuyến ASEAN</w:t>
            </w:r>
          </w:p>
        </w:tc>
      </w:tr>
      <w:tr w:rsidR="002574EA" w:rsidRPr="004F1D15" w14:paraId="55198E35" w14:textId="77777777" w:rsidTr="003F7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948E5CE" w14:textId="06C77F8D" w:rsidR="002574EA" w:rsidRPr="004F1D15" w:rsidRDefault="006C144E" w:rsidP="003F7E7C">
            <w:pPr>
              <w:jc w:val="left"/>
            </w:pPr>
            <w:r>
              <w:t xml:space="preserve">Bảo vệ dữ liệu và quyền riêng tư xuyên biên giới </w:t>
            </w:r>
          </w:p>
        </w:tc>
        <w:tc>
          <w:tcPr>
            <w:tcW w:w="8532" w:type="dxa"/>
          </w:tcPr>
          <w:p w14:paraId="7CA51894" w14:textId="3A4ABA3E" w:rsidR="002574EA" w:rsidRPr="00516087" w:rsidRDefault="006C144E" w:rsidP="1CA6ABCE">
            <w:pPr>
              <w:pStyle w:val="ListParagraph"/>
              <w:spacing w:after="0"/>
              <w:cnfStyle w:val="000000100000" w:firstRow="0" w:lastRow="0" w:firstColumn="0" w:lastColumn="0" w:oddVBand="0" w:evenVBand="0" w:oddHBand="1" w:evenHBand="0" w:firstRowFirstColumn="0" w:firstRowLastColumn="0" w:lastRowFirstColumn="0" w:lastRowLastColumn="0"/>
              <w:rPr>
                <w:rFonts w:ascii="Arial" w:eastAsia="DengXian" w:hAnsi="Arial"/>
                <w:lang w:val="en-GB"/>
              </w:rPr>
            </w:pPr>
            <w:r>
              <w:rPr>
                <w:rFonts w:ascii="Arial" w:eastAsia="DengXian" w:hAnsi="Arial"/>
                <w:lang w:val="en-GB"/>
              </w:rPr>
              <w:t xml:space="preserve">Tăng cường áp dụng Bộ Điều khoản Hợp đồng mẫu ASEAN về </w:t>
            </w:r>
            <w:r w:rsidR="003A39BE">
              <w:rPr>
                <w:rFonts w:ascii="Arial" w:eastAsia="DengXian" w:hAnsi="Arial"/>
                <w:lang w:val="en-GB"/>
              </w:rPr>
              <w:t>Chuyển Dữ liệu Xuyên Biên giới trong doanh nghiệp nội địa qua hướng dẫn vận hành.</w:t>
            </w:r>
          </w:p>
        </w:tc>
      </w:tr>
      <w:tr w:rsidR="002574EA" w:rsidRPr="004F1D15" w14:paraId="5978BA7A" w14:textId="77777777" w:rsidTr="003F7E7C">
        <w:tc>
          <w:tcPr>
            <w:cnfStyle w:val="001000000000" w:firstRow="0" w:lastRow="0" w:firstColumn="1" w:lastColumn="0" w:oddVBand="0" w:evenVBand="0" w:oddHBand="0" w:evenHBand="0" w:firstRowFirstColumn="0" w:firstRowLastColumn="0" w:lastRowFirstColumn="0" w:lastRowLastColumn="0"/>
            <w:tcW w:w="2263" w:type="dxa"/>
            <w:shd w:val="clear" w:color="auto" w:fill="BDD6EE" w:themeFill="accent5" w:themeFillTint="66"/>
          </w:tcPr>
          <w:p w14:paraId="6070651B" w14:textId="09178276" w:rsidR="002574EA" w:rsidRPr="004F1D15" w:rsidRDefault="009C5146" w:rsidP="003F7E7C">
            <w:pPr>
              <w:jc w:val="left"/>
            </w:pPr>
            <w:r>
              <w:t>Hợp tác về các chủ đề mới nổi</w:t>
            </w:r>
          </w:p>
        </w:tc>
        <w:tc>
          <w:tcPr>
            <w:tcW w:w="8532" w:type="dxa"/>
            <w:shd w:val="clear" w:color="auto" w:fill="BDD6EE" w:themeFill="accent5" w:themeFillTint="66"/>
          </w:tcPr>
          <w:p w14:paraId="54A19072" w14:textId="7726F396" w:rsidR="002574EA" w:rsidRPr="00516087" w:rsidRDefault="009C5146" w:rsidP="6F8A5441">
            <w:pPr>
              <w:pStyle w:val="ListParagraph"/>
              <w:spacing w:after="0"/>
              <w:cnfStyle w:val="000000000000" w:firstRow="0" w:lastRow="0" w:firstColumn="0" w:lastColumn="0" w:oddVBand="0" w:evenVBand="0" w:oddHBand="0" w:evenHBand="0" w:firstRowFirstColumn="0" w:firstRowLastColumn="0" w:lastRowFirstColumn="0" w:lastRowLastColumn="0"/>
              <w:rPr>
                <w:rFonts w:ascii="Arial" w:eastAsia="DengXian" w:hAnsi="Arial"/>
                <w:lang w:val="en-GB"/>
              </w:rPr>
            </w:pPr>
            <w:r>
              <w:rPr>
                <w:rFonts w:ascii="Arial" w:eastAsia="DengXian" w:hAnsi="Arial"/>
                <w:lang w:val="en-GB"/>
              </w:rPr>
              <w:t>Xâu dựng các khung/tiêu chuẩn khu vực cho việc sử dụng các công nghệ mới nổi.</w:t>
            </w:r>
          </w:p>
          <w:p w14:paraId="52E39885" w14:textId="401F49D5" w:rsidR="002574EA" w:rsidRPr="00516087" w:rsidRDefault="009C5146" w:rsidP="1CA6ABCE">
            <w:pPr>
              <w:pStyle w:val="ListParagraph"/>
              <w:spacing w:after="0"/>
              <w:cnfStyle w:val="000000000000" w:firstRow="0" w:lastRow="0" w:firstColumn="0" w:lastColumn="0" w:oddVBand="0" w:evenVBand="0" w:oddHBand="0" w:evenHBand="0" w:firstRowFirstColumn="0" w:firstRowLastColumn="0" w:lastRowFirstColumn="0" w:lastRowLastColumn="0"/>
              <w:rPr>
                <w:rFonts w:ascii="Arial" w:eastAsia="DengXian" w:hAnsi="Arial"/>
                <w:lang w:val="en-GB"/>
              </w:rPr>
            </w:pPr>
            <w:r>
              <w:rPr>
                <w:rFonts w:ascii="Arial" w:eastAsia="DengXian" w:hAnsi="Arial"/>
                <w:lang w:val="en-GB"/>
              </w:rPr>
              <w:t>Nâng cao nhận thức về công nghệ mới nổi để sẵn sàng tận dụng hiệu quả</w:t>
            </w:r>
            <w:r w:rsidR="00ED432D">
              <w:rPr>
                <w:rFonts w:ascii="Arial" w:eastAsia="DengXian" w:hAnsi="Arial"/>
                <w:lang w:val="en-GB"/>
              </w:rPr>
              <w:t>.</w:t>
            </w:r>
          </w:p>
        </w:tc>
      </w:tr>
      <w:tr w:rsidR="002574EA" w:rsidRPr="004F1D15" w14:paraId="017F7987" w14:textId="77777777" w:rsidTr="003F7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487CD53" w14:textId="4F56B8B0" w:rsidR="002574EA" w:rsidRPr="004F1D15" w:rsidRDefault="002574EA" w:rsidP="003F7E7C">
            <w:pPr>
              <w:jc w:val="left"/>
            </w:pPr>
            <w:r w:rsidRPr="004F1D15">
              <w:t>AI</w:t>
            </w:r>
          </w:p>
        </w:tc>
        <w:tc>
          <w:tcPr>
            <w:tcW w:w="8532" w:type="dxa"/>
          </w:tcPr>
          <w:p w14:paraId="18DCCD09" w14:textId="03F42605" w:rsidR="002574EA" w:rsidRPr="00152D62" w:rsidRDefault="00ED432D" w:rsidP="230F1EEE">
            <w:pPr>
              <w:pStyle w:val="ListParagraph"/>
              <w:spacing w:after="0"/>
              <w:cnfStyle w:val="000000100000" w:firstRow="0" w:lastRow="0" w:firstColumn="0" w:lastColumn="0" w:oddVBand="0" w:evenVBand="0" w:oddHBand="1" w:evenHBand="0" w:firstRowFirstColumn="0" w:firstRowLastColumn="0" w:lastRowFirstColumn="0" w:lastRowLastColumn="0"/>
              <w:rPr>
                <w:rFonts w:ascii="Arial" w:hAnsi="Arial"/>
                <w:lang w:val="en-GB"/>
              </w:rPr>
            </w:pPr>
            <w:r>
              <w:rPr>
                <w:rFonts w:ascii="Arial" w:hAnsi="Arial"/>
                <w:lang w:val="en-GB"/>
              </w:rPr>
              <w:t xml:space="preserve">Tăng cường tham gia vào quá trình xây dựng và triển khai các tiêu chuẩn AI quốc tế </w:t>
            </w:r>
          </w:p>
        </w:tc>
      </w:tr>
      <w:tr w:rsidR="002574EA" w:rsidRPr="004F1D15" w14:paraId="5E687326" w14:textId="77777777" w:rsidTr="003F7E7C">
        <w:tc>
          <w:tcPr>
            <w:cnfStyle w:val="001000000000" w:firstRow="0" w:lastRow="0" w:firstColumn="1" w:lastColumn="0" w:oddVBand="0" w:evenVBand="0" w:oddHBand="0" w:evenHBand="0" w:firstRowFirstColumn="0" w:firstRowLastColumn="0" w:lastRowFirstColumn="0" w:lastRowLastColumn="0"/>
            <w:tcW w:w="2263" w:type="dxa"/>
          </w:tcPr>
          <w:p w14:paraId="0EBD0564" w14:textId="67162B33" w:rsidR="002574EA" w:rsidRPr="004F1D15" w:rsidRDefault="002574EA" w:rsidP="003F7E7C">
            <w:pPr>
              <w:jc w:val="left"/>
            </w:pPr>
            <w:r w:rsidRPr="004F1D15">
              <w:t>Blockchain</w:t>
            </w:r>
          </w:p>
        </w:tc>
        <w:tc>
          <w:tcPr>
            <w:tcW w:w="8532" w:type="dxa"/>
          </w:tcPr>
          <w:p w14:paraId="0484848E" w14:textId="3EAA0F01" w:rsidR="002574EA" w:rsidRPr="00276C00" w:rsidRDefault="00ED432D" w:rsidP="00E24CA3">
            <w:pPr>
              <w:pStyle w:val="ListParagraph"/>
              <w:numPr>
                <w:ilvl w:val="0"/>
                <w:numId w:val="48"/>
              </w:numPr>
              <w:spacing w:after="0"/>
              <w:cnfStyle w:val="000000000000" w:firstRow="0" w:lastRow="0" w:firstColumn="0" w:lastColumn="0" w:oddVBand="0" w:evenVBand="0" w:oddHBand="0" w:evenHBand="0" w:firstRowFirstColumn="0" w:firstRowLastColumn="0" w:lastRowFirstColumn="0" w:lastRowLastColumn="0"/>
              <w:rPr>
                <w:rFonts w:ascii="Arial" w:hAnsi="Arial"/>
                <w:lang w:val="en-GB"/>
              </w:rPr>
            </w:pPr>
            <w:r>
              <w:rPr>
                <w:rFonts w:ascii="Arial" w:hAnsi="Arial"/>
                <w:lang w:val="en-GB"/>
              </w:rPr>
              <w:t>Tăng cường tham gia vào quá trình xây dựng các tiêu chuẩn blockchain quốc tế.</w:t>
            </w:r>
          </w:p>
        </w:tc>
      </w:tr>
      <w:tr w:rsidR="002574EA" w:rsidRPr="004F1D15" w14:paraId="0CA83931" w14:textId="77777777" w:rsidTr="003F7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5CAD449" w14:textId="0B2A0975" w:rsidR="002574EA" w:rsidRPr="004F1D15" w:rsidRDefault="00ED432D" w:rsidP="003F7E7C">
            <w:pPr>
              <w:jc w:val="left"/>
            </w:pPr>
            <w:r>
              <w:t xml:space="preserve">Điện toán đám mây </w:t>
            </w:r>
            <w:r w:rsidR="002574EA" w:rsidRPr="004F1D15">
              <w:t xml:space="preserve"> </w:t>
            </w:r>
          </w:p>
        </w:tc>
        <w:tc>
          <w:tcPr>
            <w:tcW w:w="8532" w:type="dxa"/>
          </w:tcPr>
          <w:p w14:paraId="313EEDD4" w14:textId="62ABD9E8" w:rsidR="002574EA" w:rsidRPr="00516087" w:rsidRDefault="00ED432D" w:rsidP="00E24CA3">
            <w:pPr>
              <w:pStyle w:val="ListParagraph"/>
              <w:numPr>
                <w:ilvl w:val="0"/>
                <w:numId w:val="4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lang w:val="en-GB"/>
              </w:rPr>
            </w:pPr>
            <w:r>
              <w:rPr>
                <w:rFonts w:ascii="Arial" w:eastAsia="DengXian" w:hAnsi="Arial"/>
                <w:lang w:val="en-GB"/>
              </w:rPr>
              <w:t>Xây dựng Khung Điện toán Đám mây ASEAN.</w:t>
            </w:r>
          </w:p>
        </w:tc>
      </w:tr>
    </w:tbl>
    <w:p w14:paraId="336B0B90" w14:textId="207483A6" w:rsidR="00E9797E" w:rsidRPr="004F1D15" w:rsidRDefault="007677A4" w:rsidP="007664A3">
      <w:pPr>
        <w:rPr>
          <w:i/>
          <w:sz w:val="20"/>
          <w:szCs w:val="20"/>
        </w:rPr>
      </w:pPr>
      <w:r>
        <w:rPr>
          <w:i/>
          <w:sz w:val="20"/>
          <w:szCs w:val="20"/>
        </w:rPr>
        <w:t>Nguồn</w:t>
      </w:r>
      <w:r w:rsidR="00E9797E" w:rsidRPr="004F1D15">
        <w:rPr>
          <w:i/>
          <w:sz w:val="20"/>
          <w:szCs w:val="20"/>
        </w:rPr>
        <w:t xml:space="preserve">: </w:t>
      </w:r>
      <w:r>
        <w:rPr>
          <w:i/>
          <w:sz w:val="20"/>
          <w:szCs w:val="20"/>
        </w:rPr>
        <w:t>Phân tích của Access Partnership</w:t>
      </w:r>
    </w:p>
    <w:p w14:paraId="26C07396" w14:textId="3C221D07" w:rsidR="00CF4872" w:rsidRPr="004F1D15" w:rsidRDefault="00CF4872" w:rsidP="00CF4872">
      <w:pPr>
        <w:pStyle w:val="Heading3"/>
        <w:rPr>
          <w:lang w:val="en-GB"/>
        </w:rPr>
      </w:pPr>
      <w:r w:rsidRPr="004F1D15">
        <w:rPr>
          <w:lang w:val="en-GB"/>
        </w:rPr>
        <w:t>C</w:t>
      </w:r>
      <w:r w:rsidR="007A0BF6">
        <w:rPr>
          <w:lang w:val="en-GB"/>
        </w:rPr>
        <w:t>ác nhóm hành động</w:t>
      </w:r>
    </w:p>
    <w:p w14:paraId="0A2A2102" w14:textId="020CEA7F" w:rsidR="007A0BF6" w:rsidRPr="004F1D15" w:rsidRDefault="007A0BF6" w:rsidP="007664A3">
      <w:r>
        <w:t>Để đảm bảo xây dựng một bộ khuyến nghị toàn diện nhằm đạt được các mục tiêu cuối cùng, các khuyến nghị được phân thành ba nhóm chính: (1) Điều chỉnh và Điều phối Chính sách, (2) Xây dựng năng lực và Hỗ trợ kỹ thuật, và (3) Phát triển Hạ tầng Số</w:t>
      </w:r>
      <w:r w:rsidR="0043229C">
        <w:t>.</w:t>
      </w:r>
    </w:p>
    <w:p w14:paraId="2BFAF676" w14:textId="6F542ECF" w:rsidR="00BA682E" w:rsidRPr="004F1D15" w:rsidRDefault="0043229C" w:rsidP="007664A3">
      <w:pPr>
        <w:rPr>
          <w:b/>
          <w:bCs/>
        </w:rPr>
      </w:pPr>
      <w:r>
        <w:rPr>
          <w:b/>
          <w:bCs/>
        </w:rPr>
        <w:t xml:space="preserve">Điều chỉnh và Điều phối Chính sách </w:t>
      </w:r>
    </w:p>
    <w:p w14:paraId="32ED8EC4" w14:textId="742A7F0B" w:rsidR="0043229C" w:rsidRPr="004F1D15" w:rsidRDefault="0043229C" w:rsidP="0043229C">
      <w:r w:rsidRPr="0043229C">
        <w:t>Điều chỉnh và điều phối chính sách là yếu tố then chốt để tạo ra một môi trường thương mại số có khả năng liên thông và bao trùm trong ASEAN. Các khuyến nghị thuộc nhóm này tập trung vào hài hòa hóa chính sách thương mại số giữa các quốc gia thành viên, xây dựng khuôn khổ quản lý phối hợp và tăng cường hợp tác khu vực.</w:t>
      </w:r>
      <w:r>
        <w:t xml:space="preserve"> Các hành động chính gồm có: Áp dụng các tiêu chuẩn thương mại số; Xây dựng khuôn khổ quản lý phối hợp phù hợp với tiêu chuẩn quốc tế nhưng vẫn đáp ứng các nhu cầu đặc thù của ASEAN; Thúc đẩy hợp tác thông qua đối thoại định kỳ, sáng kiến chung và chia sẻ thông lệ tốt nhất.</w:t>
      </w:r>
    </w:p>
    <w:p w14:paraId="5740BD9D" w14:textId="6934D6DB" w:rsidR="00BA682E" w:rsidRPr="004F1D15" w:rsidRDefault="0043229C" w:rsidP="007664A3">
      <w:pPr>
        <w:rPr>
          <w:b/>
          <w:bCs/>
        </w:rPr>
      </w:pPr>
      <w:r>
        <w:rPr>
          <w:b/>
          <w:bCs/>
        </w:rPr>
        <w:t>Xây dựng Năng lực và Hỗ trợ Kỹ thuật</w:t>
      </w:r>
    </w:p>
    <w:p w14:paraId="3BD4D910" w14:textId="08554619" w:rsidR="00E757A3" w:rsidRPr="00ED432D" w:rsidRDefault="00E757A3" w:rsidP="00462C22">
      <w:r w:rsidRPr="00E757A3">
        <w:t>Xây dựng năng lực và hỗ trợ kỹ thuật đóng vai trò quan trọng trong việc trang bị cho các nước ASEAN kiến thức và kỹ năng cần thiết để áp dụng và triển khai tiêu chuẩn thương mại số. Nhóm này tập trung vào các chương trình đào tạo, cung cấp hỗ trợ kỹ thuật và tăng cường năng lực thể chế.</w:t>
      </w:r>
      <w:r>
        <w:t xml:space="preserve"> </w:t>
      </w:r>
      <w:r w:rsidRPr="00E757A3">
        <w:t xml:space="preserve">Điều này giúp </w:t>
      </w:r>
      <w:r w:rsidRPr="00E757A3">
        <w:lastRenderedPageBreak/>
        <w:t>các bên liên quan — bao gồm cơ quan quản lý, doanh nghiệp, ngành công nghiệp và tổ chức thương mại — có đủ chuyên môn để giám sát và đảm bảo tuân thủ tiêu chuẩn thương mại số.</w:t>
      </w:r>
      <w:r w:rsidR="00462C22">
        <w:t xml:space="preserve"> Các hành động chính gồm có: Triển khai các chương trình đào tạo; Cung cấp dịch vụ tư vấn và hướng dẫn thực tiễn; Tăng cường cơ cấu tổ chức và quy trình của các cơ quan liên quan.</w:t>
      </w:r>
    </w:p>
    <w:p w14:paraId="30CB87FA" w14:textId="1BA01250" w:rsidR="00BA682E" w:rsidRPr="00462C22" w:rsidRDefault="00462C22" w:rsidP="007664A3">
      <w:pPr>
        <w:rPr>
          <w:b/>
          <w:bCs/>
          <w:lang w:val="vi-VN"/>
        </w:rPr>
      </w:pPr>
      <w:r>
        <w:rPr>
          <w:b/>
          <w:bCs/>
        </w:rPr>
        <w:t>Phát</w:t>
      </w:r>
      <w:r>
        <w:rPr>
          <w:b/>
          <w:bCs/>
          <w:lang w:val="vi-VN"/>
        </w:rPr>
        <w:t xml:space="preserve"> triển Hạ tầng Số</w:t>
      </w:r>
    </w:p>
    <w:p w14:paraId="0D0BF531" w14:textId="101FDCB4" w:rsidR="00E604BF" w:rsidRPr="00E604BF" w:rsidRDefault="00E604BF" w:rsidP="00E604BF">
      <w:pPr>
        <w:rPr>
          <w:lang w:val="vi-VN"/>
        </w:rPr>
      </w:pPr>
      <w:r w:rsidRPr="00E604BF">
        <w:rPr>
          <w:lang w:val="vi-VN"/>
        </w:rPr>
        <w:t>Phát triển hạ tầng số là nền tảng để hỗ trợ hệ sinh thái thương mại số mạnh mẽ và bền vững tại ASEAN. Nhóm hành động này tập trung vào đầu tư và nâng cấp hạ tầng số cần thiết, bảo đảm an ninh mạng và bảo vệ dữ liệu, cũng như tăng cường khả năng kết nối và liên thông.</w:t>
      </w:r>
      <w:r>
        <w:rPr>
          <w:lang w:val="vi-VN"/>
        </w:rPr>
        <w:t xml:space="preserve"> </w:t>
      </w:r>
      <w:r w:rsidRPr="00E604BF">
        <w:rPr>
          <w:lang w:val="vi-VN"/>
        </w:rPr>
        <w:t>Các hành động chính gồm có:</w:t>
      </w:r>
      <w:r>
        <w:rPr>
          <w:lang w:val="vi-VN"/>
        </w:rPr>
        <w:t xml:space="preserve"> </w:t>
      </w:r>
      <w:r w:rsidRPr="00E604BF">
        <w:rPr>
          <w:lang w:val="vi-VN"/>
        </w:rPr>
        <w:t xml:space="preserve">Phát triển internet tốc độ cao, trung tâm dữ liệu và dịch vụ điện toán đám </w:t>
      </w:r>
      <w:r>
        <w:rPr>
          <w:lang w:val="vi-VN"/>
        </w:rPr>
        <w:t xml:space="preserve">mây; </w:t>
      </w:r>
      <w:r w:rsidRPr="00E604BF">
        <w:rPr>
          <w:lang w:val="vi-VN"/>
        </w:rPr>
        <w:t xml:space="preserve">Triển khai các biện pháp an ninh mạng vững </w:t>
      </w:r>
      <w:r>
        <w:rPr>
          <w:lang w:val="vi-VN"/>
        </w:rPr>
        <w:t xml:space="preserve">chắc; </w:t>
      </w:r>
      <w:r w:rsidRPr="00E604BF">
        <w:rPr>
          <w:lang w:val="vi-VN"/>
        </w:rPr>
        <w:t>Chuẩn hóa các giao thức kỹ thuật nhằm tăng cường khả năng kết nối và liên thông xuyên biên giới.</w:t>
      </w:r>
    </w:p>
    <w:p w14:paraId="2D673BA4" w14:textId="55DACE8E" w:rsidR="00E604BF" w:rsidRPr="00E604BF" w:rsidRDefault="00E604BF" w:rsidP="007664A3">
      <w:pPr>
        <w:rPr>
          <w:lang w:val="vi-VN"/>
        </w:rPr>
      </w:pPr>
      <w:r w:rsidRPr="00E604BF">
        <w:rPr>
          <w:lang w:val="vi-VN"/>
        </w:rPr>
        <w:t>Bằng cách phân loại các khuyến nghị theo ba nhóm trọng tâm này, ASEAN có thể giải quyết một cách hệ thống các thách thức đa chiều của thương mại số. Cách tiếp cận cấu trúc này giúp các quốc gia thành viên triển khai các biện pháp phù hợp, góp phần xây dựng một nền kinh tế số khu vực gắn kết và tích hợp, từ đó thúc đẩy tăng trưởng bền vững và đổi mới trong toàn khu vực.</w:t>
      </w:r>
    </w:p>
    <w:p w14:paraId="6B0EB8EE" w14:textId="03D0F241" w:rsidR="00260B9E" w:rsidRPr="004F1D15" w:rsidRDefault="009A3D0A" w:rsidP="00260B9E">
      <w:pPr>
        <w:pStyle w:val="Heading3"/>
        <w:rPr>
          <w:lang w:val="en-GB"/>
        </w:rPr>
      </w:pPr>
      <w:r>
        <w:rPr>
          <w:lang w:val="en-GB"/>
        </w:rPr>
        <w:t>Tiêu</w:t>
      </w:r>
      <w:r>
        <w:rPr>
          <w:lang w:val="vi-VN"/>
        </w:rPr>
        <w:t xml:space="preserve"> chí ưu tiên và Hài hòa hóa Tiêu chuẩn </w:t>
      </w:r>
    </w:p>
    <w:p w14:paraId="14037212" w14:textId="5CC97487" w:rsidR="009A3D0A" w:rsidRDefault="009A3D0A" w:rsidP="007664A3">
      <w:pPr>
        <w:rPr>
          <w:lang w:val="vi-VN"/>
        </w:rPr>
      </w:pPr>
      <w:r>
        <w:rPr>
          <w:lang w:val="vi-VN"/>
        </w:rPr>
        <w:t xml:space="preserve">Việc xác định các tiêu chí để ưu tiên và hài hòa hóa tiêu chuẩn thương mại số có vai trò quan trọng trong việc giúp các quốc gia thành viên ASEAN (AMS) nhận diện những tiêu chuẩn cần được ưu tiên nhằm tối đa hóa lợi ích kinh tế, bảo đảm tính đồng bộ trong quản lý và thúc đẩy hội nhập khu vực. </w:t>
      </w:r>
    </w:p>
    <w:p w14:paraId="046794D3" w14:textId="44BB2DC8" w:rsidR="009A3D0A" w:rsidRPr="009A3D0A" w:rsidRDefault="009A3D0A" w:rsidP="007664A3">
      <w:pPr>
        <w:rPr>
          <w:lang w:val="vi-VN"/>
        </w:rPr>
      </w:pPr>
      <w:r>
        <w:rPr>
          <w:lang w:val="vi-VN"/>
        </w:rPr>
        <w:t>Bốn tiêu chí chính bao gồm: (1) Tác động đối với Thương mại Số của ASEAN, (2) Phù hợp với Các Sáng kiến Số Chủ lực của ASEAN và Thông lệ Quốc tế, (3) Tính Khả thi Thương mại và Mức độ Quan tâm của Thị trường và (4) Tình trạng Áp dụng và Triển khai Tiêu chuẩn tại các AMS.</w:t>
      </w:r>
    </w:p>
    <w:p w14:paraId="7DAB279C" w14:textId="0E9A3F81" w:rsidR="00D7035A" w:rsidRPr="00202A39" w:rsidRDefault="00202A39" w:rsidP="00D7035A">
      <w:pPr>
        <w:rPr>
          <w:b/>
          <w:lang w:val="vi-VN"/>
        </w:rPr>
      </w:pPr>
      <w:r>
        <w:rPr>
          <w:b/>
        </w:rPr>
        <w:t>Tác</w:t>
      </w:r>
      <w:r>
        <w:rPr>
          <w:b/>
          <w:lang w:val="vi-VN"/>
        </w:rPr>
        <w:t xml:space="preserve"> động đối với Thương mại Số của ASEAN </w:t>
      </w:r>
    </w:p>
    <w:p w14:paraId="104EB17D" w14:textId="5CF4725B" w:rsidR="00202A39" w:rsidRPr="00202A39" w:rsidRDefault="00202A39" w:rsidP="007664A3">
      <w:pPr>
        <w:rPr>
          <w:lang w:val="vi-VN"/>
        </w:rPr>
      </w:pPr>
      <w:r>
        <w:rPr>
          <w:lang w:val="vi-VN"/>
        </w:rPr>
        <w:t>Lộ trình này ưu tiên các tiêu chuẩn thương mại số có tác động lớn nhất đến nền kinh tế số ASEAN nhằm tối đa hóa lợi ích kinh tế, tăng cường khả năng liên thông và thúc đẩy sự thống nhất trong khung pháp lý. Bằng cách tập trung vào những tiêu chuẩn có tác động lớn, ASEAN có thể: Thúc đẩy đổi mới sáng tạo, tăng cường hội nhập số trong khu vực, giảm chi phí tuân thủ cho doanh nghiệp, đặc biệt là MSMEs. Việc ưu tiên các tiêu chuẩn này là cần thiết để xây dựng một nền kinh tế số năng động và có sức cạnh tranh cao trong khu vực.</w:t>
      </w:r>
    </w:p>
    <w:p w14:paraId="58A6A3EB" w14:textId="0B63480A" w:rsidR="009A5741" w:rsidRPr="00ED3C33" w:rsidRDefault="00ED3C33" w:rsidP="007664A3">
      <w:pPr>
        <w:rPr>
          <w:b/>
          <w:bCs/>
          <w:lang w:val="vi-VN"/>
        </w:rPr>
      </w:pPr>
      <w:r>
        <w:rPr>
          <w:b/>
          <w:bCs/>
          <w:lang w:val="vi-VN"/>
        </w:rPr>
        <w:t xml:space="preserve">Phù hợp với các Sáng kiến Số Chủ lực của ASEAN VÀ Thông lệ Quốc tế </w:t>
      </w:r>
    </w:p>
    <w:p w14:paraId="15D79CF0" w14:textId="77E54666" w:rsidR="00ED1C54" w:rsidRPr="00ED1C54" w:rsidRDefault="00ED1C54" w:rsidP="00ED1C54">
      <w:pPr>
        <w:rPr>
          <w:lang w:val="vi-VN"/>
        </w:rPr>
      </w:pPr>
      <w:r w:rsidRPr="00ED1C54">
        <w:rPr>
          <w:lang w:val="vi-VN"/>
        </w:rPr>
        <w:t>Lộ trình này ưu tiên những tiêu chuẩn thương mại số có sự tương thích với các sáng kiến số trọng điểm của ASEAN cũng như các thông lệ quốc tế, nhằm thúc đẩy sự thống nhất khu vực và nâng cao năng lực cạnh tranh toàn cầu.</w:t>
      </w:r>
      <w:r>
        <w:rPr>
          <w:lang w:val="vi-VN"/>
        </w:rPr>
        <w:t xml:space="preserve"> </w:t>
      </w:r>
      <w:r w:rsidRPr="00ED1C54">
        <w:rPr>
          <w:lang w:val="vi-VN"/>
        </w:rPr>
        <w:t>Các tiêu chuẩn cần bảo đảm phù hợp với mục tiêu rộng hơn của:</w:t>
      </w:r>
      <w:r>
        <w:rPr>
          <w:lang w:val="vi-VN"/>
        </w:rPr>
        <w:t xml:space="preserve"> </w:t>
      </w:r>
      <w:r w:rsidRPr="00ED1C54">
        <w:rPr>
          <w:lang w:val="vi-VN"/>
        </w:rPr>
        <w:t>Cộng đồng Kinh tế ASEAN (AEC),</w:t>
      </w:r>
      <w:r>
        <w:rPr>
          <w:lang w:val="vi-VN"/>
        </w:rPr>
        <w:t xml:space="preserve"> </w:t>
      </w:r>
      <w:r w:rsidRPr="00ED1C54">
        <w:rPr>
          <w:lang w:val="vi-VN"/>
        </w:rPr>
        <w:t>Hiệp định Khung Kinh tế Số (DEFA),</w:t>
      </w:r>
      <w:r>
        <w:rPr>
          <w:lang w:val="vi-VN"/>
        </w:rPr>
        <w:t xml:space="preserve"> </w:t>
      </w:r>
      <w:r w:rsidRPr="00ED1C54">
        <w:rPr>
          <w:lang w:val="vi-VN"/>
        </w:rPr>
        <w:t>Các sáng kiến số trọng điểm của ASEAN (trình bày chi tiết trong Phụ lục báo cáo).</w:t>
      </w:r>
      <w:r>
        <w:rPr>
          <w:lang w:val="vi-VN"/>
        </w:rPr>
        <w:t xml:space="preserve"> </w:t>
      </w:r>
      <w:r w:rsidRPr="00ED1C54">
        <w:rPr>
          <w:lang w:val="vi-VN"/>
        </w:rPr>
        <w:t>Đồng thời, các tiêu chuẩn này phải phản ánh thông lệ quốc tế được công nhận rộng rãi để hỗ trợ thương mại toàn cầu và hội nhập quốc tế.</w:t>
      </w:r>
      <w:r>
        <w:rPr>
          <w:lang w:val="vi-VN"/>
        </w:rPr>
        <w:t xml:space="preserve"> </w:t>
      </w:r>
      <w:r w:rsidRPr="00ED1C54">
        <w:rPr>
          <w:lang w:val="vi-VN"/>
        </w:rPr>
        <w:t xml:space="preserve">Sự phù hợp này giúp các quốc gia thành viên cùng hướng tới mục tiêu chung của khu vực trong khi vẫn duy trì khả </w:t>
      </w:r>
      <w:r w:rsidRPr="00ED1C54">
        <w:rPr>
          <w:lang w:val="vi-VN"/>
        </w:rPr>
        <w:lastRenderedPageBreak/>
        <w:t>năng tương thích với tiêu chuẩn toàn cầu, qua đó tăng sức hấp dẫn của ASEAN như một thị trường số thống nhất.</w:t>
      </w:r>
    </w:p>
    <w:p w14:paraId="0CE66D85" w14:textId="18C96D71" w:rsidR="009A5741" w:rsidRPr="00074C46" w:rsidRDefault="00074C46" w:rsidP="007664A3">
      <w:pPr>
        <w:rPr>
          <w:b/>
          <w:bCs/>
          <w:lang w:val="vi-VN"/>
        </w:rPr>
      </w:pPr>
      <w:r>
        <w:rPr>
          <w:b/>
          <w:bCs/>
          <w:lang w:val="vi-VN"/>
        </w:rPr>
        <w:t xml:space="preserve">Tính khả thi và mức độ quan tâm </w:t>
      </w:r>
    </w:p>
    <w:p w14:paraId="04E8F965" w14:textId="16E6F994" w:rsidR="00D332CB" w:rsidRPr="00D332CB" w:rsidRDefault="00D332CB" w:rsidP="007664A3">
      <w:pPr>
        <w:rPr>
          <w:lang w:val="vi-VN"/>
        </w:rPr>
      </w:pPr>
      <w:r w:rsidRPr="00D332CB">
        <w:rPr>
          <w:lang w:val="vi-VN"/>
        </w:rPr>
        <w:t>Tính khả thi thương mại và mức độ quan tâm của thị trường đối với các tiêu chuẩn là những yếu tố quan trọng trong việc ưu tiên hóa tiêu chuẩn. Những tiêu chuẩn mang lại lợi ích kinh tế rõ ràng và nhận được sự ủng hộ mạnh mẽ từ khu vực tư nhân sẽ có khả năng được triển khai và áp dụng thành công cao hơn. Điều này bao gồm việc đánh giá tiềm năng của tiêu chuẩn trong việc thúc đẩy tiết kiệm chi phí, cải thiện hiệu quả và mở rộng thị trường cho các doanh nghiệp trong ASEAN. Việc ưu tiên các tiêu chuẩn có tính khả thi thương mại đảm bảo rằng những nỗ lực đầu tư vào hài hòa hóa có thể chuyển hóa thành tăng trưởng và phát triển kinh tế cụ thể, mang lại lợi ích cho cả doanh nghiệp và người tiêu dùng trong toàn khu vực.</w:t>
      </w:r>
    </w:p>
    <w:p w14:paraId="41677987" w14:textId="0B94C0BA" w:rsidR="009A5741" w:rsidRPr="00074C46" w:rsidRDefault="00074C46" w:rsidP="007664A3">
      <w:pPr>
        <w:rPr>
          <w:b/>
          <w:bCs/>
          <w:lang w:val="vi-VN"/>
        </w:rPr>
      </w:pPr>
      <w:r>
        <w:rPr>
          <w:b/>
          <w:bCs/>
          <w:lang w:val="vi-VN"/>
        </w:rPr>
        <w:t xml:space="preserve">Tình trạng áp dụng và triển khai tiêu chuẩn trên các AMS </w:t>
      </w:r>
    </w:p>
    <w:p w14:paraId="6FEE30CF" w14:textId="68C41340" w:rsidR="00D332CB" w:rsidRPr="00D332CB" w:rsidRDefault="00D332CB" w:rsidP="00D04642">
      <w:pPr>
        <w:rPr>
          <w:lang w:val="vi-VN"/>
        </w:rPr>
      </w:pPr>
      <w:r w:rsidRPr="00D332CB">
        <w:rPr>
          <w:lang w:val="vi-VN"/>
        </w:rPr>
        <w:t>Một tiêu chí quan trọng khác trong việc ưu tiên hóa tiêu chuẩn là tình trạng hiện tại của việc áp dụng và triển khai tiêu chuẩn, đã được phân tích trong Chương 3. Việc ưu tiên các tiêu chuẩn đã được áp dụng một phần hoặc có lộ trình triển khai rõ ràng có thể tạo điều kiện thuận lợi cho quá trình hài hòa hóa và đẩy nhanh việc hiện thực hóa lợi ích. Cách tiếp cận này tận dụng những nỗ lực hiện có và thúc đẩy nhanh tiến độ đạt được một môi trường thương mại số mang tính liên thông.</w:t>
      </w:r>
    </w:p>
    <w:p w14:paraId="3254BA25" w14:textId="22330B2E" w:rsidR="00C83E09" w:rsidRPr="00516087" w:rsidRDefault="00074C46" w:rsidP="00F312FB">
      <w:pPr>
        <w:pStyle w:val="Heading2"/>
        <w:rPr>
          <w:rFonts w:cs="Arial"/>
          <w:lang w:val="en-GB"/>
        </w:rPr>
      </w:pPr>
      <w:bookmarkStart w:id="53" w:name="_Toc177671543"/>
      <w:bookmarkStart w:id="54" w:name="_Toc177672239"/>
      <w:bookmarkStart w:id="55" w:name="_Toc177677817"/>
      <w:bookmarkStart w:id="56" w:name="_Toc177671544"/>
      <w:bookmarkStart w:id="57" w:name="_Toc177672240"/>
      <w:bookmarkStart w:id="58" w:name="_Toc177677818"/>
      <w:bookmarkStart w:id="59" w:name="_Toc177671545"/>
      <w:bookmarkStart w:id="60" w:name="_Toc177672241"/>
      <w:bookmarkStart w:id="61" w:name="_Toc177677819"/>
      <w:bookmarkStart w:id="62" w:name="_Toc177671546"/>
      <w:bookmarkStart w:id="63" w:name="_Toc177672242"/>
      <w:bookmarkStart w:id="64" w:name="_Toc177677820"/>
      <w:bookmarkStart w:id="65" w:name="_Toc177671547"/>
      <w:bookmarkStart w:id="66" w:name="_Toc177672243"/>
      <w:bookmarkStart w:id="67" w:name="_Toc177677821"/>
      <w:bookmarkStart w:id="68" w:name="_Toc177671548"/>
      <w:bookmarkStart w:id="69" w:name="_Toc177672244"/>
      <w:bookmarkStart w:id="70" w:name="_Toc177677822"/>
      <w:bookmarkStart w:id="71" w:name="_Toc177671549"/>
      <w:bookmarkStart w:id="72" w:name="_Toc177672245"/>
      <w:bookmarkStart w:id="73" w:name="_Toc177677823"/>
      <w:bookmarkStart w:id="74" w:name="_Toc177671550"/>
      <w:bookmarkStart w:id="75" w:name="_Toc177672246"/>
      <w:bookmarkStart w:id="76" w:name="_Toc177677824"/>
      <w:bookmarkStart w:id="77" w:name="_Toc177671551"/>
      <w:bookmarkStart w:id="78" w:name="_Toc177672247"/>
      <w:bookmarkStart w:id="79" w:name="_Toc177677825"/>
      <w:bookmarkStart w:id="80" w:name="_Toc177671552"/>
      <w:bookmarkStart w:id="81" w:name="_Toc177672248"/>
      <w:bookmarkStart w:id="82" w:name="_Toc177677826"/>
      <w:bookmarkStart w:id="83" w:name="_Toc177671553"/>
      <w:bookmarkStart w:id="84" w:name="_Toc177672249"/>
      <w:bookmarkStart w:id="85" w:name="_Toc177677827"/>
      <w:bookmarkStart w:id="86" w:name="_Toc177671554"/>
      <w:bookmarkStart w:id="87" w:name="_Toc177672250"/>
      <w:bookmarkStart w:id="88" w:name="_Toc177677828"/>
      <w:bookmarkStart w:id="89" w:name="_Toc177671555"/>
      <w:bookmarkStart w:id="90" w:name="_Toc177672251"/>
      <w:bookmarkStart w:id="91" w:name="_Toc177677829"/>
      <w:bookmarkStart w:id="92" w:name="_Toc177671556"/>
      <w:bookmarkStart w:id="93" w:name="_Toc177672252"/>
      <w:bookmarkStart w:id="94" w:name="_Toc177677830"/>
      <w:bookmarkStart w:id="95" w:name="_Toc177671557"/>
      <w:bookmarkStart w:id="96" w:name="_Toc177672253"/>
      <w:bookmarkStart w:id="97" w:name="_Toc177677831"/>
      <w:bookmarkStart w:id="98" w:name="_Toc177671558"/>
      <w:bookmarkStart w:id="99" w:name="_Toc177672254"/>
      <w:bookmarkStart w:id="100" w:name="_Toc177677832"/>
      <w:bookmarkStart w:id="101" w:name="_Toc177671559"/>
      <w:bookmarkStart w:id="102" w:name="_Toc177672255"/>
      <w:bookmarkStart w:id="103" w:name="_Toc177677833"/>
      <w:bookmarkStart w:id="104" w:name="_Toc177671560"/>
      <w:bookmarkStart w:id="105" w:name="_Toc177672256"/>
      <w:bookmarkStart w:id="106" w:name="_Toc177677834"/>
      <w:bookmarkStart w:id="107" w:name="_Toc177671561"/>
      <w:bookmarkStart w:id="108" w:name="_Toc177672257"/>
      <w:bookmarkStart w:id="109" w:name="_Toc177677835"/>
      <w:bookmarkStart w:id="110" w:name="_Toc177671562"/>
      <w:bookmarkStart w:id="111" w:name="_Toc177672258"/>
      <w:bookmarkStart w:id="112" w:name="_Toc177677836"/>
      <w:bookmarkStart w:id="113" w:name="_Toc177671563"/>
      <w:bookmarkStart w:id="114" w:name="_Toc177672259"/>
      <w:bookmarkStart w:id="115" w:name="_Toc177677837"/>
      <w:bookmarkStart w:id="116" w:name="_Toc177671564"/>
      <w:bookmarkStart w:id="117" w:name="_Toc177672260"/>
      <w:bookmarkStart w:id="118" w:name="_Toc177677838"/>
      <w:bookmarkStart w:id="119" w:name="_Toc177671565"/>
      <w:bookmarkStart w:id="120" w:name="_Toc177672261"/>
      <w:bookmarkStart w:id="121" w:name="_Toc177677839"/>
      <w:bookmarkStart w:id="122" w:name="_Toc177671566"/>
      <w:bookmarkStart w:id="123" w:name="_Toc177672262"/>
      <w:bookmarkStart w:id="124" w:name="_Toc177677840"/>
      <w:bookmarkStart w:id="125" w:name="_Toc177671567"/>
      <w:bookmarkStart w:id="126" w:name="_Toc177672263"/>
      <w:bookmarkStart w:id="127" w:name="_Toc177677841"/>
      <w:bookmarkStart w:id="128" w:name="_Toc177671568"/>
      <w:bookmarkStart w:id="129" w:name="_Toc177672264"/>
      <w:bookmarkStart w:id="130" w:name="_Toc177677842"/>
      <w:bookmarkStart w:id="131" w:name="_Toc177671569"/>
      <w:bookmarkStart w:id="132" w:name="_Toc177672265"/>
      <w:bookmarkStart w:id="133" w:name="_Toc177677843"/>
      <w:bookmarkStart w:id="134" w:name="_Toc177671570"/>
      <w:bookmarkStart w:id="135" w:name="_Toc177672266"/>
      <w:bookmarkStart w:id="136" w:name="_Toc177677844"/>
      <w:bookmarkStart w:id="137" w:name="_Toc177671571"/>
      <w:bookmarkStart w:id="138" w:name="_Toc177672267"/>
      <w:bookmarkStart w:id="139" w:name="_Toc177677845"/>
      <w:bookmarkStart w:id="140" w:name="_Toc177671572"/>
      <w:bookmarkStart w:id="141" w:name="_Toc177672268"/>
      <w:bookmarkStart w:id="142" w:name="_Toc177677846"/>
      <w:bookmarkStart w:id="143" w:name="_Toc177671573"/>
      <w:bookmarkStart w:id="144" w:name="_Toc177672269"/>
      <w:bookmarkStart w:id="145" w:name="_Toc177677847"/>
      <w:bookmarkStart w:id="146" w:name="_Toc177671574"/>
      <w:bookmarkStart w:id="147" w:name="_Toc177672270"/>
      <w:bookmarkStart w:id="148" w:name="_Toc177677848"/>
      <w:bookmarkStart w:id="149" w:name="_Toc177671575"/>
      <w:bookmarkStart w:id="150" w:name="_Toc177672271"/>
      <w:bookmarkStart w:id="151" w:name="_Toc177677849"/>
      <w:bookmarkStart w:id="152" w:name="_Toc177671576"/>
      <w:bookmarkStart w:id="153" w:name="_Toc177672272"/>
      <w:bookmarkStart w:id="154" w:name="_Toc177677850"/>
      <w:bookmarkStart w:id="155" w:name="_Toc177671577"/>
      <w:bookmarkStart w:id="156" w:name="_Toc177672273"/>
      <w:bookmarkStart w:id="157" w:name="_Toc177677851"/>
      <w:bookmarkStart w:id="158" w:name="_Toc177671578"/>
      <w:bookmarkStart w:id="159" w:name="_Toc177672274"/>
      <w:bookmarkStart w:id="160" w:name="_Toc177677852"/>
      <w:bookmarkStart w:id="161" w:name="_Toc177671579"/>
      <w:bookmarkStart w:id="162" w:name="_Toc177672275"/>
      <w:bookmarkStart w:id="163" w:name="_Toc177677853"/>
      <w:bookmarkStart w:id="164" w:name="_Toc177671580"/>
      <w:bookmarkStart w:id="165" w:name="_Toc177672276"/>
      <w:bookmarkStart w:id="166" w:name="_Toc177677854"/>
      <w:bookmarkStart w:id="167" w:name="_Toc177671581"/>
      <w:bookmarkStart w:id="168" w:name="_Toc177672277"/>
      <w:bookmarkStart w:id="169" w:name="_Toc177677855"/>
      <w:bookmarkStart w:id="170" w:name="_Toc177671582"/>
      <w:bookmarkStart w:id="171" w:name="_Toc177672278"/>
      <w:bookmarkStart w:id="172" w:name="_Toc177677856"/>
      <w:bookmarkStart w:id="173" w:name="_Toc177671583"/>
      <w:bookmarkStart w:id="174" w:name="_Toc177672279"/>
      <w:bookmarkStart w:id="175" w:name="_Toc177677857"/>
      <w:bookmarkStart w:id="176" w:name="_Toc177671584"/>
      <w:bookmarkStart w:id="177" w:name="_Toc177672280"/>
      <w:bookmarkStart w:id="178" w:name="_Toc177677858"/>
      <w:bookmarkStart w:id="179" w:name="_Toc177671585"/>
      <w:bookmarkStart w:id="180" w:name="_Toc177672281"/>
      <w:bookmarkStart w:id="181" w:name="_Toc177677859"/>
      <w:bookmarkStart w:id="182" w:name="_Toc177671586"/>
      <w:bookmarkStart w:id="183" w:name="_Toc177672282"/>
      <w:bookmarkStart w:id="184" w:name="_Toc177677860"/>
      <w:bookmarkStart w:id="185" w:name="_Toc177671587"/>
      <w:bookmarkStart w:id="186" w:name="_Toc177672283"/>
      <w:bookmarkStart w:id="187" w:name="_Toc177677861"/>
      <w:bookmarkStart w:id="188" w:name="_Toc177671588"/>
      <w:bookmarkStart w:id="189" w:name="_Toc177672284"/>
      <w:bookmarkStart w:id="190" w:name="_Toc177677862"/>
      <w:bookmarkStart w:id="191" w:name="_Toc177671589"/>
      <w:bookmarkStart w:id="192" w:name="_Toc177672285"/>
      <w:bookmarkStart w:id="193" w:name="_Toc177677863"/>
      <w:bookmarkStart w:id="194" w:name="_Toc177671590"/>
      <w:bookmarkStart w:id="195" w:name="_Toc177672286"/>
      <w:bookmarkStart w:id="196" w:name="_Toc177677864"/>
      <w:bookmarkStart w:id="197" w:name="_Toc177671591"/>
      <w:bookmarkStart w:id="198" w:name="_Toc177672287"/>
      <w:bookmarkStart w:id="199" w:name="_Toc177677865"/>
      <w:bookmarkStart w:id="200" w:name="_Toc177671592"/>
      <w:bookmarkStart w:id="201" w:name="_Toc177672288"/>
      <w:bookmarkStart w:id="202" w:name="_Toc177677866"/>
      <w:bookmarkStart w:id="203" w:name="_Toc177671593"/>
      <w:bookmarkStart w:id="204" w:name="_Toc177672289"/>
      <w:bookmarkStart w:id="205" w:name="_Toc177677867"/>
      <w:bookmarkStart w:id="206" w:name="_Toc177671594"/>
      <w:bookmarkStart w:id="207" w:name="_Toc177672290"/>
      <w:bookmarkStart w:id="208" w:name="_Toc177677868"/>
      <w:bookmarkStart w:id="209" w:name="_Toc177671595"/>
      <w:bookmarkStart w:id="210" w:name="_Toc177672291"/>
      <w:bookmarkStart w:id="211" w:name="_Toc177677869"/>
      <w:bookmarkStart w:id="212" w:name="_Toc177671596"/>
      <w:bookmarkStart w:id="213" w:name="_Toc177672292"/>
      <w:bookmarkStart w:id="214" w:name="_Toc177677870"/>
      <w:bookmarkStart w:id="215" w:name="_Toc177671597"/>
      <w:bookmarkStart w:id="216" w:name="_Toc177672293"/>
      <w:bookmarkStart w:id="217" w:name="_Toc177677871"/>
      <w:bookmarkStart w:id="218" w:name="_Toc177671598"/>
      <w:bookmarkStart w:id="219" w:name="_Toc177672294"/>
      <w:bookmarkStart w:id="220" w:name="_Toc177677872"/>
      <w:bookmarkStart w:id="221" w:name="_Toc177671599"/>
      <w:bookmarkStart w:id="222" w:name="_Toc177672295"/>
      <w:bookmarkStart w:id="223" w:name="_Toc177677873"/>
      <w:bookmarkStart w:id="224" w:name="_Toc177671600"/>
      <w:bookmarkStart w:id="225" w:name="_Toc177672296"/>
      <w:bookmarkStart w:id="226" w:name="_Toc177677874"/>
      <w:bookmarkStart w:id="227" w:name="_Toc177671601"/>
      <w:bookmarkStart w:id="228" w:name="_Toc177672297"/>
      <w:bookmarkStart w:id="229" w:name="_Toc177677875"/>
      <w:bookmarkStart w:id="230" w:name="_Toc177671602"/>
      <w:bookmarkStart w:id="231" w:name="_Toc177672298"/>
      <w:bookmarkStart w:id="232" w:name="_Toc177677876"/>
      <w:bookmarkStart w:id="233" w:name="_Toc177671603"/>
      <w:bookmarkStart w:id="234" w:name="_Toc177672299"/>
      <w:bookmarkStart w:id="235" w:name="_Toc177677877"/>
      <w:bookmarkStart w:id="236" w:name="_Toc177671604"/>
      <w:bookmarkStart w:id="237" w:name="_Toc177672300"/>
      <w:bookmarkStart w:id="238" w:name="_Toc177677878"/>
      <w:bookmarkStart w:id="239" w:name="_Toc177671605"/>
      <w:bookmarkStart w:id="240" w:name="_Toc177672301"/>
      <w:bookmarkStart w:id="241" w:name="_Toc177677879"/>
      <w:bookmarkStart w:id="242" w:name="_Toc177671606"/>
      <w:bookmarkStart w:id="243" w:name="_Toc177672302"/>
      <w:bookmarkStart w:id="244" w:name="_Toc177677880"/>
      <w:bookmarkStart w:id="245" w:name="_Toc177671607"/>
      <w:bookmarkStart w:id="246" w:name="_Toc177672303"/>
      <w:bookmarkStart w:id="247" w:name="_Toc177677881"/>
      <w:bookmarkStart w:id="248" w:name="_Toc177671608"/>
      <w:bookmarkStart w:id="249" w:name="_Toc177672304"/>
      <w:bookmarkStart w:id="250" w:name="_Toc177677882"/>
      <w:bookmarkStart w:id="251" w:name="_Toc177671609"/>
      <w:bookmarkStart w:id="252" w:name="_Toc177672305"/>
      <w:bookmarkStart w:id="253" w:name="_Toc177677883"/>
      <w:bookmarkStart w:id="254" w:name="_Toc177671610"/>
      <w:bookmarkStart w:id="255" w:name="_Toc177672306"/>
      <w:bookmarkStart w:id="256" w:name="_Toc177677884"/>
      <w:bookmarkStart w:id="257" w:name="_Toc177671611"/>
      <w:bookmarkStart w:id="258" w:name="_Toc177672307"/>
      <w:bookmarkStart w:id="259" w:name="_Toc177677885"/>
      <w:bookmarkStart w:id="260" w:name="_Toc177671612"/>
      <w:bookmarkStart w:id="261" w:name="_Toc177672308"/>
      <w:bookmarkStart w:id="262" w:name="_Toc177677886"/>
      <w:bookmarkStart w:id="263" w:name="_Toc177671613"/>
      <w:bookmarkStart w:id="264" w:name="_Toc177672309"/>
      <w:bookmarkStart w:id="265" w:name="_Toc177677887"/>
      <w:bookmarkStart w:id="266" w:name="_Toc177671614"/>
      <w:bookmarkStart w:id="267" w:name="_Toc177672310"/>
      <w:bookmarkStart w:id="268" w:name="_Toc177677888"/>
      <w:bookmarkStart w:id="269" w:name="_Toc177671615"/>
      <w:bookmarkStart w:id="270" w:name="_Toc177672311"/>
      <w:bookmarkStart w:id="271" w:name="_Toc177677889"/>
      <w:bookmarkStart w:id="272" w:name="_Toc177671616"/>
      <w:bookmarkStart w:id="273" w:name="_Toc177672312"/>
      <w:bookmarkStart w:id="274" w:name="_Toc177677890"/>
      <w:bookmarkStart w:id="275" w:name="_Toc177671617"/>
      <w:bookmarkStart w:id="276" w:name="_Toc177672313"/>
      <w:bookmarkStart w:id="277" w:name="_Toc177677891"/>
      <w:bookmarkStart w:id="278" w:name="_Toc177671618"/>
      <w:bookmarkStart w:id="279" w:name="_Toc177672314"/>
      <w:bookmarkStart w:id="280" w:name="_Toc177677892"/>
      <w:bookmarkStart w:id="281" w:name="_Toc177671619"/>
      <w:bookmarkStart w:id="282" w:name="_Toc177672315"/>
      <w:bookmarkStart w:id="283" w:name="_Toc177677893"/>
      <w:bookmarkStart w:id="284" w:name="_Toc177671620"/>
      <w:bookmarkStart w:id="285" w:name="_Toc177672316"/>
      <w:bookmarkStart w:id="286" w:name="_Toc177677894"/>
      <w:bookmarkStart w:id="287" w:name="_Toc177671621"/>
      <w:bookmarkStart w:id="288" w:name="_Toc177672317"/>
      <w:bookmarkStart w:id="289" w:name="_Toc177677895"/>
      <w:bookmarkStart w:id="290" w:name="_Toc177671622"/>
      <w:bookmarkStart w:id="291" w:name="_Toc177672318"/>
      <w:bookmarkStart w:id="292" w:name="_Toc177677896"/>
      <w:bookmarkStart w:id="293" w:name="_Toc177671623"/>
      <w:bookmarkStart w:id="294" w:name="_Toc177672319"/>
      <w:bookmarkStart w:id="295" w:name="_Toc177677897"/>
      <w:bookmarkStart w:id="296" w:name="_Toc177671624"/>
      <w:bookmarkStart w:id="297" w:name="_Toc177672320"/>
      <w:bookmarkStart w:id="298" w:name="_Toc177677898"/>
      <w:bookmarkStart w:id="299" w:name="_Toc177671625"/>
      <w:bookmarkStart w:id="300" w:name="_Toc177672321"/>
      <w:bookmarkStart w:id="301" w:name="_Toc177677899"/>
      <w:bookmarkStart w:id="302" w:name="_Toc177671626"/>
      <w:bookmarkStart w:id="303" w:name="_Toc177672322"/>
      <w:bookmarkStart w:id="304" w:name="_Toc177677900"/>
      <w:bookmarkStart w:id="305" w:name="_Toc177671627"/>
      <w:bookmarkStart w:id="306" w:name="_Toc177672323"/>
      <w:bookmarkStart w:id="307" w:name="_Toc177677901"/>
      <w:bookmarkStart w:id="308" w:name="_Toc177671628"/>
      <w:bookmarkStart w:id="309" w:name="_Toc177672324"/>
      <w:bookmarkStart w:id="310" w:name="_Toc177677902"/>
      <w:bookmarkStart w:id="311" w:name="_Toc177671629"/>
      <w:bookmarkStart w:id="312" w:name="_Toc177672325"/>
      <w:bookmarkStart w:id="313" w:name="_Toc177677903"/>
      <w:bookmarkStart w:id="314" w:name="_Toc177671630"/>
      <w:bookmarkStart w:id="315" w:name="_Toc177672326"/>
      <w:bookmarkStart w:id="316" w:name="_Toc177677904"/>
      <w:bookmarkStart w:id="317" w:name="_Toc177671631"/>
      <w:bookmarkStart w:id="318" w:name="_Toc177672327"/>
      <w:bookmarkStart w:id="319" w:name="_Toc177677905"/>
      <w:bookmarkStart w:id="320" w:name="_Toc177671632"/>
      <w:bookmarkStart w:id="321" w:name="_Toc177672328"/>
      <w:bookmarkStart w:id="322" w:name="_Toc177677906"/>
      <w:bookmarkStart w:id="323" w:name="_Toc177671633"/>
      <w:bookmarkStart w:id="324" w:name="_Toc177672329"/>
      <w:bookmarkStart w:id="325" w:name="_Toc177677907"/>
      <w:bookmarkStart w:id="326" w:name="_Toc177671634"/>
      <w:bookmarkStart w:id="327" w:name="_Toc177672330"/>
      <w:bookmarkStart w:id="328" w:name="_Toc177677908"/>
      <w:bookmarkStart w:id="329" w:name="_Toc177671635"/>
      <w:bookmarkStart w:id="330" w:name="_Toc177672331"/>
      <w:bookmarkStart w:id="331" w:name="_Toc177677909"/>
      <w:bookmarkStart w:id="332" w:name="_Toc177671636"/>
      <w:bookmarkStart w:id="333" w:name="_Toc177672332"/>
      <w:bookmarkStart w:id="334" w:name="_Toc177677910"/>
      <w:bookmarkStart w:id="335" w:name="_Toc177671637"/>
      <w:bookmarkStart w:id="336" w:name="_Toc177672333"/>
      <w:bookmarkStart w:id="337" w:name="_Toc177677911"/>
      <w:bookmarkStart w:id="338" w:name="_Toc177671638"/>
      <w:bookmarkStart w:id="339" w:name="_Toc177672334"/>
      <w:bookmarkStart w:id="340" w:name="_Toc177677912"/>
      <w:bookmarkStart w:id="341" w:name="_Toc177671639"/>
      <w:bookmarkStart w:id="342" w:name="_Toc177672335"/>
      <w:bookmarkStart w:id="343" w:name="_Toc177677913"/>
      <w:bookmarkStart w:id="344" w:name="_Toc177671640"/>
      <w:bookmarkStart w:id="345" w:name="_Toc177672336"/>
      <w:bookmarkStart w:id="346" w:name="_Toc177677914"/>
      <w:bookmarkStart w:id="347" w:name="_Toc177671641"/>
      <w:bookmarkStart w:id="348" w:name="_Toc177672337"/>
      <w:bookmarkStart w:id="349" w:name="_Toc177677915"/>
      <w:bookmarkStart w:id="350" w:name="_Toc177671642"/>
      <w:bookmarkStart w:id="351" w:name="_Toc177672338"/>
      <w:bookmarkStart w:id="352" w:name="_Toc177677916"/>
      <w:bookmarkStart w:id="353" w:name="_Toc177671643"/>
      <w:bookmarkStart w:id="354" w:name="_Toc177672339"/>
      <w:bookmarkStart w:id="355" w:name="_Toc177677917"/>
      <w:bookmarkStart w:id="356" w:name="_Toc177671644"/>
      <w:bookmarkStart w:id="357" w:name="_Toc177672340"/>
      <w:bookmarkStart w:id="358" w:name="_Toc177677918"/>
      <w:bookmarkStart w:id="359" w:name="_Toc177671645"/>
      <w:bookmarkStart w:id="360" w:name="_Toc177672341"/>
      <w:bookmarkStart w:id="361" w:name="_Toc177677919"/>
      <w:bookmarkStart w:id="362" w:name="_Toc177671646"/>
      <w:bookmarkStart w:id="363" w:name="_Toc177672342"/>
      <w:bookmarkStart w:id="364" w:name="_Toc177677920"/>
      <w:bookmarkStart w:id="365" w:name="_Toc177671647"/>
      <w:bookmarkStart w:id="366" w:name="_Toc177672343"/>
      <w:bookmarkStart w:id="367" w:name="_Toc177677921"/>
      <w:bookmarkStart w:id="368" w:name="_Toc177671648"/>
      <w:bookmarkStart w:id="369" w:name="_Toc177672344"/>
      <w:bookmarkStart w:id="370" w:name="_Toc177677922"/>
      <w:bookmarkStart w:id="371" w:name="_Toc177671649"/>
      <w:bookmarkStart w:id="372" w:name="_Toc177672345"/>
      <w:bookmarkStart w:id="373" w:name="_Toc177677923"/>
      <w:bookmarkStart w:id="374" w:name="_Toc177671650"/>
      <w:bookmarkStart w:id="375" w:name="_Toc177672346"/>
      <w:bookmarkStart w:id="376" w:name="_Toc177677924"/>
      <w:bookmarkStart w:id="377" w:name="_Toc177671651"/>
      <w:bookmarkStart w:id="378" w:name="_Toc177672347"/>
      <w:bookmarkStart w:id="379" w:name="_Toc177677925"/>
      <w:bookmarkStart w:id="380" w:name="_Toc177671652"/>
      <w:bookmarkStart w:id="381" w:name="_Toc177672348"/>
      <w:bookmarkStart w:id="382" w:name="_Toc177677926"/>
      <w:bookmarkStart w:id="383" w:name="_Toc177671653"/>
      <w:bookmarkStart w:id="384" w:name="_Toc177672349"/>
      <w:bookmarkStart w:id="385" w:name="_Toc177677927"/>
      <w:bookmarkStart w:id="386" w:name="_Toc177671654"/>
      <w:bookmarkStart w:id="387" w:name="_Toc177672350"/>
      <w:bookmarkStart w:id="388" w:name="_Toc177677928"/>
      <w:bookmarkStart w:id="389" w:name="_Toc177671655"/>
      <w:bookmarkStart w:id="390" w:name="_Toc177672351"/>
      <w:bookmarkStart w:id="391" w:name="_Toc177677929"/>
      <w:bookmarkStart w:id="392" w:name="_Toc177671656"/>
      <w:bookmarkStart w:id="393" w:name="_Toc177672352"/>
      <w:bookmarkStart w:id="394" w:name="_Toc177677930"/>
      <w:bookmarkStart w:id="395" w:name="_Toc177671657"/>
      <w:bookmarkStart w:id="396" w:name="_Toc177672353"/>
      <w:bookmarkStart w:id="397" w:name="_Toc177677931"/>
      <w:bookmarkStart w:id="398" w:name="_Toc177671658"/>
      <w:bookmarkStart w:id="399" w:name="_Toc177672354"/>
      <w:bookmarkStart w:id="400" w:name="_Toc177677932"/>
      <w:bookmarkStart w:id="401" w:name="_Toc177671659"/>
      <w:bookmarkStart w:id="402" w:name="_Toc177672355"/>
      <w:bookmarkStart w:id="403" w:name="_Toc177677933"/>
      <w:bookmarkStart w:id="404" w:name="_Toc177671660"/>
      <w:bookmarkStart w:id="405" w:name="_Toc177672356"/>
      <w:bookmarkStart w:id="406" w:name="_Toc177677934"/>
      <w:bookmarkStart w:id="407" w:name="_Toc177671661"/>
      <w:bookmarkStart w:id="408" w:name="_Toc177672357"/>
      <w:bookmarkStart w:id="409" w:name="_Toc177677935"/>
      <w:bookmarkStart w:id="410" w:name="_Toc177671662"/>
      <w:bookmarkStart w:id="411" w:name="_Toc177672358"/>
      <w:bookmarkStart w:id="412" w:name="_Toc177677936"/>
      <w:bookmarkStart w:id="413" w:name="_Toc177671663"/>
      <w:bookmarkStart w:id="414" w:name="_Toc177672359"/>
      <w:bookmarkStart w:id="415" w:name="_Toc177677937"/>
      <w:bookmarkStart w:id="416" w:name="_Toc177671664"/>
      <w:bookmarkStart w:id="417" w:name="_Toc177672360"/>
      <w:bookmarkStart w:id="418" w:name="_Toc177677938"/>
      <w:bookmarkStart w:id="419" w:name="_Toc177671665"/>
      <w:bookmarkStart w:id="420" w:name="_Toc177672361"/>
      <w:bookmarkStart w:id="421" w:name="_Toc177677939"/>
      <w:bookmarkStart w:id="422" w:name="_Toc177671666"/>
      <w:bookmarkStart w:id="423" w:name="_Toc177672362"/>
      <w:bookmarkStart w:id="424" w:name="_Toc177677940"/>
      <w:bookmarkStart w:id="425" w:name="_Toc177671667"/>
      <w:bookmarkStart w:id="426" w:name="_Toc177672363"/>
      <w:bookmarkStart w:id="427" w:name="_Toc177677941"/>
      <w:bookmarkStart w:id="428" w:name="_Toc177671668"/>
      <w:bookmarkStart w:id="429" w:name="_Toc177672364"/>
      <w:bookmarkStart w:id="430" w:name="_Toc177677942"/>
      <w:bookmarkStart w:id="431" w:name="_Toc177671669"/>
      <w:bookmarkStart w:id="432" w:name="_Toc177672365"/>
      <w:bookmarkStart w:id="433" w:name="_Toc177677943"/>
      <w:bookmarkStart w:id="434" w:name="_Toc177671670"/>
      <w:bookmarkStart w:id="435" w:name="_Toc177672366"/>
      <w:bookmarkStart w:id="436" w:name="_Toc177677944"/>
      <w:bookmarkStart w:id="437" w:name="_Toc177671671"/>
      <w:bookmarkStart w:id="438" w:name="_Toc177672367"/>
      <w:bookmarkStart w:id="439" w:name="_Toc177677945"/>
      <w:bookmarkStart w:id="440" w:name="_Toc177671672"/>
      <w:bookmarkStart w:id="441" w:name="_Toc177672368"/>
      <w:bookmarkStart w:id="442" w:name="_Toc177677946"/>
      <w:bookmarkStart w:id="443" w:name="_Toc177671673"/>
      <w:bookmarkStart w:id="444" w:name="_Toc177672369"/>
      <w:bookmarkStart w:id="445" w:name="_Toc177677947"/>
      <w:bookmarkStart w:id="446" w:name="_Toc177671674"/>
      <w:bookmarkStart w:id="447" w:name="_Toc177672370"/>
      <w:bookmarkStart w:id="448" w:name="_Toc177677948"/>
      <w:bookmarkStart w:id="449" w:name="_Toc177671675"/>
      <w:bookmarkStart w:id="450" w:name="_Toc177672371"/>
      <w:bookmarkStart w:id="451" w:name="_Toc177677949"/>
      <w:bookmarkStart w:id="452" w:name="_Toc177671676"/>
      <w:bookmarkStart w:id="453" w:name="_Toc177672372"/>
      <w:bookmarkStart w:id="454" w:name="_Toc177677950"/>
      <w:bookmarkStart w:id="455" w:name="_Toc177671677"/>
      <w:bookmarkStart w:id="456" w:name="_Toc177672373"/>
      <w:bookmarkStart w:id="457" w:name="_Toc177677951"/>
      <w:bookmarkStart w:id="458" w:name="_Toc177671678"/>
      <w:bookmarkStart w:id="459" w:name="_Toc177672374"/>
      <w:bookmarkStart w:id="460" w:name="_Toc177677952"/>
      <w:bookmarkStart w:id="461" w:name="_Toc177671679"/>
      <w:bookmarkStart w:id="462" w:name="_Toc177672375"/>
      <w:bookmarkStart w:id="463" w:name="_Toc177677953"/>
      <w:bookmarkStart w:id="464" w:name="_Toc177671680"/>
      <w:bookmarkStart w:id="465" w:name="_Toc177672376"/>
      <w:bookmarkStart w:id="466" w:name="_Toc177677954"/>
      <w:bookmarkStart w:id="467" w:name="_Toc177671681"/>
      <w:bookmarkStart w:id="468" w:name="_Toc177672377"/>
      <w:bookmarkStart w:id="469" w:name="_Toc177677955"/>
      <w:bookmarkStart w:id="470" w:name="_Toc177671682"/>
      <w:bookmarkStart w:id="471" w:name="_Toc177672378"/>
      <w:bookmarkStart w:id="472" w:name="_Toc177677956"/>
      <w:bookmarkStart w:id="473" w:name="_Toc177671683"/>
      <w:bookmarkStart w:id="474" w:name="_Toc177672379"/>
      <w:bookmarkStart w:id="475" w:name="_Toc177677957"/>
      <w:bookmarkStart w:id="476" w:name="_Toc177671684"/>
      <w:bookmarkStart w:id="477" w:name="_Toc177672380"/>
      <w:bookmarkStart w:id="478" w:name="_Toc177677958"/>
      <w:bookmarkStart w:id="479" w:name="_Toc177671685"/>
      <w:bookmarkStart w:id="480" w:name="_Toc177672381"/>
      <w:bookmarkStart w:id="481" w:name="_Toc177677959"/>
      <w:bookmarkStart w:id="482" w:name="_Toc177671686"/>
      <w:bookmarkStart w:id="483" w:name="_Toc177672382"/>
      <w:bookmarkStart w:id="484" w:name="_Toc177677960"/>
      <w:bookmarkStart w:id="485" w:name="_Toc177671687"/>
      <w:bookmarkStart w:id="486" w:name="_Toc177672383"/>
      <w:bookmarkStart w:id="487" w:name="_Toc177677961"/>
      <w:bookmarkStart w:id="488" w:name="_Toc177671688"/>
      <w:bookmarkStart w:id="489" w:name="_Toc177672384"/>
      <w:bookmarkStart w:id="490" w:name="_Toc177677962"/>
      <w:bookmarkStart w:id="491" w:name="_Toc177671689"/>
      <w:bookmarkStart w:id="492" w:name="_Toc177672385"/>
      <w:bookmarkStart w:id="493" w:name="_Toc177677963"/>
      <w:bookmarkStart w:id="494" w:name="_Toc177671690"/>
      <w:bookmarkStart w:id="495" w:name="_Toc177672386"/>
      <w:bookmarkStart w:id="496" w:name="_Toc177677964"/>
      <w:bookmarkStart w:id="497" w:name="_Toc177671691"/>
      <w:bookmarkStart w:id="498" w:name="_Toc177672387"/>
      <w:bookmarkStart w:id="499" w:name="_Toc177677965"/>
      <w:bookmarkStart w:id="500" w:name="_Toc177671692"/>
      <w:bookmarkStart w:id="501" w:name="_Toc177672388"/>
      <w:bookmarkStart w:id="502" w:name="_Toc177677966"/>
      <w:bookmarkStart w:id="503" w:name="_Toc177671693"/>
      <w:bookmarkStart w:id="504" w:name="_Toc177672389"/>
      <w:bookmarkStart w:id="505" w:name="_Toc177677967"/>
      <w:bookmarkStart w:id="506" w:name="_Toc177671694"/>
      <w:bookmarkStart w:id="507" w:name="_Toc177672390"/>
      <w:bookmarkStart w:id="508" w:name="_Toc177677968"/>
      <w:bookmarkStart w:id="509" w:name="_Toc177671695"/>
      <w:bookmarkStart w:id="510" w:name="_Toc177672391"/>
      <w:bookmarkStart w:id="511" w:name="_Toc177677969"/>
      <w:bookmarkStart w:id="512" w:name="_Toc177671696"/>
      <w:bookmarkStart w:id="513" w:name="_Toc177672392"/>
      <w:bookmarkStart w:id="514" w:name="_Toc177677970"/>
      <w:bookmarkStart w:id="515" w:name="_Toc177671697"/>
      <w:bookmarkStart w:id="516" w:name="_Toc177672393"/>
      <w:bookmarkStart w:id="517" w:name="_Toc177677971"/>
      <w:bookmarkStart w:id="518" w:name="_Toc177671698"/>
      <w:bookmarkStart w:id="519" w:name="_Toc177672394"/>
      <w:bookmarkStart w:id="520" w:name="_Toc177677972"/>
      <w:bookmarkStart w:id="521" w:name="_Toc177671699"/>
      <w:bookmarkStart w:id="522" w:name="_Toc177672395"/>
      <w:bookmarkStart w:id="523" w:name="_Toc177677973"/>
      <w:bookmarkStart w:id="524" w:name="_Toc177671700"/>
      <w:bookmarkStart w:id="525" w:name="_Toc177672396"/>
      <w:bookmarkStart w:id="526" w:name="_Toc177677974"/>
      <w:bookmarkStart w:id="527" w:name="_Toc177671701"/>
      <w:bookmarkStart w:id="528" w:name="_Toc177672397"/>
      <w:bookmarkStart w:id="529" w:name="_Toc177677975"/>
      <w:bookmarkStart w:id="530" w:name="_Toc177671702"/>
      <w:bookmarkStart w:id="531" w:name="_Toc177672398"/>
      <w:bookmarkStart w:id="532" w:name="_Toc177677976"/>
      <w:bookmarkStart w:id="533" w:name="_Toc177671703"/>
      <w:bookmarkStart w:id="534" w:name="_Toc177672399"/>
      <w:bookmarkStart w:id="535" w:name="_Toc177677977"/>
      <w:bookmarkStart w:id="536" w:name="_Toc177671704"/>
      <w:bookmarkStart w:id="537" w:name="_Toc177672400"/>
      <w:bookmarkStart w:id="538" w:name="_Toc177677978"/>
      <w:bookmarkStart w:id="539" w:name="_Toc177671705"/>
      <w:bookmarkStart w:id="540" w:name="_Toc177672401"/>
      <w:bookmarkStart w:id="541" w:name="_Toc177677979"/>
      <w:bookmarkStart w:id="542" w:name="_Toc177671706"/>
      <w:bookmarkStart w:id="543" w:name="_Toc177672402"/>
      <w:bookmarkStart w:id="544" w:name="_Toc177677980"/>
      <w:bookmarkStart w:id="545" w:name="_Toc177671707"/>
      <w:bookmarkStart w:id="546" w:name="_Toc177672403"/>
      <w:bookmarkStart w:id="547" w:name="_Toc177677981"/>
      <w:bookmarkStart w:id="548" w:name="_Toc177671708"/>
      <w:bookmarkStart w:id="549" w:name="_Toc177672404"/>
      <w:bookmarkStart w:id="550" w:name="_Toc177677982"/>
      <w:bookmarkStart w:id="551" w:name="_Toc177671709"/>
      <w:bookmarkStart w:id="552" w:name="_Toc177672405"/>
      <w:bookmarkStart w:id="553" w:name="_Toc177677983"/>
      <w:bookmarkStart w:id="554" w:name="_Toc177671710"/>
      <w:bookmarkStart w:id="555" w:name="_Toc177672406"/>
      <w:bookmarkStart w:id="556" w:name="_Toc177677984"/>
      <w:bookmarkStart w:id="557" w:name="_Toc177671711"/>
      <w:bookmarkStart w:id="558" w:name="_Toc177672407"/>
      <w:bookmarkStart w:id="559" w:name="_Toc177677985"/>
      <w:bookmarkStart w:id="560" w:name="_Toc177671712"/>
      <w:bookmarkStart w:id="561" w:name="_Toc177672408"/>
      <w:bookmarkStart w:id="562" w:name="_Toc177677986"/>
      <w:bookmarkStart w:id="563" w:name="_Toc177671713"/>
      <w:bookmarkStart w:id="564" w:name="_Toc177672409"/>
      <w:bookmarkStart w:id="565" w:name="_Toc177677987"/>
      <w:bookmarkStart w:id="566" w:name="_Toc177671714"/>
      <w:bookmarkStart w:id="567" w:name="_Toc177672410"/>
      <w:bookmarkStart w:id="568" w:name="_Toc177677988"/>
      <w:bookmarkStart w:id="569" w:name="_Toc177671715"/>
      <w:bookmarkStart w:id="570" w:name="_Toc177672411"/>
      <w:bookmarkStart w:id="571" w:name="_Toc177677989"/>
      <w:bookmarkStart w:id="572" w:name="_Toc177671716"/>
      <w:bookmarkStart w:id="573" w:name="_Toc177672412"/>
      <w:bookmarkStart w:id="574" w:name="_Toc177677990"/>
      <w:bookmarkStart w:id="575" w:name="_Toc177671717"/>
      <w:bookmarkStart w:id="576" w:name="_Toc177672413"/>
      <w:bookmarkStart w:id="577" w:name="_Toc177677991"/>
      <w:bookmarkStart w:id="578" w:name="_Toc177671718"/>
      <w:bookmarkStart w:id="579" w:name="_Toc177672414"/>
      <w:bookmarkStart w:id="580" w:name="_Toc177677992"/>
      <w:bookmarkStart w:id="581" w:name="_Toc177671719"/>
      <w:bookmarkStart w:id="582" w:name="_Toc177672415"/>
      <w:bookmarkStart w:id="583" w:name="_Toc177677993"/>
      <w:bookmarkStart w:id="584" w:name="_Toc177671720"/>
      <w:bookmarkStart w:id="585" w:name="_Toc177672416"/>
      <w:bookmarkStart w:id="586" w:name="_Toc177677994"/>
      <w:bookmarkStart w:id="587" w:name="_Toc177671721"/>
      <w:bookmarkStart w:id="588" w:name="_Toc177672417"/>
      <w:bookmarkStart w:id="589" w:name="_Toc177677995"/>
      <w:bookmarkStart w:id="590" w:name="_Toc177671722"/>
      <w:bookmarkStart w:id="591" w:name="_Toc177672418"/>
      <w:bookmarkStart w:id="592" w:name="_Toc177677996"/>
      <w:bookmarkStart w:id="593" w:name="_Toc177671723"/>
      <w:bookmarkStart w:id="594" w:name="_Toc177672419"/>
      <w:bookmarkStart w:id="595" w:name="_Toc177677997"/>
      <w:bookmarkStart w:id="596" w:name="_Toc177671724"/>
      <w:bookmarkStart w:id="597" w:name="_Toc177672420"/>
      <w:bookmarkStart w:id="598" w:name="_Toc177677998"/>
      <w:bookmarkStart w:id="599" w:name="_Toc177671725"/>
      <w:bookmarkStart w:id="600" w:name="_Toc177672421"/>
      <w:bookmarkStart w:id="601" w:name="_Toc177677999"/>
      <w:bookmarkStart w:id="602" w:name="_Toc177671726"/>
      <w:bookmarkStart w:id="603" w:name="_Toc177672422"/>
      <w:bookmarkStart w:id="604" w:name="_Toc177678000"/>
      <w:bookmarkStart w:id="605" w:name="_Toc177671727"/>
      <w:bookmarkStart w:id="606" w:name="_Toc177672423"/>
      <w:bookmarkStart w:id="607" w:name="_Toc177678001"/>
      <w:bookmarkStart w:id="608" w:name="_Toc177671728"/>
      <w:bookmarkStart w:id="609" w:name="_Toc177672424"/>
      <w:bookmarkStart w:id="610" w:name="_Toc177678002"/>
      <w:bookmarkStart w:id="611" w:name="_Toc177671729"/>
      <w:bookmarkStart w:id="612" w:name="_Toc177672425"/>
      <w:bookmarkStart w:id="613" w:name="_Toc177678003"/>
      <w:bookmarkStart w:id="614" w:name="_Toc177671730"/>
      <w:bookmarkStart w:id="615" w:name="_Toc177672426"/>
      <w:bookmarkStart w:id="616" w:name="_Toc177678004"/>
      <w:bookmarkStart w:id="617" w:name="_Toc177671731"/>
      <w:bookmarkStart w:id="618" w:name="_Toc177672427"/>
      <w:bookmarkStart w:id="619" w:name="_Toc177678005"/>
      <w:bookmarkStart w:id="620" w:name="_Toc177671732"/>
      <w:bookmarkStart w:id="621" w:name="_Toc177672428"/>
      <w:bookmarkStart w:id="622" w:name="_Toc177678006"/>
      <w:bookmarkStart w:id="623" w:name="_Toc177671733"/>
      <w:bookmarkStart w:id="624" w:name="_Toc177672429"/>
      <w:bookmarkStart w:id="625" w:name="_Toc177678007"/>
      <w:bookmarkStart w:id="626" w:name="_Toc177671734"/>
      <w:bookmarkStart w:id="627" w:name="_Toc177672430"/>
      <w:bookmarkStart w:id="628" w:name="_Toc177678008"/>
      <w:bookmarkStart w:id="629" w:name="_Toc177671735"/>
      <w:bookmarkStart w:id="630" w:name="_Toc177672431"/>
      <w:bookmarkStart w:id="631" w:name="_Toc177678009"/>
      <w:bookmarkStart w:id="632" w:name="_Toc177671736"/>
      <w:bookmarkStart w:id="633" w:name="_Toc177672432"/>
      <w:bookmarkStart w:id="634" w:name="_Toc177678010"/>
      <w:bookmarkStart w:id="635" w:name="_Toc177671737"/>
      <w:bookmarkStart w:id="636" w:name="_Toc177672433"/>
      <w:bookmarkStart w:id="637" w:name="_Toc177678011"/>
      <w:bookmarkStart w:id="638" w:name="_Toc177671738"/>
      <w:bookmarkStart w:id="639" w:name="_Toc177672434"/>
      <w:bookmarkStart w:id="640" w:name="_Toc177678012"/>
      <w:bookmarkStart w:id="641" w:name="_Toc177671739"/>
      <w:bookmarkStart w:id="642" w:name="_Toc177672435"/>
      <w:bookmarkStart w:id="643" w:name="_Toc177678013"/>
      <w:bookmarkStart w:id="644" w:name="_Toc174033234"/>
      <w:bookmarkStart w:id="645" w:name="_Toc177671740"/>
      <w:bookmarkStart w:id="646" w:name="_Toc177672436"/>
      <w:bookmarkStart w:id="647" w:name="_Toc177678014"/>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r>
        <w:rPr>
          <w:rFonts w:cs="Arial"/>
          <w:lang w:val="en-GB"/>
        </w:rPr>
        <w:t>Các</w:t>
      </w:r>
      <w:r>
        <w:rPr>
          <w:rFonts w:cs="Arial"/>
          <w:lang w:val="vi-VN"/>
        </w:rPr>
        <w:t xml:space="preserve"> yếu tố cần cân nhắc khi xây dựng Lộ trình</w:t>
      </w:r>
    </w:p>
    <w:p w14:paraId="7C6988D0" w14:textId="59F99D28" w:rsidR="00D332CB" w:rsidRPr="00D332CB" w:rsidRDefault="00D332CB" w:rsidP="00217864">
      <w:pPr>
        <w:rPr>
          <w:lang w:val="vi-VN"/>
        </w:rPr>
      </w:pPr>
      <w:r w:rsidRPr="00D332CB">
        <w:rPr>
          <w:lang w:val="vi-VN"/>
        </w:rPr>
        <w:t xml:space="preserve">Lộ trình </w:t>
      </w:r>
      <w:r w:rsidR="00F873B7">
        <w:rPr>
          <w:lang w:val="vi-VN"/>
        </w:rPr>
        <w:t>TCTMS</w:t>
      </w:r>
      <w:r w:rsidRPr="00D332CB">
        <w:rPr>
          <w:lang w:val="vi-VN"/>
        </w:rPr>
        <w:t xml:space="preserve"> ASEAN được xây dựng dựa trên một số yếu tố then chốt nhằm đảm bảo tính phù hợp, hiệu quả và khả năng thích ứng trong bối cảnh số hóa thay đổi nhanh chóng. Các yếu tố chính bao gồm (1) Đo lường tác động và kết quả, (2) Theo dõi và rà soát định kỳ, và (3) Tham vấn và hợp tác với các bên liên quan.</w:t>
      </w:r>
    </w:p>
    <w:p w14:paraId="0AD50F4A" w14:textId="58E20D1B" w:rsidR="00A664C3" w:rsidRPr="00074C46" w:rsidRDefault="00074C46" w:rsidP="00217864">
      <w:pPr>
        <w:rPr>
          <w:b/>
          <w:bCs/>
          <w:lang w:val="vi-VN"/>
        </w:rPr>
      </w:pPr>
      <w:r>
        <w:rPr>
          <w:b/>
          <w:bCs/>
          <w:lang w:val="vi-VN"/>
        </w:rPr>
        <w:t xml:space="preserve">Đo lường tác động và kết quả </w:t>
      </w:r>
    </w:p>
    <w:p w14:paraId="4D8ADF84" w14:textId="13539015" w:rsidR="00D332CB" w:rsidRPr="00D332CB" w:rsidRDefault="00D332CB" w:rsidP="00217864">
      <w:pPr>
        <w:rPr>
          <w:lang w:val="vi-VN"/>
        </w:rPr>
      </w:pPr>
      <w:r w:rsidRPr="00D332CB">
        <w:rPr>
          <w:lang w:val="vi-VN"/>
        </w:rPr>
        <w:t>Việc triển khai hiệu quả lộ trình đòi hỏi các cơ chế vững chắc để đo lường tác động và kết quả. Mỗi khuyến nghị trong Chương 5 đều tích hợp các chỉ số đánh giá hiệu quả (KPI)/thước đo tiến độ nhằm giúp các AMS và các cơ quan chuyên ngành của ASEAN theo dõi tiến trình hướng tới các mục tiêu cuối cùng. Báo cáo thường xuyên và tính minh bạch trong kết quả là yếu tố then chốt để chứng minh giá trị của lộ trình và thúc đẩy trách nhiệm giải trình giữa các AMS.</w:t>
      </w:r>
    </w:p>
    <w:p w14:paraId="79435EB7" w14:textId="01D28A47" w:rsidR="00A664C3" w:rsidRPr="00074C46" w:rsidRDefault="00074C46" w:rsidP="007664A3">
      <w:pPr>
        <w:rPr>
          <w:b/>
          <w:bCs/>
          <w:lang w:val="vi-VN"/>
        </w:rPr>
      </w:pPr>
      <w:r>
        <w:rPr>
          <w:b/>
          <w:bCs/>
        </w:rPr>
        <w:t>Theo</w:t>
      </w:r>
      <w:r>
        <w:rPr>
          <w:b/>
          <w:bCs/>
          <w:lang w:val="vi-VN"/>
        </w:rPr>
        <w:t xml:space="preserve"> dõi và rà soát định kỳ</w:t>
      </w:r>
    </w:p>
    <w:p w14:paraId="189B7AFB" w14:textId="03331BF7" w:rsidR="00D332CB" w:rsidRPr="00D332CB" w:rsidRDefault="00D332CB" w:rsidP="007664A3">
      <w:pPr>
        <w:rPr>
          <w:lang w:val="vi-VN"/>
        </w:rPr>
      </w:pPr>
      <w:r w:rsidRPr="00D332CB">
        <w:rPr>
          <w:lang w:val="vi-VN"/>
        </w:rPr>
        <w:t xml:space="preserve">Lộ trình được xây dựng như một “tài liệu sống”, mang tính động và có khả năng thích ứng với những thay đổi về công nghệ, điều kiện thị trường và môi trường pháp lý. Điều quan trọng là Lộ trình cần được theo dõi, rà soát và điều chỉnh định kỳ khi cần thiết để không ngừng nâng cao tính hiệu quả và mức độ phù hợp trong bối cảnh số hóa liên tục phát triển. Đáng chú ý, khuyến nghị thực hiện một cuộc rà soát giữa kỳ vào khoảng năm thứ năm của Lộ trình, tức khoảng năm 2029. Các cuộc rà soát này cho phép các AMS đánh giá toàn diện tiến độ đạt được, những thách thức gặp phải, cũng như các diễn biến và cơ hội trong bối cảnh thương mại số thay đổi. Thông qua đánh giá có hệ thống các tiêu chuẩn và sáng kiến đã được triển khai dựa trên quy trình và khung thể chế rõ ràng, các AMS có thể </w:t>
      </w:r>
      <w:r w:rsidRPr="00D332CB">
        <w:rPr>
          <w:lang w:val="vi-VN"/>
        </w:rPr>
        <w:lastRenderedPageBreak/>
        <w:t>xác định những lĩnh vực cần điều chỉnh hoặc cải thiện, từ đó đảm bảo sự phù hợp với nhu cầu và ưu tiên khu vực đang thay đổi.</w:t>
      </w:r>
    </w:p>
    <w:p w14:paraId="5062AB44" w14:textId="06535E32" w:rsidR="00A664C3" w:rsidRPr="00074C46" w:rsidRDefault="00074C46" w:rsidP="007664A3">
      <w:pPr>
        <w:rPr>
          <w:b/>
          <w:bCs/>
          <w:lang w:val="vi-VN"/>
        </w:rPr>
      </w:pPr>
      <w:r>
        <w:rPr>
          <w:b/>
          <w:bCs/>
        </w:rPr>
        <w:t>Tham</w:t>
      </w:r>
      <w:r>
        <w:rPr>
          <w:b/>
          <w:bCs/>
          <w:lang w:val="vi-VN"/>
        </w:rPr>
        <w:t xml:space="preserve"> vấn và hợp tác với các bên liên quan </w:t>
      </w:r>
    </w:p>
    <w:p w14:paraId="4276F8BF" w14:textId="04B45412" w:rsidR="00D332CB" w:rsidRPr="00D332CB" w:rsidRDefault="00D332CB" w:rsidP="007664A3">
      <w:pPr>
        <w:rPr>
          <w:lang w:val="vi-VN"/>
        </w:rPr>
      </w:pPr>
      <w:r w:rsidRPr="00D332CB">
        <w:rPr>
          <w:lang w:val="vi-VN"/>
        </w:rPr>
        <w:t>Việc triển khai các khuyến nghị chính trong Lộ trình đòi hỏi sự tham gia chủ động và hợp tác của nhiều nhóm bên liên quan, bao gồm các cơ quan chuyên ngành của ASEAN, cơ quan quản lý và chính phủ các AMS, đại diện khu vực tư nhân và các tổ chức xã hội dân sự. Cần tính đến yếu tố hòa nhập giới nhằm đảm bảo rằng phản hồi từ các nhóm dễ bị tổn thương được xem xét trong quá trình xây dựng hoặc điều chỉnh chính sách và tiêu chuẩn thương mại số. Cách tiếp cận bao trùm này đảm bảo rằng lộ trình phản ánh nhu cầu và quan điểm đa dạng của tất cả các bên tham gia vào thương mại số. Các cuộc tham vấn thường xuyên, cơ chế phản hồi và tính minh bạch thông tin là điều thiết yếu để duy trì sự ủng hộ và tham gia của các bên liên quan, đồng thời đảm bảo rằng các khuyến nghị mang tính thực tiễn, có tác động và được ủng hộ rộng rãi.</w:t>
      </w:r>
    </w:p>
    <w:p w14:paraId="3966217D" w14:textId="5249D8BF" w:rsidR="00D332CB" w:rsidRPr="00D332CB" w:rsidRDefault="00D332CB" w:rsidP="007664A3">
      <w:pPr>
        <w:rPr>
          <w:lang w:val="vi-VN"/>
        </w:rPr>
      </w:pPr>
      <w:r w:rsidRPr="00D332CB">
        <w:rPr>
          <w:lang w:val="vi-VN"/>
        </w:rPr>
        <w:t xml:space="preserve">Việc lồng ghép các yếu tố này vào Lộ trình </w:t>
      </w:r>
      <w:r w:rsidR="00F873B7">
        <w:rPr>
          <w:lang w:val="vi-VN"/>
        </w:rPr>
        <w:t>TCTMS</w:t>
      </w:r>
      <w:r w:rsidRPr="00D332CB">
        <w:rPr>
          <w:lang w:val="vi-VN"/>
        </w:rPr>
        <w:t xml:space="preserve"> ASEAN củng cố vai trò năng động và hiệu quả của lộ trình trong việc thúc đẩy hài hòa hóa tiêu chuẩn thương mại số trên toàn ASEAN. Cách tiếp cận này không chỉ hỗ trợ cải tiến liên tục mà còn khuyến khích đổi mới và thúc đẩy tăng trưởng kinh tế bền vững, bao trùm trong khu vực.</w:t>
      </w:r>
    </w:p>
    <w:p w14:paraId="6A6E5879" w14:textId="77777777" w:rsidR="00C6192A" w:rsidRPr="004F1D15" w:rsidRDefault="00C6192A" w:rsidP="007664A3"/>
    <w:p w14:paraId="618DB0D7" w14:textId="77777777" w:rsidR="00CD2854" w:rsidRPr="004F1D15" w:rsidRDefault="00CD2854" w:rsidP="007664A3">
      <w:pPr>
        <w:pStyle w:val="Heading1"/>
        <w:rPr>
          <w:b w:val="0"/>
          <w:lang w:val="en-GB"/>
        </w:rPr>
        <w:sectPr w:rsidR="00CD2854" w:rsidRPr="004F1D15" w:rsidSect="00CF1A4A">
          <w:headerReference w:type="default" r:id="rId23"/>
          <w:footerReference w:type="default" r:id="rId24"/>
          <w:pgSz w:w="12240" w:h="15840"/>
          <w:pgMar w:top="720" w:right="720" w:bottom="720" w:left="720" w:header="0" w:footer="720" w:gutter="0"/>
          <w:cols w:space="720"/>
          <w:docGrid w:linePitch="360"/>
        </w:sectPr>
      </w:pPr>
    </w:p>
    <w:p w14:paraId="5930DF46" w14:textId="6A190988" w:rsidR="00CD7F0A" w:rsidRPr="004F1D15" w:rsidRDefault="006D348E" w:rsidP="00B22C77">
      <w:pPr>
        <w:pStyle w:val="Heading1"/>
        <w:rPr>
          <w:lang w:val="en-GB"/>
        </w:rPr>
      </w:pPr>
      <w:r>
        <w:rPr>
          <w:lang w:val="vi-VN"/>
        </w:rPr>
        <w:lastRenderedPageBreak/>
        <w:t xml:space="preserve">Các khuyến nghị chính nhằm Hài hòa hóa </w:t>
      </w:r>
      <w:r w:rsidR="00F873B7">
        <w:rPr>
          <w:lang w:val="vi-VN"/>
        </w:rPr>
        <w:t>TCTMS</w:t>
      </w:r>
      <w:r>
        <w:rPr>
          <w:lang w:val="vi-VN"/>
        </w:rPr>
        <w:t xml:space="preserve"> trong ASEAN</w:t>
      </w:r>
    </w:p>
    <w:p w14:paraId="4FB4A6C9" w14:textId="24C12775" w:rsidR="006D348E" w:rsidRPr="006D348E" w:rsidRDefault="006D348E" w:rsidP="00F35446">
      <w:pPr>
        <w:spacing w:line="276" w:lineRule="auto"/>
        <w:rPr>
          <w:lang w:val="vi-VN"/>
        </w:rPr>
      </w:pPr>
      <w:r w:rsidRPr="006D348E">
        <w:rPr>
          <w:lang w:val="vi-VN"/>
        </w:rPr>
        <w:t>Chương này sẽ trình bày các sáng kiến và hành động chủ chốt do các Cơ quan Chuyên ngành ASEAN và các nhà hoạch định chính sách của các AMS dẫn dắt nhằm thúc đẩy và đạt được sự hài hòa hóa các tiêu chuẩn thương mại số trong ASEAN.</w:t>
      </w:r>
    </w:p>
    <w:p w14:paraId="0E52511F" w14:textId="179FED2E" w:rsidR="00E12E27" w:rsidRPr="00073C0D" w:rsidRDefault="006D348E" w:rsidP="00F35446">
      <w:pPr>
        <w:pStyle w:val="Heading2"/>
        <w:spacing w:line="276" w:lineRule="auto"/>
        <w:rPr>
          <w:lang w:val="en-GB"/>
        </w:rPr>
      </w:pPr>
      <w:r>
        <w:rPr>
          <w:lang w:val="en-GB"/>
        </w:rPr>
        <w:t>Tổng</w:t>
      </w:r>
      <w:r>
        <w:rPr>
          <w:lang w:val="vi-VN"/>
        </w:rPr>
        <w:t xml:space="preserve"> quan về Các Sáng kiến số chủ chốt của ASEAN</w:t>
      </w:r>
    </w:p>
    <w:p w14:paraId="4B2411EB" w14:textId="4BC28FE5" w:rsidR="006D348E" w:rsidRPr="006D348E" w:rsidRDefault="006D348E" w:rsidP="00F35446">
      <w:pPr>
        <w:spacing w:after="0" w:line="276" w:lineRule="auto"/>
        <w:rPr>
          <w:lang w:val="vi-VN"/>
        </w:rPr>
      </w:pPr>
      <w:r w:rsidRPr="006D348E">
        <w:rPr>
          <w:lang w:val="vi-VN"/>
        </w:rPr>
        <w:t>Phần này nêu bật ba sáng kiến số quan trọng mà ASEAN cần ưu tiên do tầm quan trọng mang tính chiến lược và tác động đa chiều của chúng trên nhiều lĩnh vực. Bằng cách tập trung vào hài hòa hóa các tiêu chuẩn thương mại số trong các sáng kiến số chủ chốt này, ASEAN có thể tăng tốc quá trình chuyển đổi số và hội nhập kinh tế bằng cách tinh giản sự liên kết về quy định, thúc đẩy văn hóa cải tiến và đổi mới liên tục, và tăng cường hạ tầng số.</w:t>
      </w:r>
    </w:p>
    <w:p w14:paraId="7583036A" w14:textId="77777777" w:rsidR="00E66560" w:rsidRPr="006430D5" w:rsidRDefault="00E66560" w:rsidP="00F35446">
      <w:pPr>
        <w:spacing w:after="0" w:line="276" w:lineRule="auto"/>
      </w:pPr>
    </w:p>
    <w:p w14:paraId="3C6E58B4" w14:textId="16B5C2D4" w:rsidR="00E1439E" w:rsidRPr="00943402" w:rsidRDefault="00943402" w:rsidP="00F35446">
      <w:pPr>
        <w:spacing w:line="276" w:lineRule="auto"/>
        <w:rPr>
          <w:b/>
          <w:bCs/>
          <w:lang w:val="vi-VN"/>
        </w:rPr>
      </w:pPr>
      <w:r w:rsidRPr="00943402">
        <w:rPr>
          <w:b/>
          <w:bCs/>
          <w:lang w:val="vi-VN"/>
        </w:rPr>
        <w:t>Sáng kiến Số Chủ chốt của ASEAN 1: Phát triển Thế hệ mới của Cơ chế Một cửa ASEAN (ASW)</w:t>
      </w:r>
    </w:p>
    <w:p w14:paraId="57A4B655" w14:textId="624BEF6A" w:rsidR="00943402" w:rsidRPr="00943402" w:rsidRDefault="00943402" w:rsidP="00F35446">
      <w:pPr>
        <w:spacing w:line="276" w:lineRule="auto"/>
        <w:rPr>
          <w:lang w:val="vi-VN"/>
        </w:rPr>
      </w:pPr>
      <w:r w:rsidRPr="00943402">
        <w:rPr>
          <w:lang w:val="vi-VN"/>
        </w:rPr>
        <w:t>Cơ chế Một cửa ASEAN (ASW) là một sáng kiến khu vực then chốt đã góp phần thúc đẩy mạnh mẽ thương mại số trong khu vực bằng cách cho phép trải nghiệm thương mại liền mạch thông qua tài liệu điện tử và quy trình tương tác</w:t>
      </w:r>
      <w:r w:rsidRPr="004F1D15">
        <w:rPr>
          <w:rStyle w:val="FootnoteReference"/>
        </w:rPr>
        <w:footnoteReference w:id="322"/>
      </w:r>
      <w:r w:rsidRPr="00943402">
        <w:rPr>
          <w:lang w:val="vi-VN"/>
        </w:rPr>
        <w:t>. Trước sự phát triển nhanh chóng của công nghệ số và nhu cầu ngày càng tăng về thương mại phi giấy tờ xuyên biên giới, nhu cầu phát triển thế hệ mới của ASW trở nên cấp thiết. Thế hệ mới của ASW không chỉ tinh giản thủ tục hải quan mà còn có thể cho phép theo dõi và xác minh thời gian thực các chứng từ thương mại, từ đó giảm đáng kể nguy cơ gian lận và sai sót, đồng thời cải thiện an ninh và độ tin cậy của các quy trình thương mại điện tử.</w:t>
      </w:r>
    </w:p>
    <w:p w14:paraId="50C442FA" w14:textId="21765F70" w:rsidR="00473537" w:rsidRPr="004F1D15" w:rsidRDefault="00E7011F" w:rsidP="00F35446">
      <w:pPr>
        <w:spacing w:line="276" w:lineRule="auto"/>
      </w:pPr>
      <w:r w:rsidRPr="00E7011F">
        <w:t>Lợi ích của việc phát triển ASW thế hệ mới trải rộng trên cả bốn lĩnh vực thương mại số đã xác định. Bên cạnh vai trò trực tiếp trong việc cải thiện logistics và giao nhận thương mại số thông qua nâng cấp khung hải quan và bảo đảm giao dịch, sáng kiến này cũng hỗ trợ thương mại điện tử xuyên biên giới bằng cách tạo điều kiện thuận lợi cho giao dịch số. Việc tích hợp công nghệ blockchain sẽ tăng cường hơn nữa an ninh và thúc đẩy niềm tin số.</w:t>
      </w:r>
    </w:p>
    <w:p w14:paraId="7D21FC8D" w14:textId="0F03D045" w:rsidR="00A941D8" w:rsidRPr="00E7011F" w:rsidRDefault="00E7011F" w:rsidP="00F35446">
      <w:pPr>
        <w:spacing w:line="276" w:lineRule="auto"/>
        <w:rPr>
          <w:lang w:val="vi-VN"/>
        </w:rPr>
      </w:pPr>
      <w:r w:rsidRPr="00E7011F">
        <w:rPr>
          <w:lang w:val="vi-VN"/>
        </w:rPr>
        <w:t>Tổng thể, ASW thế hệ mới sẽ mở đường cho một mạng lưới thương mại khu vực mạnh mẽ và linh hoạt hơn, đánh dấu bước tiến quan trọng hướng đến hiện đại hóa cơ chế tạo thuận lợi thương mại của ASEAN và giúp ASEAN khai thác tối đa tiềm năng của thương mại phi giấy tờ xuyên biên giới.</w:t>
      </w:r>
    </w:p>
    <w:p w14:paraId="3EF23A21" w14:textId="6992D24F" w:rsidR="00461A08" w:rsidRPr="00E7011F" w:rsidRDefault="00E7011F" w:rsidP="00F35446">
      <w:pPr>
        <w:spacing w:line="276" w:lineRule="auto"/>
        <w:rPr>
          <w:b/>
          <w:bCs/>
          <w:lang w:val="vi-VN"/>
        </w:rPr>
      </w:pPr>
      <w:r w:rsidRPr="00E7011F">
        <w:rPr>
          <w:b/>
          <w:bCs/>
          <w:lang w:val="vi-VN"/>
        </w:rPr>
        <w:t>Sáng kiến Số Chủ chốt của ASEAN 2: Xây dựng Lộ trình UBIN ASEAN</w:t>
      </w:r>
    </w:p>
    <w:p w14:paraId="54EA9946" w14:textId="3C339B74" w:rsidR="00CB0656" w:rsidRPr="004F1D15" w:rsidRDefault="00E7011F" w:rsidP="00F35446">
      <w:pPr>
        <w:spacing w:line="276" w:lineRule="auto"/>
      </w:pPr>
      <w:r w:rsidRPr="00E7011F">
        <w:t>Một sáng kiến khu vực quan trọng khác là xây dựng Lộ trình triển khai thiết lập UBIN có khả năng so sánh và được công nhận trên toàn khu vực ASEAN (Lộ trình UBIN). Lộ trình UBIN là nền tảng cho việc thiết lập một hệ thống UBIN được công nhận và có tính tương đương trên toàn khu vực, được kỳ vọng trở thành một cấu phần cốt lõi của nền kinh tế số ASEAN.</w:t>
      </w:r>
      <w:r w:rsidR="00474E6E" w:rsidRPr="004F1D15">
        <w:rPr>
          <w:rStyle w:val="FootnoteReference"/>
        </w:rPr>
        <w:footnoteReference w:id="323"/>
      </w:r>
    </w:p>
    <w:p w14:paraId="7337441F" w14:textId="5EEFEF9A" w:rsidR="00E7011F" w:rsidRPr="00E7011F" w:rsidRDefault="00E7011F" w:rsidP="00F35446">
      <w:pPr>
        <w:spacing w:line="276" w:lineRule="auto"/>
        <w:rPr>
          <w:lang w:val="vi-VN"/>
        </w:rPr>
      </w:pPr>
      <w:r w:rsidRPr="00E7011F">
        <w:rPr>
          <w:lang w:val="vi-VN"/>
        </w:rPr>
        <w:t xml:space="preserve">Hệ thống UBIN hướng tới cung cấp một khung nhận diện số tương tác cho các doanh nghiệp trong toàn bộ các quốc gia thành viên ASEAN. Việc triển khai UBIN có thể tinh giản nhiều khía cạnh trong </w:t>
      </w:r>
      <w:r w:rsidRPr="00E7011F">
        <w:rPr>
          <w:lang w:val="vi-VN"/>
        </w:rPr>
        <w:lastRenderedPageBreak/>
        <w:t>hoạt động kinh doanh, từ xác minh thông tin doanh nghiệp đến hỗ trợ tuân thủ quy định. Bằng cách cung cấp một mã định danh duy nhất cho mỗi doanh nghiệp, UBIN giúp đơn giản hóa quy trình xác minh, tăng cường tính minh bạch và giảm rủi ro gian lận. Tính thống nhất này là thiết yếu đối với sự phát triển của thanh toán số và thương mại điện tử trong khu vực, giúp giao dịch trở nên an toàn và đáng tin cậy hơn.</w:t>
      </w:r>
    </w:p>
    <w:p w14:paraId="24BFAF53" w14:textId="4A9E5F29" w:rsidR="002F33A3" w:rsidRPr="004F1D15" w:rsidRDefault="00E7011F" w:rsidP="00F35446">
      <w:pPr>
        <w:spacing w:line="276" w:lineRule="auto"/>
      </w:pPr>
      <w:r w:rsidRPr="00E7011F">
        <w:t>Song song đó, các hệ thống nhận diện số trong nước có khả năng tương tác cho cá nhân sẽ loại bỏ nhu cầu xác thực trực tiếp nhờ cung cấp quyền truy cập số vào các dịch vụ trực tuyến. Điều này sẽ hỗ trợ mục tiêu khu vực về hòa nhập số và tài chính, đặc biệt trong bối cảnh ASEAN hiện có khoảng 65 triệu người chưa có giấy tờ nhận dạng hợp pháp.</w:t>
      </w:r>
      <w:r w:rsidR="00E92561" w:rsidRPr="004F1D15">
        <w:rPr>
          <w:rStyle w:val="FootnoteReference"/>
          <w:rFonts w:eastAsia="Times New Roman"/>
        </w:rPr>
        <w:footnoteReference w:id="324"/>
      </w:r>
      <w:r w:rsidR="00E92561" w:rsidRPr="004F1D15">
        <w:t xml:space="preserve"> </w:t>
      </w:r>
    </w:p>
    <w:p w14:paraId="67BF7B68" w14:textId="35BCBF3A" w:rsidR="00CD4F96" w:rsidRPr="00E7011F" w:rsidRDefault="00E7011F" w:rsidP="00F35446">
      <w:pPr>
        <w:spacing w:line="276" w:lineRule="auto"/>
        <w:rPr>
          <w:lang w:val="vi-VN"/>
        </w:rPr>
      </w:pPr>
      <w:r w:rsidRPr="00E7011F">
        <w:rPr>
          <w:lang w:val="vi-VN"/>
        </w:rPr>
        <w:t>Niềm tin là yếu tố nền tảng của một nền kinh tế số phát triển, và hệ thống UBIN cùng nhận diện số sẽ tăng cường niềm tin số bằng cách đảm bảo doanh nghiệp và người tiêu dùng có thể được xác minh một cách chính xác. Mức độ minh bạch cao hơn sẽ tạo dựng niềm tin giữa các đối tác thương mại, người tiêu dùng và cơ quan quản lý, qua đó nâng cao an ninh giao dịch số và đẩy nhanh các quy trình như thông quan và bảo đảm giao dịch.</w:t>
      </w:r>
    </w:p>
    <w:p w14:paraId="2BB42CFC" w14:textId="36D9A5F0" w:rsidR="00CD4F96" w:rsidRPr="00E7011F" w:rsidRDefault="00E7011F" w:rsidP="00F35446">
      <w:pPr>
        <w:spacing w:line="276" w:lineRule="auto"/>
        <w:rPr>
          <w:lang w:val="vi-VN"/>
        </w:rPr>
      </w:pPr>
      <w:r w:rsidRPr="00E7011F">
        <w:rPr>
          <w:lang w:val="vi-VN"/>
        </w:rPr>
        <w:t>Tổng thể, Lộ trình UBIN ASEAN là một sáng kiến then chốt sẽ tạo nền tảng cho nền kinh tế số khu vực, thúc đẩy một môi trường kinh doanh an toàn, hiệu quả và đáng tin cậy hơn.</w:t>
      </w:r>
    </w:p>
    <w:p w14:paraId="28249623" w14:textId="139E1A59" w:rsidR="001D6A1A" w:rsidRPr="0079780C" w:rsidRDefault="0079780C" w:rsidP="00F35446">
      <w:pPr>
        <w:spacing w:line="276" w:lineRule="auto"/>
        <w:rPr>
          <w:b/>
          <w:bCs/>
          <w:lang w:val="vi-VN"/>
        </w:rPr>
      </w:pPr>
      <w:r w:rsidRPr="0079780C">
        <w:rPr>
          <w:b/>
          <w:bCs/>
          <w:lang w:val="vi-VN"/>
        </w:rPr>
        <w:t>Sáng kiến Số Chủ chốt của ASEAN 3: Tăng cường áp dụng MCC trong các doanh nghiệp nội địa</w:t>
      </w:r>
    </w:p>
    <w:p w14:paraId="55B6381B" w14:textId="65C4AC24" w:rsidR="0079780C" w:rsidRPr="0079780C" w:rsidRDefault="0079780C" w:rsidP="00F35446">
      <w:pPr>
        <w:spacing w:line="276" w:lineRule="auto"/>
        <w:rPr>
          <w:rFonts w:eastAsia="Arial"/>
          <w:lang w:val="vi-VN"/>
        </w:rPr>
      </w:pPr>
      <w:r w:rsidRPr="0079780C">
        <w:rPr>
          <w:rFonts w:eastAsia="Arial"/>
          <w:lang w:val="vi-VN"/>
        </w:rPr>
        <w:t>Việc tăng cường sử dụng các công cụ pháp lý giúp thúc đẩy niềm tin số và sự chắc chắn về pháp lý có thể đóng góp đáng kể vào việc tăng cường dòng chảy dữ liệu xuyên biên giới. Các công cụ này có thể cải thiện tính minh bạch bằng cách xác định rõ quyền và nghĩa vụ của các bên tham gia giao dịch số, từ đó củng cố niềm tin giữa doanh nghiệp và các bên liên quan. Đáng chú ý, MCC bao gồm các tiêu chuẩn về bảo vệ và truyền dữ liệu. Do đó, việc áp dụng MCC giúp doanh nghiệp bảo đảm phù hợp với các tiêu chuẩn quốc tế, tăng cường niềm tin số và bảo vệ trước các mối đe dọa mạng.</w:t>
      </w:r>
    </w:p>
    <w:p w14:paraId="15011452" w14:textId="54F86AAB" w:rsidR="0079780C" w:rsidRPr="0079780C" w:rsidRDefault="0079780C" w:rsidP="00F35446">
      <w:pPr>
        <w:spacing w:line="276" w:lineRule="auto"/>
        <w:rPr>
          <w:lang w:val="vi-VN"/>
        </w:rPr>
      </w:pPr>
      <w:r w:rsidRPr="0079780C">
        <w:rPr>
          <w:lang w:val="vi-VN"/>
        </w:rPr>
        <w:t>Ví dụ, Hướng dẫn chung về MCC ASEAN và Các điều khoản hợp đồng tiêu chuẩn GDPR (SCC) được phát triển nhằm tăng cường khả năng tương tác giữa các điều khoản hợp đồng cấp khu vực. Bằng cách điều chỉnh MCC ASEAN phù hợp với SCC của GDPR, doanh nghiệp có thể bảo đảm tuân thủ các tiêu chuẩn bảo vệ dữ liệu nghiêm ngặt của GDPR, vốn đặc biệt quan trọng đối với chuyển giao dữ liệu EU–ASEAN và xây dựng niềm tin số trong khu vực. Hệ thống Quy tắc Bảo mật Xuyên biên giới (CBPR) trong APEC cũng hỗ trợ điều này bằng cách cung cấp một cơ chế bảo mật nhất quán trong các nền kinh tế APEC, đảm bảo rằng việc chuyển dữ liệu trong khu vực và với các đối tác bên ngoài (như EU) duy trì các tiêu chuẩn bảo mật và tính chắc chắn pháp lý.</w:t>
      </w:r>
    </w:p>
    <w:p w14:paraId="7F169DCF" w14:textId="3FC745EB" w:rsidR="004139AA" w:rsidRPr="004F1D15" w:rsidRDefault="0079780C" w:rsidP="00F35446">
      <w:pPr>
        <w:spacing w:line="276" w:lineRule="auto"/>
      </w:pPr>
      <w:r w:rsidRPr="0079780C">
        <w:t>Mặc dù MCC có thể không mang lại tác động tức thời như các khuyến nghị khác, vai trò của chúng vẫn hết sức quan trọng. Chuyển giao dữ liệu là nền tảng của mọi hoạt động thương mại số, và việc đảm bảo an toàn và độ tin cậy của dữ liệu là điều cốt lõi cho sự phát triển của nền kinh tế số rộng lớn hơn. Bằng cách tiêu chuẩn hóa các thực hành bảo vệ dữ liệu, MCC tạo ra một môi trường số an toàn hỗ trợ sự phát triển của thương mại số trên toàn khu vực.</w:t>
      </w:r>
    </w:p>
    <w:p w14:paraId="77EA7C70" w14:textId="7E346AA9" w:rsidR="003B11A0" w:rsidRPr="004F1D15" w:rsidRDefault="00EA3543" w:rsidP="00F35446">
      <w:pPr>
        <w:pStyle w:val="Heading2"/>
        <w:spacing w:line="276" w:lineRule="auto"/>
        <w:rPr>
          <w:lang w:val="en-GB"/>
        </w:rPr>
      </w:pPr>
      <w:r>
        <w:rPr>
          <w:lang w:val="en-GB"/>
        </w:rPr>
        <w:lastRenderedPageBreak/>
        <w:t>Lộ</w:t>
      </w:r>
      <w:r>
        <w:rPr>
          <w:lang w:val="vi-VN"/>
        </w:rPr>
        <w:t xml:space="preserve"> trình Tiêu chuẩn Thương mại Số</w:t>
      </w:r>
    </w:p>
    <w:p w14:paraId="53F998A4" w14:textId="6B949D0F" w:rsidR="00D20789" w:rsidRPr="00D20789" w:rsidRDefault="00D20789" w:rsidP="00F35446">
      <w:pPr>
        <w:spacing w:line="276" w:lineRule="auto"/>
        <w:rPr>
          <w:lang w:val="vi-VN"/>
        </w:rPr>
      </w:pPr>
      <w:r w:rsidRPr="00D20789">
        <w:rPr>
          <w:lang w:val="vi-VN"/>
        </w:rPr>
        <w:t>Phần này trình bày các khuyến nghị chính dành cho các Cơ quan Chuyên ngành ASEAN và các nhà hoạch định chính sách của các AMS nhằm tăng cường sự tương thích và hài hòa hóa tiêu chuẩn trên bốn lĩnh vực thương mại số: (1) Logistics và Giao nhận Thương mại Số, (2) Giao dịch Số, (3) Niềm tin Số, và (4) Hợp tác về Các Chủ đề Mới nổi.</w:t>
      </w:r>
    </w:p>
    <w:p w14:paraId="079997D3" w14:textId="0B480615" w:rsidR="00EA6CB4" w:rsidRDefault="00D20789" w:rsidP="00F35446">
      <w:pPr>
        <w:spacing w:line="276" w:lineRule="auto"/>
      </w:pPr>
      <w:r w:rsidRPr="00D20789">
        <w:rPr>
          <w:lang w:val="vi-VN"/>
        </w:rPr>
        <w:t>Mỗi khuyến nghị/khu vực hành động bao gồm mục tiêu, lĩnh vực trọng tâm, các mốc tiến độ và khung thời gian dự kiến, các Cơ quan Chuyên ngành ASEAN liên quan, và các thước đo tiến độ. Như được trình bày chi tiết trong Chương 4.1.4, các khuyến nghị sẽ được phân loại thành ba nhóm chính: (1) Điều chỉnh và Phối hợp Chính sách, (2) Xây dựng Năng lực và Hỗ trợ Kỹ thuật, và (3) Phát triển Hạ tầng Số.</w:t>
      </w:r>
      <w:r w:rsidR="00C2108D">
        <w:rPr>
          <w:rStyle w:val="FootnoteReference"/>
        </w:rPr>
        <w:footnoteReference w:id="325"/>
      </w:r>
    </w:p>
    <w:p w14:paraId="4EC688AA" w14:textId="51E8400F" w:rsidR="00D20789" w:rsidRPr="00D20789" w:rsidRDefault="00D20789" w:rsidP="00F35446">
      <w:pPr>
        <w:spacing w:line="276" w:lineRule="auto"/>
        <w:rPr>
          <w:lang w:val="vi-VN"/>
        </w:rPr>
      </w:pPr>
      <w:r w:rsidRPr="00D20789">
        <w:rPr>
          <w:lang w:val="vi-VN"/>
        </w:rPr>
        <w:t>Lộ trình bao phủ giai đoạn 10 năm (2025–2034), với các mốc ngắn hạn dự kiến triển khai trong 1–2 năm, trung hạn trong 3–5 năm, và dài hạn trong 5–10 năm. Tuy nhiên, việc triển khai thực tế có thể thay đổi tùy theo nhiều yếu tố, bao gồm mức độ ưu tiên của các lĩnh vực thương mại số, nhịp độ hợp tác, việc thực thi chính sách, và các cải cách quy định tiềm năng, cùng một số yếu tố khác.</w:t>
      </w:r>
    </w:p>
    <w:p w14:paraId="29F42932" w14:textId="77777777" w:rsidR="00EF3428" w:rsidRPr="00D20789" w:rsidRDefault="00EF3428" w:rsidP="002519A9">
      <w:pPr>
        <w:pStyle w:val="Heading2"/>
        <w:numPr>
          <w:ilvl w:val="0"/>
          <w:numId w:val="0"/>
        </w:numPr>
        <w:rPr>
          <w:b/>
          <w:color w:val="auto"/>
          <w:lang w:val="vi-VN"/>
        </w:rPr>
        <w:sectPr w:rsidR="00EF3428" w:rsidRPr="00D20789" w:rsidSect="00EF3428">
          <w:pgSz w:w="11907" w:h="16839" w:code="9"/>
          <w:pgMar w:top="720" w:right="720" w:bottom="720" w:left="720" w:header="0" w:footer="720" w:gutter="0"/>
          <w:cols w:space="720"/>
          <w:docGrid w:linePitch="360"/>
        </w:sectPr>
      </w:pPr>
    </w:p>
    <w:p w14:paraId="0A7FAC86" w14:textId="131DBCAA" w:rsidR="00235527" w:rsidRPr="00D20789" w:rsidRDefault="00D20789" w:rsidP="002519A9">
      <w:pPr>
        <w:pStyle w:val="Heading2"/>
        <w:numPr>
          <w:ilvl w:val="0"/>
          <w:numId w:val="0"/>
        </w:numPr>
        <w:rPr>
          <w:b/>
          <w:lang w:val="vi-VN"/>
        </w:rPr>
      </w:pPr>
      <w:r>
        <w:rPr>
          <w:b/>
          <w:color w:val="auto"/>
          <w:lang w:val="vi-VN"/>
        </w:rPr>
        <w:lastRenderedPageBreak/>
        <w:t xml:space="preserve">Lộ trình cho Lĩnh vực Thương mại Số 1: Logistics và Giao nhận Thương mại </w:t>
      </w:r>
      <w:r w:rsidR="00325FD4">
        <w:rPr>
          <w:b/>
          <w:color w:val="auto"/>
          <w:lang w:val="vi-VN"/>
        </w:rPr>
        <w:t>Số</w:t>
      </w:r>
    </w:p>
    <w:p w14:paraId="0A2D0563" w14:textId="4790E476" w:rsidR="005017A6" w:rsidRPr="004F1D15" w:rsidRDefault="00325FD4" w:rsidP="00961F7B">
      <w:pPr>
        <w:pStyle w:val="Heading3"/>
        <w:rPr>
          <w:lang w:val="en-GB"/>
        </w:rPr>
      </w:pPr>
      <w:r>
        <w:rPr>
          <w:lang w:val="en-GB"/>
        </w:rPr>
        <w:t>Tiểu</w:t>
      </w:r>
      <w:r>
        <w:rPr>
          <w:lang w:val="vi-VN"/>
        </w:rPr>
        <w:t xml:space="preserve"> lĩnh vực: Giao hàng chặng cuối</w:t>
      </w:r>
    </w:p>
    <w:p w14:paraId="7C3469A6" w14:textId="4D4A7B70" w:rsidR="005017A6" w:rsidRPr="004F1D15" w:rsidRDefault="000B7F1E" w:rsidP="00C82E40">
      <w:pPr>
        <w:pStyle w:val="Heading4"/>
        <w:rPr>
          <w:sz w:val="20"/>
          <w:lang w:val="en-GB"/>
        </w:rPr>
      </w:pPr>
      <w:r>
        <w:rPr>
          <w:sz w:val="20"/>
          <w:lang w:val="en-GB"/>
        </w:rPr>
        <w:t>Danh</w:t>
      </w:r>
      <w:r>
        <w:rPr>
          <w:sz w:val="20"/>
          <w:lang w:val="vi-VN"/>
        </w:rPr>
        <w:t xml:space="preserve"> mục</w:t>
      </w:r>
      <w:r w:rsidRPr="004F1D15">
        <w:rPr>
          <w:sz w:val="20"/>
          <w:lang w:val="en-GB"/>
        </w:rPr>
        <w:t xml:space="preserve"> </w:t>
      </w:r>
      <w:r w:rsidR="00325FD4" w:rsidRPr="00325FD4">
        <w:rPr>
          <w:sz w:val="20"/>
          <w:lang w:val="vi-VN"/>
        </w:rPr>
        <w:t>1: Điều chỉnh và Phối hợp Chính sách</w:t>
      </w:r>
    </w:p>
    <w:tbl>
      <w:tblPr>
        <w:tblStyle w:val="ListTable3-Accent11"/>
        <w:tblW w:w="15314" w:type="dxa"/>
        <w:tblLook w:val="04A0" w:firstRow="1" w:lastRow="0" w:firstColumn="1" w:lastColumn="0" w:noHBand="0" w:noVBand="1"/>
      </w:tblPr>
      <w:tblGrid>
        <w:gridCol w:w="1633"/>
        <w:gridCol w:w="3784"/>
        <w:gridCol w:w="7"/>
        <w:gridCol w:w="3777"/>
        <w:gridCol w:w="15"/>
        <w:gridCol w:w="2303"/>
        <w:gridCol w:w="14"/>
        <w:gridCol w:w="3781"/>
      </w:tblGrid>
      <w:tr w:rsidR="00116BF6" w:rsidRPr="004F1D15" w14:paraId="5F13D1ED" w14:textId="77777777" w:rsidTr="00AC0A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33" w:type="dxa"/>
            <w:tcBorders>
              <w:bottom w:val="single" w:sz="4" w:space="0" w:color="156082"/>
            </w:tcBorders>
            <w:shd w:val="clear" w:color="auto" w:fill="002060"/>
          </w:tcPr>
          <w:p w14:paraId="29DB19B7" w14:textId="06EB6CC1" w:rsidR="005017A6" w:rsidRPr="00725769" w:rsidRDefault="00725769" w:rsidP="00564F10">
            <w:pPr>
              <w:spacing w:line="276" w:lineRule="auto"/>
              <w:jc w:val="center"/>
              <w:rPr>
                <w:sz w:val="20"/>
                <w:szCs w:val="20"/>
                <w:lang w:val="vi-VN"/>
              </w:rPr>
            </w:pPr>
            <w:r>
              <w:rPr>
                <w:sz w:val="20"/>
                <w:szCs w:val="20"/>
              </w:rPr>
              <w:t>Khu</w:t>
            </w:r>
            <w:r>
              <w:rPr>
                <w:sz w:val="20"/>
                <w:szCs w:val="20"/>
                <w:lang w:val="vi-VN"/>
              </w:rPr>
              <w:t xml:space="preserve"> vực Hành động</w:t>
            </w:r>
          </w:p>
        </w:tc>
        <w:tc>
          <w:tcPr>
            <w:tcW w:w="3791" w:type="dxa"/>
            <w:gridSpan w:val="2"/>
            <w:shd w:val="clear" w:color="auto" w:fill="002060"/>
          </w:tcPr>
          <w:p w14:paraId="55765001" w14:textId="7CC926B6" w:rsidR="005017A6" w:rsidRPr="00725769" w:rsidRDefault="00725769" w:rsidP="00564F10">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Lĩnh</w:t>
            </w:r>
            <w:r>
              <w:rPr>
                <w:sz w:val="20"/>
                <w:szCs w:val="20"/>
                <w:lang w:val="vi-VN"/>
              </w:rPr>
              <w:t xml:space="preserve"> vực </w:t>
            </w:r>
            <w:r w:rsidR="00BB77FF">
              <w:rPr>
                <w:sz w:val="20"/>
                <w:szCs w:val="20"/>
                <w:lang w:val="vi-VN"/>
              </w:rPr>
              <w:t>Trọng tâm</w:t>
            </w:r>
          </w:p>
        </w:tc>
        <w:tc>
          <w:tcPr>
            <w:tcW w:w="3792" w:type="dxa"/>
            <w:gridSpan w:val="2"/>
            <w:shd w:val="clear" w:color="auto" w:fill="002060"/>
          </w:tcPr>
          <w:p w14:paraId="36E81DFD" w14:textId="6BFD2B78" w:rsidR="005017A6" w:rsidRPr="004F1D15" w:rsidRDefault="00EF7865" w:rsidP="00564F10">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Các</w:t>
            </w:r>
            <w:r>
              <w:rPr>
                <w:sz w:val="20"/>
                <w:szCs w:val="20"/>
                <w:lang w:val="vi-VN"/>
              </w:rPr>
              <w:t xml:space="preserve"> mốc đề xuất và khung thời gian dự kiến</w:t>
            </w:r>
            <w:r w:rsidR="005017A6" w:rsidRPr="004F1D15">
              <w:rPr>
                <w:rStyle w:val="FootnoteReference"/>
                <w:sz w:val="20"/>
                <w:szCs w:val="20"/>
              </w:rPr>
              <w:footnoteReference w:id="326"/>
            </w:r>
          </w:p>
        </w:tc>
        <w:tc>
          <w:tcPr>
            <w:tcW w:w="2317" w:type="dxa"/>
            <w:gridSpan w:val="2"/>
            <w:shd w:val="clear" w:color="auto" w:fill="002060"/>
          </w:tcPr>
          <w:p w14:paraId="01D354C5" w14:textId="5AEE12B2" w:rsidR="005017A6" w:rsidRPr="00EF7865" w:rsidRDefault="00EF7865" w:rsidP="00564F10">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Các</w:t>
            </w:r>
            <w:r>
              <w:rPr>
                <w:sz w:val="20"/>
                <w:szCs w:val="20"/>
                <w:lang w:val="vi-VN"/>
              </w:rPr>
              <w:t xml:space="preserve"> cơ quan chuyên ngành ASEAN liên quan</w:t>
            </w:r>
          </w:p>
        </w:tc>
        <w:tc>
          <w:tcPr>
            <w:tcW w:w="3781" w:type="dxa"/>
            <w:shd w:val="clear" w:color="auto" w:fill="002060"/>
          </w:tcPr>
          <w:p w14:paraId="2367C596" w14:textId="6A6FA4BA" w:rsidR="005017A6" w:rsidRPr="00EF7865" w:rsidRDefault="00EF7865" w:rsidP="00564F10">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Thước</w:t>
            </w:r>
            <w:r>
              <w:rPr>
                <w:sz w:val="20"/>
                <w:szCs w:val="20"/>
                <w:lang w:val="vi-VN"/>
              </w:rPr>
              <w:t xml:space="preserve"> đo tiến độ</w:t>
            </w:r>
          </w:p>
        </w:tc>
      </w:tr>
      <w:tr w:rsidR="00116BF6" w:rsidRPr="004F1D15" w14:paraId="2605F62E" w14:textId="77777777" w:rsidTr="00AC0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dxa"/>
            <w:tcBorders>
              <w:right w:val="single" w:sz="4" w:space="0" w:color="156082"/>
            </w:tcBorders>
            <w:shd w:val="clear" w:color="auto" w:fill="00B0F0"/>
          </w:tcPr>
          <w:p w14:paraId="1669580D" w14:textId="4F8F8F3B" w:rsidR="005017A6" w:rsidRPr="006B0593" w:rsidRDefault="006B0593" w:rsidP="00564F10">
            <w:pPr>
              <w:spacing w:line="276" w:lineRule="auto"/>
              <w:jc w:val="center"/>
              <w:rPr>
                <w:b w:val="0"/>
                <w:sz w:val="20"/>
                <w:szCs w:val="20"/>
                <w:lang w:val="vi-VN"/>
              </w:rPr>
            </w:pPr>
            <w:r>
              <w:rPr>
                <w:sz w:val="20"/>
                <w:szCs w:val="20"/>
              </w:rPr>
              <w:t>Khu</w:t>
            </w:r>
            <w:r>
              <w:rPr>
                <w:sz w:val="20"/>
                <w:szCs w:val="20"/>
                <w:lang w:val="vi-VN"/>
              </w:rPr>
              <w:t xml:space="preserve"> vực Hành động chính</w:t>
            </w:r>
          </w:p>
        </w:tc>
        <w:tc>
          <w:tcPr>
            <w:tcW w:w="13681" w:type="dxa"/>
            <w:gridSpan w:val="7"/>
            <w:tcBorders>
              <w:left w:val="single" w:sz="4" w:space="0" w:color="156082"/>
            </w:tcBorders>
            <w:shd w:val="clear" w:color="auto" w:fill="00B0F0"/>
          </w:tcPr>
          <w:p w14:paraId="6263B43A" w14:textId="50AC7132" w:rsidR="005017A6" w:rsidRPr="006B0593" w:rsidRDefault="00023D78" w:rsidP="003772B4">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b/>
                <w:sz w:val="20"/>
                <w:szCs w:val="20"/>
                <w:lang w:val="vi-VN"/>
              </w:rPr>
            </w:pPr>
            <w:r>
              <w:rPr>
                <w:b/>
                <w:bCs/>
                <w:sz w:val="20"/>
                <w:szCs w:val="20"/>
              </w:rPr>
              <w:t xml:space="preserve">6.2.1.1 </w:t>
            </w:r>
            <w:r w:rsidR="006B0593">
              <w:rPr>
                <w:b/>
                <w:bCs/>
                <w:sz w:val="20"/>
                <w:szCs w:val="20"/>
              </w:rPr>
              <w:t>Xây</w:t>
            </w:r>
            <w:r w:rsidR="006B0593">
              <w:rPr>
                <w:b/>
                <w:bCs/>
                <w:sz w:val="20"/>
                <w:szCs w:val="20"/>
                <w:lang w:val="vi-VN"/>
              </w:rPr>
              <w:t xml:space="preserve"> dựng Khung giao hàng Chặng cuối ASEAN </w:t>
            </w:r>
          </w:p>
        </w:tc>
      </w:tr>
      <w:tr w:rsidR="00E3253D" w:rsidRPr="004F1D15" w14:paraId="666A98A2" w14:textId="77777777" w:rsidTr="00AC0AE1">
        <w:tc>
          <w:tcPr>
            <w:cnfStyle w:val="001000000000" w:firstRow="0" w:lastRow="0" w:firstColumn="1" w:lastColumn="0" w:oddVBand="0" w:evenVBand="0" w:oddHBand="0" w:evenHBand="0" w:firstRowFirstColumn="0" w:firstRowLastColumn="0" w:lastRowFirstColumn="0" w:lastRowLastColumn="0"/>
            <w:tcW w:w="1633" w:type="dxa"/>
            <w:tcBorders>
              <w:top w:val="single" w:sz="4" w:space="0" w:color="156082"/>
              <w:bottom w:val="single" w:sz="4" w:space="0" w:color="156082"/>
              <w:right w:val="single" w:sz="4" w:space="0" w:color="156082"/>
            </w:tcBorders>
            <w:shd w:val="clear" w:color="auto" w:fill="BDD6EE" w:themeFill="accent5" w:themeFillTint="66"/>
          </w:tcPr>
          <w:p w14:paraId="4DC205C5" w14:textId="7C68B25D" w:rsidR="005017A6" w:rsidRPr="006B0593" w:rsidRDefault="006B0593" w:rsidP="00564F10">
            <w:pPr>
              <w:spacing w:line="276" w:lineRule="auto"/>
              <w:jc w:val="center"/>
              <w:rPr>
                <w:b w:val="0"/>
                <w:sz w:val="20"/>
                <w:szCs w:val="20"/>
                <w:lang w:val="vi-VN"/>
              </w:rPr>
            </w:pPr>
            <w:r>
              <w:rPr>
                <w:sz w:val="20"/>
                <w:szCs w:val="20"/>
              </w:rPr>
              <w:t>Mục</w:t>
            </w:r>
            <w:r>
              <w:rPr>
                <w:sz w:val="20"/>
                <w:szCs w:val="20"/>
                <w:lang w:val="vi-VN"/>
              </w:rPr>
              <w:t xml:space="preserve"> tiêu</w:t>
            </w:r>
          </w:p>
        </w:tc>
        <w:tc>
          <w:tcPr>
            <w:tcW w:w="13681" w:type="dxa"/>
            <w:gridSpan w:val="7"/>
            <w:tcBorders>
              <w:left w:val="single" w:sz="4" w:space="0" w:color="156082"/>
            </w:tcBorders>
            <w:shd w:val="clear" w:color="auto" w:fill="BDD6EE" w:themeFill="accent5" w:themeFillTint="66"/>
          </w:tcPr>
          <w:p w14:paraId="37B217A9" w14:textId="676CFDE1" w:rsidR="006B0593" w:rsidRPr="00513E34" w:rsidRDefault="006B0593" w:rsidP="00FF6387">
            <w:pPr>
              <w:pStyle w:val="ListParagraph"/>
              <w:numPr>
                <w:ilvl w:val="0"/>
                <w:numId w:val="40"/>
              </w:numPr>
              <w:spacing w:after="0"/>
              <w:cnfStyle w:val="000000000000" w:firstRow="0" w:lastRow="0" w:firstColumn="0" w:lastColumn="0" w:oddVBand="0" w:evenVBand="0" w:oddHBand="0" w:evenHBand="0" w:firstRowFirstColumn="0" w:firstRowLastColumn="0" w:lastRowFirstColumn="0" w:lastRowLastColumn="0"/>
              <w:rPr>
                <w:rFonts w:ascii="Arial" w:eastAsia="DengXian" w:hAnsi="Arial"/>
                <w:b/>
                <w:sz w:val="20"/>
                <w:szCs w:val="20"/>
                <w:lang w:val="en-GB"/>
              </w:rPr>
            </w:pPr>
            <w:r w:rsidRPr="006B0593">
              <w:rPr>
                <w:rFonts w:ascii="Arial" w:eastAsia="DengXian" w:hAnsi="Arial"/>
                <w:b/>
                <w:sz w:val="20"/>
                <w:szCs w:val="20"/>
                <w:lang w:val="en-GB"/>
              </w:rPr>
              <w:t xml:space="preserve">Hài hòa hóa Thực tiễn Giao hàng Chặng cuối: </w:t>
            </w:r>
            <w:r w:rsidRPr="006B0593">
              <w:rPr>
                <w:rFonts w:ascii="Arial" w:eastAsia="DengXian" w:hAnsi="Arial"/>
                <w:bCs/>
                <w:sz w:val="20"/>
                <w:szCs w:val="20"/>
                <w:lang w:val="en-GB"/>
              </w:rPr>
              <w:t>Xây dựng một khung giao hàng chặng cuối cấp khu vực nhằm tạo sự chắc chắn cho các nhà cung cấp dịch vụ logistics hoạt động xuyên biên giới, cho phép thương mại số tương tác xuyên biên giới, nâng cao hiệu quả và cải thiện chất lượng dịch vụ tổng thể.</w:t>
            </w:r>
          </w:p>
          <w:p w14:paraId="64CECC95" w14:textId="6092A21C" w:rsidR="00513E34" w:rsidRPr="00513E34" w:rsidRDefault="00513E34" w:rsidP="00FF6387">
            <w:pPr>
              <w:pStyle w:val="ListParagraph"/>
              <w:numPr>
                <w:ilvl w:val="0"/>
                <w:numId w:val="40"/>
              </w:numPr>
              <w:spacing w:after="0"/>
              <w:cnfStyle w:val="000000000000" w:firstRow="0" w:lastRow="0" w:firstColumn="0" w:lastColumn="0" w:oddVBand="0" w:evenVBand="0" w:oddHBand="0" w:evenHBand="0" w:firstRowFirstColumn="0" w:firstRowLastColumn="0" w:lastRowFirstColumn="0" w:lastRowLastColumn="0"/>
              <w:rPr>
                <w:rFonts w:ascii="Arial" w:eastAsia="DengXian" w:hAnsi="Arial"/>
                <w:bCs/>
                <w:sz w:val="20"/>
                <w:szCs w:val="20"/>
                <w:lang w:val="en-GB"/>
              </w:rPr>
            </w:pPr>
            <w:r w:rsidRPr="00513E34">
              <w:rPr>
                <w:rFonts w:ascii="Arial" w:eastAsia="DengXian" w:hAnsi="Arial"/>
                <w:b/>
                <w:sz w:val="20"/>
                <w:szCs w:val="20"/>
                <w:lang w:val="en-GB"/>
              </w:rPr>
              <w:t xml:space="preserve">Tạo thuận lợi cho Thương mại Điện tử Xuyên biên giới: </w:t>
            </w:r>
            <w:r w:rsidRPr="00513E34">
              <w:rPr>
                <w:rFonts w:ascii="Arial" w:eastAsia="DengXian" w:hAnsi="Arial"/>
                <w:bCs/>
                <w:sz w:val="20"/>
                <w:szCs w:val="20"/>
                <w:lang w:val="en-GB"/>
              </w:rPr>
              <w:t>Tăng cường thương mại điện tử xuyên biên giới thông qua một khung giao hàng chặng cuối tiêu chuẩn hóa, giúp tinh giản quy trình, rút ngắn thời gian giao hàng và giảm chi phí, tạo điều kiện cho doanh nghiệp mở rộng thị trường trong ASEAN.</w:t>
            </w:r>
          </w:p>
          <w:p w14:paraId="6CBE9BDE" w14:textId="1A9B5FF4" w:rsidR="00513E34" w:rsidRPr="00513E34" w:rsidRDefault="00513E34" w:rsidP="00FF6387">
            <w:pPr>
              <w:pStyle w:val="ListParagraph"/>
              <w:numPr>
                <w:ilvl w:val="0"/>
                <w:numId w:val="40"/>
              </w:numPr>
              <w:spacing w:after="0"/>
              <w:cnfStyle w:val="000000000000" w:firstRow="0" w:lastRow="0" w:firstColumn="0" w:lastColumn="0" w:oddVBand="0" w:evenVBand="0" w:oddHBand="0" w:evenHBand="0" w:firstRowFirstColumn="0" w:firstRowLastColumn="0" w:lastRowFirstColumn="0" w:lastRowLastColumn="0"/>
              <w:rPr>
                <w:rFonts w:ascii="Arial" w:eastAsia="DengXian" w:hAnsi="Arial"/>
                <w:bCs/>
                <w:sz w:val="20"/>
                <w:szCs w:val="20"/>
                <w:lang w:val="en-GB"/>
              </w:rPr>
            </w:pPr>
            <w:r w:rsidRPr="00513E34">
              <w:rPr>
                <w:rFonts w:ascii="Arial" w:eastAsia="DengXian" w:hAnsi="Arial"/>
                <w:b/>
                <w:sz w:val="20"/>
                <w:szCs w:val="20"/>
                <w:lang w:val="en-GB"/>
              </w:rPr>
              <w:t>Nâng cao Trải nghiệm Người tiêu dùng:</w:t>
            </w:r>
            <w:r w:rsidRPr="00513E34">
              <w:rPr>
                <w:rFonts w:ascii="Arial" w:eastAsia="DengXian" w:hAnsi="Arial"/>
                <w:bCs/>
                <w:sz w:val="20"/>
                <w:szCs w:val="20"/>
                <w:lang w:val="en-GB"/>
              </w:rPr>
              <w:t xml:space="preserve"> Cải thiện trải nghiệm khách hàng thương mại điện tử thông qua việc áp dụng các thực tiễn tốt nhất của các quốc gia dẫn đầu, bảo đảm dịch vụ giao hàng đáng tin cậy, đúng thời gian và minh bạch trong toàn khu vực.</w:t>
            </w:r>
          </w:p>
          <w:p w14:paraId="3ADDB4B7" w14:textId="0DA81F22" w:rsidR="00E27EE1" w:rsidRPr="00513E34" w:rsidRDefault="00513E34" w:rsidP="00513E34">
            <w:pPr>
              <w:pStyle w:val="ListParagraph"/>
              <w:numPr>
                <w:ilvl w:val="0"/>
                <w:numId w:val="40"/>
              </w:numPr>
              <w:spacing w:after="0"/>
              <w:cnfStyle w:val="000000000000" w:firstRow="0" w:lastRow="0" w:firstColumn="0" w:lastColumn="0" w:oddVBand="0" w:evenVBand="0" w:oddHBand="0" w:evenHBand="0" w:firstRowFirstColumn="0" w:firstRowLastColumn="0" w:lastRowFirstColumn="0" w:lastRowLastColumn="0"/>
              <w:rPr>
                <w:rFonts w:ascii="Arial" w:eastAsia="DengXian" w:hAnsi="Arial"/>
                <w:bCs/>
                <w:sz w:val="20"/>
                <w:szCs w:val="20"/>
                <w:lang w:val="en-GB"/>
              </w:rPr>
            </w:pPr>
            <w:r w:rsidRPr="00513E34">
              <w:rPr>
                <w:rFonts w:ascii="Arial" w:eastAsia="DengXian" w:hAnsi="Arial"/>
                <w:b/>
                <w:sz w:val="20"/>
                <w:szCs w:val="20"/>
                <w:lang w:val="en-GB"/>
              </w:rPr>
              <w:t>Khuyến khích sự tham gia của các AMS trong xây dựng chính sách tiêu dùng:</w:t>
            </w:r>
            <w:r w:rsidRPr="00513E34">
              <w:rPr>
                <w:rFonts w:ascii="Arial" w:eastAsia="DengXian" w:hAnsi="Arial"/>
                <w:bCs/>
                <w:sz w:val="20"/>
                <w:szCs w:val="20"/>
                <w:lang w:val="en-GB"/>
              </w:rPr>
              <w:t xml:space="preserve"> Kết hợp phản hồi từ các AMS về chính sách tiêu dùng để phản ánh tốt hơn các quy định và thực tiễn hiện hành trong khu vực ASEAN.</w:t>
            </w:r>
          </w:p>
        </w:tc>
      </w:tr>
      <w:tr w:rsidR="00E3253D" w:rsidRPr="004F1D15" w14:paraId="1B07502E" w14:textId="77777777" w:rsidTr="6BB67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3" w:type="dxa"/>
            <w:tcBorders>
              <w:right w:val="single" w:sz="4" w:space="0" w:color="156082"/>
            </w:tcBorders>
          </w:tcPr>
          <w:p w14:paraId="226E7BFC" w14:textId="1DEAE41D" w:rsidR="005017A6" w:rsidRPr="003D3EA7" w:rsidRDefault="00023D78" w:rsidP="00564F10">
            <w:pPr>
              <w:spacing w:line="276" w:lineRule="auto"/>
              <w:jc w:val="center"/>
              <w:rPr>
                <w:b w:val="0"/>
                <w:sz w:val="20"/>
                <w:szCs w:val="20"/>
                <w:lang w:val="vi-VN"/>
              </w:rPr>
            </w:pPr>
            <w:r>
              <w:rPr>
                <w:sz w:val="20"/>
                <w:szCs w:val="20"/>
              </w:rPr>
              <w:t>6.2</w:t>
            </w:r>
            <w:r w:rsidR="00B77358" w:rsidRPr="004F1D15">
              <w:rPr>
                <w:sz w:val="20"/>
                <w:szCs w:val="20"/>
              </w:rPr>
              <w:t xml:space="preserve">.1.1 </w:t>
            </w:r>
            <w:r w:rsidR="003D3EA7">
              <w:rPr>
                <w:sz w:val="20"/>
                <w:szCs w:val="20"/>
              </w:rPr>
              <w:t>Xây</w:t>
            </w:r>
            <w:r w:rsidR="003D3EA7">
              <w:rPr>
                <w:sz w:val="20"/>
                <w:szCs w:val="20"/>
                <w:lang w:val="vi-VN"/>
              </w:rPr>
              <w:t xml:space="preserve"> dựng Khung giao hàng Chặng cuối ASEAN </w:t>
            </w:r>
          </w:p>
        </w:tc>
        <w:tc>
          <w:tcPr>
            <w:tcW w:w="3784" w:type="dxa"/>
            <w:tcBorders>
              <w:left w:val="single" w:sz="4" w:space="0" w:color="156082"/>
              <w:right w:val="single" w:sz="4" w:space="0" w:color="156082"/>
            </w:tcBorders>
          </w:tcPr>
          <w:p w14:paraId="118D56B6" w14:textId="15DEC86A" w:rsidR="00D67C04" w:rsidRPr="00516087" w:rsidRDefault="003D3EA7" w:rsidP="003F2974">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olor w:val="auto"/>
                <w:sz w:val="20"/>
                <w:szCs w:val="20"/>
                <w:lang w:val="en-GB"/>
              </w:rPr>
            </w:pPr>
            <w:r w:rsidRPr="003D3EA7">
              <w:rPr>
                <w:rFonts w:ascii="Arial" w:hAnsi="Arial"/>
                <w:b/>
                <w:bCs/>
                <w:color w:val="auto"/>
                <w:sz w:val="20"/>
                <w:szCs w:val="20"/>
                <w:lang w:val="vi-VN"/>
              </w:rPr>
              <w:t>Phát triển Khung Khu vực:</w:t>
            </w:r>
            <w:r w:rsidRPr="003D3EA7">
              <w:rPr>
                <w:rFonts w:ascii="Arial" w:hAnsi="Arial"/>
                <w:color w:val="auto"/>
                <w:sz w:val="20"/>
                <w:szCs w:val="20"/>
                <w:lang w:val="vi-VN"/>
              </w:rPr>
              <w:t xml:space="preserve"> Xây dựng Khung Giao hàng Chặng cuối ASEAN, xác định các nguyên tắc cốt lõi và tiêu chuẩn tối thiểu cho hoạt động giao hàng chặng cuối. Khung này sẽ cung cấp nền tảng chung đồng thời vẫn cho phép linh hoạt phù hợp với điều kiện quốc gia.</w:t>
            </w:r>
          </w:p>
          <w:p w14:paraId="2B58DAEC" w14:textId="53AB2620" w:rsidR="00406E34" w:rsidRPr="00880C13" w:rsidRDefault="00406E34" w:rsidP="003F2974">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b/>
                <w:color w:val="auto"/>
                <w:sz w:val="20"/>
                <w:szCs w:val="20"/>
                <w:lang w:val="en-GB"/>
              </w:rPr>
            </w:pPr>
            <w:r w:rsidRPr="00406E34">
              <w:rPr>
                <w:rFonts w:ascii="Arial" w:hAnsi="Arial"/>
                <w:b/>
                <w:color w:val="auto"/>
                <w:sz w:val="20"/>
                <w:szCs w:val="20"/>
                <w:lang w:val="en-GB"/>
              </w:rPr>
              <w:lastRenderedPageBreak/>
              <w:t xml:space="preserve">Các Thỏa thuận Thừa nhận Lẫn nhau: </w:t>
            </w:r>
            <w:r w:rsidRPr="00406E34">
              <w:rPr>
                <w:rFonts w:ascii="Arial" w:hAnsi="Arial"/>
                <w:bCs/>
                <w:color w:val="auto"/>
                <w:sz w:val="20"/>
                <w:szCs w:val="20"/>
                <w:lang w:val="en-GB"/>
              </w:rPr>
              <w:t xml:space="preserve">Thúc đẩy việc </w:t>
            </w:r>
            <w:r w:rsidRPr="00406E34">
              <w:rPr>
                <w:rFonts w:ascii="Arial" w:hAnsi="Arial"/>
                <w:b/>
                <w:color w:val="auto"/>
                <w:sz w:val="20"/>
                <w:szCs w:val="20"/>
                <w:lang w:val="en-GB"/>
              </w:rPr>
              <w:t xml:space="preserve">thiết lập </w:t>
            </w:r>
            <w:r w:rsidRPr="00406E34">
              <w:rPr>
                <w:rFonts w:ascii="Arial" w:hAnsi="Arial"/>
                <w:bCs/>
                <w:color w:val="auto"/>
                <w:sz w:val="20"/>
                <w:szCs w:val="20"/>
                <w:lang w:val="en-GB"/>
              </w:rPr>
              <w:t>các thỏa thuận thừa nhận lẫn nhau giữa các AMS nhằm công nhận và chấp nhận tiêu chuẩn giao hàng chặng cuối quốc gia của nhau, bảo đảm sự tương thích với các nguyên tắc trọng tâm của khung khu vực.</w:t>
            </w:r>
          </w:p>
          <w:p w14:paraId="5A8EAF59" w14:textId="721FF959" w:rsidR="00406E34" w:rsidRPr="00880C13" w:rsidRDefault="00406E34" w:rsidP="00AF25DB">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b/>
                <w:color w:val="auto"/>
                <w:sz w:val="20"/>
                <w:szCs w:val="20"/>
                <w:lang w:val="en-GB"/>
              </w:rPr>
            </w:pPr>
            <w:r w:rsidRPr="00406E34">
              <w:rPr>
                <w:rFonts w:ascii="Arial" w:hAnsi="Arial"/>
                <w:b/>
                <w:color w:val="auto"/>
                <w:sz w:val="20"/>
                <w:szCs w:val="20"/>
                <w:lang w:val="en-GB"/>
              </w:rPr>
              <w:t xml:space="preserve">Triển khai Theo Giai đoạn: </w:t>
            </w:r>
            <w:r w:rsidRPr="00406E34">
              <w:rPr>
                <w:rFonts w:ascii="Arial" w:hAnsi="Arial"/>
                <w:bCs/>
                <w:color w:val="auto"/>
                <w:sz w:val="20"/>
                <w:szCs w:val="20"/>
                <w:lang w:val="en-GB"/>
              </w:rPr>
              <w:t>Triển khai khung khu vực và các thỏa thuận thừa nhận lẫn nhau theo từng giai đoạn, bắt đầu bằng các dự án thí điểm tại một số quốc gia thành viên để hoàn thiện phương pháp tiếp cận.</w:t>
            </w:r>
          </w:p>
        </w:tc>
        <w:tc>
          <w:tcPr>
            <w:tcW w:w="3784" w:type="dxa"/>
            <w:gridSpan w:val="2"/>
            <w:tcBorders>
              <w:left w:val="single" w:sz="4" w:space="0" w:color="156082"/>
              <w:right w:val="single" w:sz="4" w:space="0" w:color="156082"/>
            </w:tcBorders>
          </w:tcPr>
          <w:p w14:paraId="2EE9CE90" w14:textId="1DA9026D" w:rsidR="005017A6" w:rsidRPr="00406E34" w:rsidRDefault="00406E34" w:rsidP="003772B4">
            <w:pPr>
              <w:spacing w:line="276"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406E34">
              <w:rPr>
                <w:b/>
                <w:bCs/>
                <w:sz w:val="20"/>
                <w:szCs w:val="20"/>
              </w:rPr>
              <w:lastRenderedPageBreak/>
              <w:t>Ngắn</w:t>
            </w:r>
            <w:r w:rsidRPr="00406E34">
              <w:rPr>
                <w:b/>
                <w:bCs/>
                <w:sz w:val="20"/>
                <w:szCs w:val="20"/>
                <w:lang w:val="vi-VN"/>
              </w:rPr>
              <w:t xml:space="preserve"> hạn</w:t>
            </w:r>
            <w:r w:rsidR="005017A6" w:rsidRPr="00406E34">
              <w:rPr>
                <w:b/>
                <w:bCs/>
                <w:sz w:val="20"/>
                <w:szCs w:val="20"/>
              </w:rPr>
              <w:t>:</w:t>
            </w:r>
          </w:p>
          <w:p w14:paraId="25773E77" w14:textId="7384D739" w:rsidR="007E0C70" w:rsidRPr="00F7735F" w:rsidRDefault="00406E34" w:rsidP="00F7735F">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406E34">
              <w:rPr>
                <w:rFonts w:ascii="Arial" w:eastAsia="DengXian" w:hAnsi="Arial"/>
                <w:color w:val="auto"/>
                <w:sz w:val="20"/>
                <w:szCs w:val="20"/>
                <w:lang w:val="vi-VN"/>
              </w:rPr>
              <w:t>Tiến hành rà soát toàn diện các tiêu chuẩn giao hàng chặng cuối quốc gia hiện có và sắp ban hành trong các AMS nhằm xác định các khoảng trống và cơ hội hài hòa hóa.</w:t>
            </w:r>
          </w:p>
          <w:p w14:paraId="38CBF4CF" w14:textId="40E0BC76" w:rsidR="007E0C70" w:rsidRPr="00073C0D" w:rsidRDefault="00406E34" w:rsidP="00F7735F">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406E34">
              <w:rPr>
                <w:rFonts w:ascii="Arial" w:eastAsia="DengXian" w:hAnsi="Arial"/>
                <w:color w:val="auto"/>
                <w:sz w:val="20"/>
                <w:szCs w:val="20"/>
                <w:lang w:val="en-GB"/>
              </w:rPr>
              <w:t xml:space="preserve">Thành lập một nhóm công tác gồm đại diện của từng AMS để xây dựng Khung Giao hàng Chặng cuối </w:t>
            </w:r>
            <w:r w:rsidRPr="00406E34">
              <w:rPr>
                <w:rFonts w:ascii="Arial" w:eastAsia="DengXian" w:hAnsi="Arial"/>
                <w:color w:val="auto"/>
                <w:sz w:val="20"/>
                <w:szCs w:val="20"/>
                <w:lang w:val="en-GB"/>
              </w:rPr>
              <w:lastRenderedPageBreak/>
              <w:t>ASEAN, bao gồm tham vấn các bên liên quan.</w:t>
            </w:r>
          </w:p>
          <w:p w14:paraId="5070BB4B" w14:textId="77777777" w:rsidR="00462C3F" w:rsidRPr="00462C3F" w:rsidRDefault="00462C3F" w:rsidP="00462C3F">
            <w:pPr>
              <w:cnfStyle w:val="000000100000" w:firstRow="0" w:lastRow="0" w:firstColumn="0" w:lastColumn="0" w:oddVBand="0" w:evenVBand="0" w:oddHBand="1" w:evenHBand="0" w:firstRowFirstColumn="0" w:firstRowLastColumn="0" w:lastRowFirstColumn="0" w:lastRowLastColumn="0"/>
              <w:rPr>
                <w:sz w:val="20"/>
                <w:szCs w:val="20"/>
              </w:rPr>
            </w:pPr>
          </w:p>
          <w:p w14:paraId="05B339B6" w14:textId="44905C24" w:rsidR="005017A6" w:rsidRPr="00406E34" w:rsidRDefault="00406E34" w:rsidP="003772B4">
            <w:pPr>
              <w:spacing w:line="276" w:lineRule="auto"/>
              <w:cnfStyle w:val="000000100000" w:firstRow="0" w:lastRow="0" w:firstColumn="0" w:lastColumn="0" w:oddVBand="0" w:evenVBand="0" w:oddHBand="1" w:evenHBand="0" w:firstRowFirstColumn="0" w:firstRowLastColumn="0" w:lastRowFirstColumn="0" w:lastRowLastColumn="0"/>
              <w:rPr>
                <w:b/>
                <w:bCs/>
                <w:sz w:val="20"/>
                <w:szCs w:val="20"/>
                <w:lang w:val="vi-VN"/>
              </w:rPr>
            </w:pPr>
            <w:r w:rsidRPr="00406E34">
              <w:rPr>
                <w:b/>
                <w:bCs/>
                <w:sz w:val="20"/>
                <w:szCs w:val="20"/>
              </w:rPr>
              <w:t>Trung</w:t>
            </w:r>
            <w:r w:rsidRPr="00406E34">
              <w:rPr>
                <w:b/>
                <w:bCs/>
                <w:sz w:val="20"/>
                <w:szCs w:val="20"/>
                <w:lang w:val="vi-VN"/>
              </w:rPr>
              <w:t xml:space="preserve"> hạn:</w:t>
            </w:r>
          </w:p>
          <w:p w14:paraId="1688A12A" w14:textId="4B0A4141" w:rsidR="00B17F14" w:rsidRPr="004F1D15" w:rsidRDefault="00406E34" w:rsidP="00C82E4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406E34">
              <w:rPr>
                <w:rFonts w:ascii="Arial" w:eastAsia="DengXian" w:hAnsi="Arial"/>
                <w:color w:val="auto"/>
                <w:sz w:val="20"/>
                <w:szCs w:val="20"/>
                <w:lang w:val="vi-VN"/>
              </w:rPr>
              <w:t>Thí điểm Khung Giao hàng Chặng cuối ASEAN tại một số AMS để đánh giá tính khả thi và hiệu quả.</w:t>
            </w:r>
          </w:p>
          <w:p w14:paraId="129B8361" w14:textId="1FA0A8E4" w:rsidR="00B17F14" w:rsidRPr="004F1D15" w:rsidRDefault="00406E34" w:rsidP="00C82E4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406E34">
              <w:rPr>
                <w:rFonts w:ascii="Arial" w:eastAsia="DengXian" w:hAnsi="Arial"/>
                <w:color w:val="auto"/>
                <w:sz w:val="20"/>
                <w:szCs w:val="20"/>
                <w:lang w:val="vi-VN"/>
              </w:rPr>
              <w:t>Thu thập phản hồi từ các chương trình thí điểm và hoàn thiện tiêu chuẩn dựa trên kết quả và ý kiến các bên liên quan.</w:t>
            </w:r>
          </w:p>
          <w:p w14:paraId="159053AC" w14:textId="47CE4D3D" w:rsidR="005017A6" w:rsidRPr="004F1D15" w:rsidRDefault="00406E34" w:rsidP="006337E1">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406E34">
              <w:rPr>
                <w:rFonts w:ascii="Arial" w:eastAsia="DengXian" w:hAnsi="Arial"/>
                <w:color w:val="auto"/>
                <w:sz w:val="20"/>
                <w:szCs w:val="20"/>
                <w:lang w:val="vi-VN"/>
              </w:rPr>
              <w:t>Chính thức thông qua Khung Giao hàng Chặng cuối ASEAN trên toàn các AMS, đồng thời thúc đẩy đào tạo và nâng cao nhận thức về việc áp dụng khung.</w:t>
            </w:r>
          </w:p>
          <w:p w14:paraId="09A67055" w14:textId="1C910661" w:rsidR="005017A6" w:rsidRPr="00406E34" w:rsidRDefault="00406E34" w:rsidP="003772B4">
            <w:pPr>
              <w:spacing w:line="276" w:lineRule="auto"/>
              <w:cnfStyle w:val="000000100000" w:firstRow="0" w:lastRow="0" w:firstColumn="0" w:lastColumn="0" w:oddVBand="0" w:evenVBand="0" w:oddHBand="1" w:evenHBand="0" w:firstRowFirstColumn="0" w:firstRowLastColumn="0" w:lastRowFirstColumn="0" w:lastRowLastColumn="0"/>
              <w:rPr>
                <w:b/>
                <w:bCs/>
                <w:sz w:val="20"/>
                <w:szCs w:val="20"/>
                <w:lang w:val="vi-VN"/>
              </w:rPr>
            </w:pPr>
            <w:r w:rsidRPr="00406E34">
              <w:rPr>
                <w:b/>
                <w:bCs/>
                <w:sz w:val="20"/>
                <w:szCs w:val="20"/>
              </w:rPr>
              <w:t>Dài</w:t>
            </w:r>
            <w:r w:rsidRPr="00406E34">
              <w:rPr>
                <w:b/>
                <w:bCs/>
                <w:sz w:val="20"/>
                <w:szCs w:val="20"/>
                <w:lang w:val="vi-VN"/>
              </w:rPr>
              <w:t xml:space="preserve"> hạn:</w:t>
            </w:r>
          </w:p>
          <w:p w14:paraId="2F215780" w14:textId="30B6AD41" w:rsidR="00B17F14" w:rsidRPr="004F1D15" w:rsidRDefault="00D748E2" w:rsidP="00C82E4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D748E2">
              <w:rPr>
                <w:rFonts w:ascii="Arial" w:eastAsia="DengXian" w:hAnsi="Arial"/>
                <w:color w:val="auto"/>
                <w:sz w:val="20"/>
                <w:szCs w:val="20"/>
                <w:lang w:val="vi-VN"/>
              </w:rPr>
              <w:t>Theo dõi và đánh giá việc triển khai tiêu chuẩn thông qua các rà soát định kỳ và phản hồi của các bên liên quan.</w:t>
            </w:r>
          </w:p>
          <w:p w14:paraId="5D0C4DD9" w14:textId="1394E073" w:rsidR="00B17F14" w:rsidRPr="004F1D15" w:rsidRDefault="00D748E2" w:rsidP="00C82E4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D748E2">
              <w:rPr>
                <w:rFonts w:ascii="Arial" w:eastAsia="DengXian" w:hAnsi="Arial"/>
                <w:color w:val="auto"/>
                <w:sz w:val="20"/>
                <w:szCs w:val="20"/>
                <w:lang w:val="vi-VN"/>
              </w:rPr>
              <w:t>Cập nhật và cải thiện tiêu chuẩn khi cần thiết nhằm theo kịp với tiến bộ công nghệ, thay đổi thị trường và kỳ vọng của người tiêu dùng.</w:t>
            </w:r>
          </w:p>
          <w:p w14:paraId="3C8A296C" w14:textId="56F91C89" w:rsidR="005017A6" w:rsidRPr="004F1D15" w:rsidRDefault="00D748E2" w:rsidP="00C82E4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D748E2">
              <w:rPr>
                <w:rFonts w:ascii="Arial" w:eastAsia="DengXian" w:hAnsi="Arial"/>
                <w:sz w:val="20"/>
                <w:szCs w:val="20"/>
                <w:lang w:val="vi-VN"/>
              </w:rPr>
              <w:t>Quảng bá Khung Giao hàng Chặng cuối ASEAN ra quốc tế nhằm thu hút đầu tư và quan hệ đối tác, góp phần nâng cao hình ảnh khu vực như một trung tâm logistics thương mại điện tử.</w:t>
            </w:r>
          </w:p>
        </w:tc>
        <w:tc>
          <w:tcPr>
            <w:tcW w:w="2318" w:type="dxa"/>
            <w:gridSpan w:val="2"/>
            <w:tcBorders>
              <w:left w:val="single" w:sz="4" w:space="0" w:color="156082"/>
              <w:right w:val="single" w:sz="4" w:space="0" w:color="156082"/>
            </w:tcBorders>
          </w:tcPr>
          <w:p w14:paraId="1B63F4D2" w14:textId="7F667E43" w:rsidR="005017A6" w:rsidRPr="003B3B0A" w:rsidRDefault="003B3B0A" w:rsidP="003772B4">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vi-VN"/>
              </w:rPr>
            </w:pPr>
            <w:r>
              <w:rPr>
                <w:sz w:val="20"/>
                <w:szCs w:val="20"/>
              </w:rPr>
              <w:lastRenderedPageBreak/>
              <w:t>Các</w:t>
            </w:r>
            <w:r>
              <w:rPr>
                <w:sz w:val="20"/>
                <w:szCs w:val="20"/>
                <w:lang w:val="vi-VN"/>
              </w:rPr>
              <w:t xml:space="preserve"> cơ quan điều phối liên quan:</w:t>
            </w:r>
          </w:p>
          <w:p w14:paraId="09FC142A" w14:textId="02B6A107" w:rsidR="005B53FD" w:rsidRPr="00995647" w:rsidRDefault="008D2B22" w:rsidP="002750E0">
            <w:pPr>
              <w:pStyle w:val="ListParagraph"/>
              <w:numPr>
                <w:ilvl w:val="0"/>
                <w:numId w:val="17"/>
              </w:numPr>
              <w:spacing w:after="0"/>
              <w:jc w:val="left"/>
              <w:cnfStyle w:val="000000100000" w:firstRow="0" w:lastRow="0" w:firstColumn="0" w:lastColumn="0" w:oddVBand="0" w:evenVBand="0" w:oddHBand="1" w:evenHBand="0" w:firstRowFirstColumn="0" w:firstRowLastColumn="0" w:lastRowFirstColumn="0" w:lastRowLastColumn="0"/>
              <w:rPr>
                <w:rFonts w:ascii="Arial" w:eastAsia="DengXian" w:hAnsi="Arial"/>
                <w:color w:val="000000" w:themeColor="text1"/>
                <w:sz w:val="20"/>
                <w:szCs w:val="20"/>
                <w:lang w:val="en-GB"/>
              </w:rPr>
            </w:pPr>
            <w:r>
              <w:rPr>
                <w:rFonts w:ascii="Arial" w:eastAsia="DengXian" w:hAnsi="Arial"/>
                <w:color w:val="000000" w:themeColor="text1"/>
                <w:sz w:val="20"/>
                <w:szCs w:val="20"/>
                <w:lang w:val="en-GB"/>
              </w:rPr>
              <w:t>Cuộc</w:t>
            </w:r>
            <w:r>
              <w:rPr>
                <w:rFonts w:ascii="Arial" w:eastAsia="DengXian" w:hAnsi="Arial"/>
                <w:color w:val="000000" w:themeColor="text1"/>
                <w:sz w:val="20"/>
                <w:szCs w:val="20"/>
                <w:lang w:val="vi-VN"/>
              </w:rPr>
              <w:t xml:space="preserve"> họp Quan chức Cấp cao </w:t>
            </w:r>
            <w:r w:rsidR="00616696">
              <w:rPr>
                <w:rFonts w:ascii="Arial" w:eastAsia="DengXian" w:hAnsi="Arial"/>
                <w:color w:val="000000" w:themeColor="text1"/>
                <w:sz w:val="20"/>
                <w:szCs w:val="20"/>
                <w:lang w:val="vi-VN"/>
              </w:rPr>
              <w:t>Số</w:t>
            </w:r>
            <w:r>
              <w:rPr>
                <w:rFonts w:ascii="Arial" w:eastAsia="DengXian" w:hAnsi="Arial"/>
                <w:color w:val="000000" w:themeColor="text1"/>
                <w:sz w:val="20"/>
                <w:szCs w:val="20"/>
                <w:lang w:val="vi-VN"/>
              </w:rPr>
              <w:t xml:space="preserve"> ASEAN </w:t>
            </w:r>
            <w:r w:rsidR="00F209E1" w:rsidRPr="00995647">
              <w:rPr>
                <w:rFonts w:ascii="Arial" w:eastAsia="DengXian" w:hAnsi="Arial"/>
                <w:color w:val="000000" w:themeColor="text1"/>
                <w:sz w:val="20"/>
                <w:szCs w:val="20"/>
                <w:lang w:val="en-GB"/>
              </w:rPr>
              <w:t>(</w:t>
            </w:r>
            <w:r w:rsidR="001F3E23" w:rsidRPr="00995647">
              <w:rPr>
                <w:rFonts w:ascii="Arial" w:eastAsia="DengXian" w:hAnsi="Arial"/>
                <w:color w:val="000000" w:themeColor="text1"/>
                <w:sz w:val="20"/>
                <w:szCs w:val="20"/>
                <w:lang w:val="en-GB"/>
              </w:rPr>
              <w:t>ADGSOM</w:t>
            </w:r>
            <w:r w:rsidR="00F209E1" w:rsidRPr="00995647">
              <w:rPr>
                <w:rFonts w:ascii="Arial" w:eastAsia="DengXian" w:hAnsi="Arial"/>
                <w:color w:val="000000" w:themeColor="text1"/>
                <w:sz w:val="20"/>
                <w:szCs w:val="20"/>
                <w:lang w:val="en-GB"/>
              </w:rPr>
              <w:t>)</w:t>
            </w:r>
          </w:p>
          <w:p w14:paraId="72A950C9" w14:textId="5CCA12C3" w:rsidR="005017A6" w:rsidRDefault="00B4698F" w:rsidP="00C207B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Pr>
                <w:rFonts w:ascii="Arial" w:eastAsia="DengXian" w:hAnsi="Arial"/>
                <w:color w:val="auto"/>
                <w:sz w:val="20"/>
                <w:szCs w:val="20"/>
                <w:lang w:val="en-GB"/>
              </w:rPr>
              <w:t>Nhóm</w:t>
            </w:r>
            <w:r>
              <w:rPr>
                <w:rFonts w:ascii="Arial" w:eastAsia="DengXian" w:hAnsi="Arial"/>
                <w:color w:val="auto"/>
                <w:sz w:val="20"/>
                <w:szCs w:val="20"/>
                <w:lang w:val="vi-VN"/>
              </w:rPr>
              <w:t xml:space="preserve"> Công tác về Tiêu chuẩn và Hợp </w:t>
            </w:r>
            <w:r>
              <w:rPr>
                <w:rFonts w:ascii="Arial" w:eastAsia="DengXian" w:hAnsi="Arial"/>
                <w:color w:val="auto"/>
                <w:sz w:val="20"/>
                <w:szCs w:val="20"/>
                <w:lang w:val="vi-VN"/>
              </w:rPr>
              <w:lastRenderedPageBreak/>
              <w:t>chuẩn Thương mại Số</w:t>
            </w:r>
            <w:r w:rsidR="00F54B28" w:rsidDel="0049402B">
              <w:rPr>
                <w:rFonts w:ascii="Arial" w:eastAsia="DengXian" w:hAnsi="Arial"/>
                <w:color w:val="auto"/>
                <w:sz w:val="20"/>
                <w:szCs w:val="20"/>
                <w:lang w:val="en-GB"/>
              </w:rPr>
              <w:t xml:space="preserve"> (DTSCWG)</w:t>
            </w:r>
          </w:p>
          <w:p w14:paraId="64B3D4EF" w14:textId="30D3784C" w:rsidR="005017A6" w:rsidRPr="004F1D15" w:rsidRDefault="00B4698F" w:rsidP="00C207B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Pr>
                <w:rFonts w:ascii="Arial" w:eastAsia="DengXian" w:hAnsi="Arial"/>
                <w:color w:val="auto"/>
                <w:sz w:val="20"/>
                <w:szCs w:val="20"/>
                <w:lang w:val="en-GB"/>
              </w:rPr>
              <w:t>Ủy</w:t>
            </w:r>
            <w:r>
              <w:rPr>
                <w:rFonts w:ascii="Arial" w:eastAsia="DengXian" w:hAnsi="Arial"/>
                <w:color w:val="auto"/>
                <w:sz w:val="20"/>
                <w:szCs w:val="20"/>
                <w:lang w:val="vi-VN"/>
              </w:rPr>
              <w:t xml:space="preserve"> ban điều phối ASEAN về Thương mại ĐIện tử và Kinh tế Số</w:t>
            </w:r>
            <w:r w:rsidR="00A2235B">
              <w:rPr>
                <w:rFonts w:ascii="Arial" w:eastAsia="DengXian" w:hAnsi="Arial"/>
                <w:color w:val="auto"/>
                <w:sz w:val="20"/>
                <w:szCs w:val="20"/>
                <w:lang w:val="en-GB"/>
              </w:rPr>
              <w:t xml:space="preserve"> (ACCED)</w:t>
            </w:r>
          </w:p>
        </w:tc>
        <w:tc>
          <w:tcPr>
            <w:tcW w:w="3795" w:type="dxa"/>
            <w:gridSpan w:val="2"/>
            <w:tcBorders>
              <w:left w:val="single" w:sz="4" w:space="0" w:color="156082"/>
            </w:tcBorders>
          </w:tcPr>
          <w:p w14:paraId="61FCBAF3" w14:textId="5B1FFC6C" w:rsidR="005017A6" w:rsidRPr="004F1D15" w:rsidRDefault="00B4698F" w:rsidP="003772B4">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Các</w:t>
            </w:r>
            <w:r>
              <w:rPr>
                <w:sz w:val="20"/>
                <w:szCs w:val="20"/>
                <w:lang w:val="vi-VN"/>
              </w:rPr>
              <w:t xml:space="preserve"> thước đo tiến độ chung gồm</w:t>
            </w:r>
            <w:r w:rsidR="005017A6" w:rsidRPr="004F1D15">
              <w:rPr>
                <w:sz w:val="20"/>
                <w:szCs w:val="20"/>
              </w:rPr>
              <w:t>:</w:t>
            </w:r>
          </w:p>
          <w:p w14:paraId="4BC17691" w14:textId="6E768B4C" w:rsidR="000F5950" w:rsidRPr="00516087" w:rsidRDefault="00B4698F" w:rsidP="003F2974">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olor w:val="auto"/>
                <w:sz w:val="20"/>
                <w:szCs w:val="20"/>
                <w:lang w:val="en-GB"/>
              </w:rPr>
            </w:pPr>
            <w:r w:rsidRPr="00B4698F">
              <w:rPr>
                <w:rFonts w:ascii="Arial" w:hAnsi="Arial"/>
                <w:b/>
                <w:bCs/>
                <w:color w:val="auto"/>
                <w:sz w:val="20"/>
                <w:szCs w:val="20"/>
                <w:lang w:val="vi-VN"/>
              </w:rPr>
              <w:t>Tỷ lệ áp dụng:</w:t>
            </w:r>
            <w:r w:rsidRPr="00B4698F">
              <w:rPr>
                <w:rFonts w:ascii="Arial" w:hAnsi="Arial"/>
                <w:color w:val="auto"/>
                <w:sz w:val="20"/>
                <w:szCs w:val="20"/>
                <w:lang w:val="vi-VN"/>
              </w:rPr>
              <w:t xml:space="preserve"> Số lượng các AMS áp dụng Khung Giao hàng Chặng cuối ASEAN trong khung thời gian xác định.</w:t>
            </w:r>
          </w:p>
          <w:p w14:paraId="73A8CCBB" w14:textId="40B8C819" w:rsidR="000F5950" w:rsidRPr="00507DEF" w:rsidRDefault="00B4698F" w:rsidP="00AF25DB">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b/>
                <w:color w:val="auto"/>
                <w:sz w:val="20"/>
                <w:szCs w:val="20"/>
                <w:lang w:val="en-GB"/>
              </w:rPr>
            </w:pPr>
            <w:r w:rsidRPr="00B4698F">
              <w:rPr>
                <w:rFonts w:ascii="Arial" w:hAnsi="Arial"/>
                <w:b/>
                <w:bCs/>
                <w:color w:val="auto"/>
                <w:sz w:val="20"/>
                <w:szCs w:val="20"/>
                <w:lang w:val="vi-VN"/>
              </w:rPr>
              <w:t xml:space="preserve">Chỉ số hiệu suất giao hàng: </w:t>
            </w:r>
            <w:r w:rsidRPr="00B4698F">
              <w:rPr>
                <w:rFonts w:ascii="Arial" w:hAnsi="Arial"/>
                <w:color w:val="auto"/>
                <w:sz w:val="20"/>
                <w:szCs w:val="20"/>
                <w:lang w:val="vi-VN"/>
              </w:rPr>
              <w:t xml:space="preserve">Mức giảm thời gian giao hàng và cải thiện điểm hài lòng của khách hàng, đo </w:t>
            </w:r>
            <w:r w:rsidRPr="00B4698F">
              <w:rPr>
                <w:rFonts w:ascii="Arial" w:hAnsi="Arial"/>
                <w:color w:val="auto"/>
                <w:sz w:val="20"/>
                <w:szCs w:val="20"/>
                <w:lang w:val="vi-VN"/>
              </w:rPr>
              <w:lastRenderedPageBreak/>
              <w:t>lường thông qua khảo sát và hệ thống theo dõi.</w:t>
            </w:r>
          </w:p>
          <w:p w14:paraId="61CD9084" w14:textId="2E621E0A" w:rsidR="000F5950" w:rsidRPr="00516087" w:rsidRDefault="00B4698F" w:rsidP="003F2974">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olor w:val="auto"/>
                <w:sz w:val="20"/>
                <w:szCs w:val="20"/>
                <w:lang w:val="en-GB"/>
              </w:rPr>
            </w:pPr>
            <w:r w:rsidRPr="00B4698F">
              <w:rPr>
                <w:rFonts w:ascii="Arial" w:hAnsi="Arial"/>
                <w:b/>
                <w:bCs/>
                <w:color w:val="auto"/>
                <w:sz w:val="20"/>
                <w:szCs w:val="20"/>
                <w:lang w:val="vi-VN"/>
              </w:rPr>
              <w:t>Cải thiện hiệu quả vận hành:</w:t>
            </w:r>
            <w:r w:rsidRPr="00B4698F">
              <w:rPr>
                <w:rFonts w:ascii="Arial" w:hAnsi="Arial"/>
                <w:color w:val="auto"/>
                <w:sz w:val="20"/>
                <w:szCs w:val="20"/>
                <w:lang w:val="vi-VN"/>
              </w:rPr>
              <w:t xml:space="preserve"> Các chỉ số hiệu quả hoạt động được cải thiện trong các nhà cung cấp dịch vụ logistics, bao gồm giảm chi phí vận hành và tăng tỷ lệ giao hàng thành công.</w:t>
            </w:r>
          </w:p>
          <w:p w14:paraId="679D5D0B" w14:textId="54CB0D5E" w:rsidR="005017A6" w:rsidRPr="004F1D15" w:rsidRDefault="005017A6" w:rsidP="003772B4">
            <w:pPr>
              <w:spacing w:line="276" w:lineRule="auto"/>
              <w:cnfStyle w:val="000000100000" w:firstRow="0" w:lastRow="0" w:firstColumn="0" w:lastColumn="0" w:oddVBand="0" w:evenVBand="0" w:oddHBand="1" w:evenHBand="0" w:firstRowFirstColumn="0" w:firstRowLastColumn="0" w:lastRowFirstColumn="0" w:lastRowLastColumn="0"/>
              <w:rPr>
                <w:bCs/>
                <w:sz w:val="20"/>
                <w:szCs w:val="20"/>
              </w:rPr>
            </w:pPr>
          </w:p>
        </w:tc>
      </w:tr>
    </w:tbl>
    <w:p w14:paraId="56CF6DDA" w14:textId="77777777" w:rsidR="00964CC3" w:rsidRPr="004F1D15" w:rsidRDefault="00964CC3" w:rsidP="007664A3">
      <w:pPr>
        <w:rPr>
          <w:sz w:val="20"/>
          <w:szCs w:val="20"/>
        </w:rPr>
      </w:pPr>
    </w:p>
    <w:p w14:paraId="6EB63A81" w14:textId="01609E86" w:rsidR="00964CC3" w:rsidRPr="004F1D15" w:rsidRDefault="000B7F1E" w:rsidP="00C82E40">
      <w:pPr>
        <w:pStyle w:val="Heading4"/>
        <w:rPr>
          <w:sz w:val="20"/>
          <w:lang w:val="en-GB"/>
        </w:rPr>
      </w:pPr>
      <w:r>
        <w:rPr>
          <w:sz w:val="20"/>
          <w:lang w:val="en-GB"/>
        </w:rPr>
        <w:lastRenderedPageBreak/>
        <w:t>Danh</w:t>
      </w:r>
      <w:r>
        <w:rPr>
          <w:sz w:val="20"/>
          <w:lang w:val="vi-VN"/>
        </w:rPr>
        <w:t xml:space="preserve"> mục</w:t>
      </w:r>
      <w:r w:rsidR="005614BE" w:rsidRPr="004F1D15">
        <w:rPr>
          <w:sz w:val="20"/>
          <w:lang w:val="en-GB"/>
        </w:rPr>
        <w:t xml:space="preserve"> </w:t>
      </w:r>
      <w:r w:rsidR="00964CC3" w:rsidRPr="004F1D15">
        <w:rPr>
          <w:sz w:val="20"/>
          <w:lang w:val="en-GB"/>
        </w:rPr>
        <w:t xml:space="preserve">2: </w:t>
      </w:r>
      <w:r w:rsidR="00AB4B3C">
        <w:rPr>
          <w:sz w:val="20"/>
          <w:lang w:val="en-GB"/>
        </w:rPr>
        <w:t>Xây</w:t>
      </w:r>
      <w:r w:rsidR="00AB4B3C">
        <w:rPr>
          <w:sz w:val="20"/>
          <w:lang w:val="vi-VN"/>
        </w:rPr>
        <w:t xml:space="preserve"> dựng Năng lực và Hỗ trợ Kỹ thuật</w:t>
      </w:r>
    </w:p>
    <w:tbl>
      <w:tblPr>
        <w:tblStyle w:val="ListTable3-Accent11"/>
        <w:tblW w:w="15314" w:type="dxa"/>
        <w:tblLook w:val="04A0" w:firstRow="1" w:lastRow="0" w:firstColumn="1" w:lastColumn="0" w:noHBand="0" w:noVBand="1"/>
      </w:tblPr>
      <w:tblGrid>
        <w:gridCol w:w="1694"/>
        <w:gridCol w:w="3764"/>
        <w:gridCol w:w="7"/>
        <w:gridCol w:w="3757"/>
        <w:gridCol w:w="15"/>
        <w:gridCol w:w="2303"/>
        <w:gridCol w:w="14"/>
        <w:gridCol w:w="3760"/>
      </w:tblGrid>
      <w:tr w:rsidR="00117AE2" w:rsidRPr="004F1D15" w14:paraId="0726FB26" w14:textId="77777777" w:rsidTr="00AC0A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4" w:type="dxa"/>
            <w:tcBorders>
              <w:bottom w:val="single" w:sz="4" w:space="0" w:color="156082"/>
            </w:tcBorders>
            <w:shd w:val="clear" w:color="auto" w:fill="002060"/>
          </w:tcPr>
          <w:p w14:paraId="1CA1C3E8" w14:textId="1015B4ED" w:rsidR="00117AE2" w:rsidRPr="00AB4B3C" w:rsidRDefault="00AB4B3C" w:rsidP="00564F10">
            <w:pPr>
              <w:spacing w:line="276" w:lineRule="auto"/>
              <w:jc w:val="center"/>
              <w:rPr>
                <w:sz w:val="20"/>
                <w:szCs w:val="20"/>
                <w:lang w:val="vi-VN"/>
              </w:rPr>
            </w:pPr>
            <w:r>
              <w:rPr>
                <w:sz w:val="20"/>
                <w:szCs w:val="20"/>
              </w:rPr>
              <w:t>Khu</w:t>
            </w:r>
            <w:r>
              <w:rPr>
                <w:sz w:val="20"/>
                <w:szCs w:val="20"/>
                <w:lang w:val="vi-VN"/>
              </w:rPr>
              <w:t xml:space="preserve"> vực hành động</w:t>
            </w:r>
          </w:p>
        </w:tc>
        <w:tc>
          <w:tcPr>
            <w:tcW w:w="3771" w:type="dxa"/>
            <w:gridSpan w:val="2"/>
            <w:shd w:val="clear" w:color="auto" w:fill="002060"/>
          </w:tcPr>
          <w:p w14:paraId="04E54F6F" w14:textId="729EE4E4" w:rsidR="00117AE2" w:rsidRPr="00AB4B3C" w:rsidRDefault="00AB4B3C" w:rsidP="00564F10">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Lĩnh</w:t>
            </w:r>
            <w:r>
              <w:rPr>
                <w:sz w:val="20"/>
                <w:szCs w:val="20"/>
                <w:lang w:val="vi-VN"/>
              </w:rPr>
              <w:t xml:space="preserve"> vực </w:t>
            </w:r>
            <w:r w:rsidR="00BB77FF">
              <w:rPr>
                <w:sz w:val="20"/>
                <w:szCs w:val="20"/>
                <w:lang w:val="vi-VN"/>
              </w:rPr>
              <w:t>Trọng tâm</w:t>
            </w:r>
          </w:p>
        </w:tc>
        <w:tc>
          <w:tcPr>
            <w:tcW w:w="3772" w:type="dxa"/>
            <w:gridSpan w:val="2"/>
            <w:shd w:val="clear" w:color="auto" w:fill="002060"/>
          </w:tcPr>
          <w:p w14:paraId="6C2518FB" w14:textId="11DFCB5B" w:rsidR="00117AE2" w:rsidRPr="004F1D15" w:rsidRDefault="005B62B0" w:rsidP="00564F10">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Các</w:t>
            </w:r>
            <w:r>
              <w:rPr>
                <w:sz w:val="20"/>
                <w:szCs w:val="20"/>
                <w:lang w:val="vi-VN"/>
              </w:rPr>
              <w:t xml:space="preserve"> mốc dự kiến và Khung thời gian</w:t>
            </w:r>
            <w:r w:rsidR="00117AE2" w:rsidRPr="004F1D15">
              <w:rPr>
                <w:sz w:val="20"/>
                <w:szCs w:val="20"/>
                <w:vertAlign w:val="superscript"/>
              </w:rPr>
              <w:footnoteReference w:id="327"/>
            </w:r>
          </w:p>
        </w:tc>
        <w:tc>
          <w:tcPr>
            <w:tcW w:w="2317" w:type="dxa"/>
            <w:gridSpan w:val="2"/>
            <w:shd w:val="clear" w:color="auto" w:fill="002060"/>
          </w:tcPr>
          <w:p w14:paraId="663C5635" w14:textId="02A49483" w:rsidR="00117AE2" w:rsidRPr="005B62B0" w:rsidRDefault="005B62B0" w:rsidP="00564F10">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Các</w:t>
            </w:r>
            <w:r>
              <w:rPr>
                <w:sz w:val="20"/>
                <w:szCs w:val="20"/>
                <w:lang w:val="vi-VN"/>
              </w:rPr>
              <w:t xml:space="preserve"> cơ quan Chuyên ngành ASEAN Liên quan</w:t>
            </w:r>
          </w:p>
        </w:tc>
        <w:tc>
          <w:tcPr>
            <w:tcW w:w="3760" w:type="dxa"/>
            <w:shd w:val="clear" w:color="auto" w:fill="002060"/>
          </w:tcPr>
          <w:p w14:paraId="33C4275D" w14:textId="29D31F1F" w:rsidR="00117AE2" w:rsidRPr="005B62B0" w:rsidRDefault="005B62B0" w:rsidP="00564F10">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Thước</w:t>
            </w:r>
            <w:r>
              <w:rPr>
                <w:sz w:val="20"/>
                <w:szCs w:val="20"/>
                <w:lang w:val="vi-VN"/>
              </w:rPr>
              <w:t xml:space="preserve"> đo tiến độ</w:t>
            </w:r>
          </w:p>
        </w:tc>
      </w:tr>
      <w:tr w:rsidR="00117AE2" w:rsidRPr="004F1D15" w14:paraId="27DC445E" w14:textId="77777777" w:rsidTr="00AC0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shd w:val="clear" w:color="auto" w:fill="00B0F0"/>
          </w:tcPr>
          <w:p w14:paraId="7D7D848B" w14:textId="190F970A" w:rsidR="00117AE2" w:rsidRPr="00AB4B3C" w:rsidRDefault="00AB4B3C" w:rsidP="00564F10">
            <w:pPr>
              <w:spacing w:line="276" w:lineRule="auto"/>
              <w:jc w:val="center"/>
              <w:rPr>
                <w:sz w:val="20"/>
                <w:szCs w:val="20"/>
                <w:lang w:val="vi-VN"/>
              </w:rPr>
            </w:pPr>
            <w:r>
              <w:rPr>
                <w:sz w:val="20"/>
                <w:szCs w:val="20"/>
              </w:rPr>
              <w:t>Khu</w:t>
            </w:r>
            <w:r>
              <w:rPr>
                <w:sz w:val="20"/>
                <w:szCs w:val="20"/>
                <w:lang w:val="vi-VN"/>
              </w:rPr>
              <w:t xml:space="preserve"> vực hành động chính</w:t>
            </w:r>
          </w:p>
        </w:tc>
        <w:tc>
          <w:tcPr>
            <w:tcW w:w="13620" w:type="dxa"/>
            <w:gridSpan w:val="7"/>
            <w:tcBorders>
              <w:left w:val="single" w:sz="4" w:space="0" w:color="156082"/>
            </w:tcBorders>
            <w:shd w:val="clear" w:color="auto" w:fill="00B0F0"/>
          </w:tcPr>
          <w:p w14:paraId="5352BAFC" w14:textId="29B5F8E9" w:rsidR="00117AE2" w:rsidRPr="005B62B0" w:rsidRDefault="00D21041" w:rsidP="008B4F7D">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b/>
                <w:sz w:val="20"/>
                <w:szCs w:val="20"/>
                <w:lang w:val="vi-VN"/>
              </w:rPr>
            </w:pPr>
            <w:r>
              <w:rPr>
                <w:b/>
                <w:sz w:val="20"/>
                <w:szCs w:val="20"/>
              </w:rPr>
              <w:t>6</w:t>
            </w:r>
            <w:r w:rsidR="00775415" w:rsidRPr="004F1D15">
              <w:rPr>
                <w:b/>
                <w:sz w:val="20"/>
                <w:szCs w:val="20"/>
              </w:rPr>
              <w:t>.</w:t>
            </w:r>
            <w:r w:rsidR="00023D78">
              <w:rPr>
                <w:b/>
                <w:bCs/>
                <w:sz w:val="20"/>
                <w:szCs w:val="20"/>
              </w:rPr>
              <w:t xml:space="preserve">2.1.2 </w:t>
            </w:r>
            <w:r w:rsidR="005B62B0">
              <w:rPr>
                <w:b/>
                <w:bCs/>
                <w:sz w:val="20"/>
                <w:szCs w:val="20"/>
              </w:rPr>
              <w:t>Tăng</w:t>
            </w:r>
            <w:r w:rsidR="005B62B0">
              <w:rPr>
                <w:b/>
                <w:bCs/>
                <w:sz w:val="20"/>
                <w:szCs w:val="20"/>
                <w:lang w:val="vi-VN"/>
              </w:rPr>
              <w:t xml:space="preserve"> cường Kỹ năng và Năng lực Liên quan đến Giao hàng chặng </w:t>
            </w:r>
            <w:r w:rsidR="00384473">
              <w:rPr>
                <w:b/>
                <w:bCs/>
                <w:sz w:val="20"/>
                <w:szCs w:val="20"/>
                <w:lang w:val="vi-VN"/>
              </w:rPr>
              <w:t>cuối</w:t>
            </w:r>
          </w:p>
        </w:tc>
      </w:tr>
      <w:tr w:rsidR="00117AE2" w:rsidRPr="004F1D15" w14:paraId="7F23B588" w14:textId="77777777" w:rsidTr="00AC0AE1">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156082"/>
              <w:bottom w:val="single" w:sz="4" w:space="0" w:color="156082"/>
              <w:right w:val="single" w:sz="4" w:space="0" w:color="156082"/>
            </w:tcBorders>
            <w:shd w:val="clear" w:color="auto" w:fill="BDD6EE" w:themeFill="accent5" w:themeFillTint="66"/>
          </w:tcPr>
          <w:p w14:paraId="4837966D" w14:textId="36D5C3C8" w:rsidR="00117AE2" w:rsidRPr="00384473" w:rsidRDefault="00384473" w:rsidP="00564F10">
            <w:pPr>
              <w:spacing w:line="276" w:lineRule="auto"/>
              <w:jc w:val="center"/>
              <w:rPr>
                <w:sz w:val="20"/>
                <w:szCs w:val="20"/>
                <w:lang w:val="vi-VN"/>
              </w:rPr>
            </w:pPr>
            <w:r>
              <w:rPr>
                <w:sz w:val="20"/>
                <w:szCs w:val="20"/>
              </w:rPr>
              <w:t>Mục</w:t>
            </w:r>
            <w:r>
              <w:rPr>
                <w:sz w:val="20"/>
                <w:szCs w:val="20"/>
                <w:lang w:val="vi-VN"/>
              </w:rPr>
              <w:t xml:space="preserve"> tiêu</w:t>
            </w:r>
          </w:p>
        </w:tc>
        <w:tc>
          <w:tcPr>
            <w:tcW w:w="13620" w:type="dxa"/>
            <w:gridSpan w:val="7"/>
            <w:tcBorders>
              <w:left w:val="single" w:sz="4" w:space="0" w:color="156082"/>
            </w:tcBorders>
            <w:shd w:val="clear" w:color="auto" w:fill="BDD6EE" w:themeFill="accent5" w:themeFillTint="66"/>
          </w:tcPr>
          <w:p w14:paraId="2D76E38A" w14:textId="4DB9EF45" w:rsidR="00384473" w:rsidRPr="00384473" w:rsidRDefault="00384473" w:rsidP="00FF6387">
            <w:pPr>
              <w:pStyle w:val="ListParagraph"/>
              <w:numPr>
                <w:ilvl w:val="0"/>
                <w:numId w:val="40"/>
              </w:numPr>
              <w:spacing w:after="0"/>
              <w:cnfStyle w:val="000000000000" w:firstRow="0" w:lastRow="0" w:firstColumn="0" w:lastColumn="0" w:oddVBand="0" w:evenVBand="0" w:oddHBand="0" w:evenHBand="0" w:firstRowFirstColumn="0" w:firstRowLastColumn="0" w:lastRowFirstColumn="0" w:lastRowLastColumn="0"/>
              <w:rPr>
                <w:rFonts w:ascii="Arial" w:eastAsia="DengXian" w:hAnsi="Arial"/>
                <w:b/>
                <w:sz w:val="20"/>
                <w:szCs w:val="20"/>
                <w:lang w:val="en-GB"/>
              </w:rPr>
            </w:pPr>
            <w:r w:rsidRPr="00384473">
              <w:rPr>
                <w:rFonts w:ascii="Arial" w:eastAsia="DengXian" w:hAnsi="Arial"/>
                <w:b/>
                <w:sz w:val="20"/>
                <w:szCs w:val="20"/>
                <w:lang w:val="en-GB"/>
              </w:rPr>
              <w:t xml:space="preserve">Nâng cao kỹ năng lực lượng lao động: </w:t>
            </w:r>
            <w:r w:rsidRPr="00384473">
              <w:rPr>
                <w:rFonts w:ascii="Arial" w:eastAsia="DengXian" w:hAnsi="Arial"/>
                <w:bCs/>
                <w:sz w:val="20"/>
                <w:szCs w:val="20"/>
                <w:lang w:val="en-GB"/>
              </w:rPr>
              <w:t>Cung cấp các chương trình đào tạo và phát triển có mục tiêu dành cho nhân sự logistics nhằm cải thiện kỹ năng trong giao hàng chặng cuối.</w:t>
            </w:r>
          </w:p>
          <w:p w14:paraId="67F362D7" w14:textId="3DD5BC6C" w:rsidR="00117AE2" w:rsidRPr="00384473" w:rsidRDefault="00384473" w:rsidP="00384473">
            <w:pPr>
              <w:pStyle w:val="ListParagraph"/>
              <w:numPr>
                <w:ilvl w:val="0"/>
                <w:numId w:val="40"/>
              </w:numPr>
              <w:spacing w:after="0"/>
              <w:cnfStyle w:val="000000000000" w:firstRow="0" w:lastRow="0" w:firstColumn="0" w:lastColumn="0" w:oddVBand="0" w:evenVBand="0" w:oddHBand="0" w:evenHBand="0" w:firstRowFirstColumn="0" w:firstRowLastColumn="0" w:lastRowFirstColumn="0" w:lastRowLastColumn="0"/>
              <w:rPr>
                <w:rFonts w:ascii="Arial" w:eastAsia="DengXian" w:hAnsi="Arial"/>
                <w:bCs/>
                <w:sz w:val="20"/>
                <w:szCs w:val="20"/>
                <w:lang w:val="en-GB"/>
              </w:rPr>
            </w:pPr>
            <w:r w:rsidRPr="00384473">
              <w:rPr>
                <w:rFonts w:ascii="Arial" w:eastAsia="DengXian" w:hAnsi="Arial"/>
                <w:b/>
                <w:sz w:val="20"/>
                <w:szCs w:val="20"/>
                <w:lang w:val="en-GB"/>
              </w:rPr>
              <w:t xml:space="preserve">Thúc đẩy chia sẻ tri thức: </w:t>
            </w:r>
            <w:r w:rsidRPr="00384473">
              <w:rPr>
                <w:rFonts w:ascii="Arial" w:eastAsia="DengXian" w:hAnsi="Arial"/>
                <w:bCs/>
                <w:sz w:val="20"/>
                <w:szCs w:val="20"/>
                <w:lang w:val="en-GB"/>
              </w:rPr>
              <w:t>Tạo thuận lợi cho các chương trình trao đổi và hội thảo để các AMS học hỏi từ các mô hình và thực tiễn giao hàng chặng cuối thành công.</w:t>
            </w:r>
          </w:p>
        </w:tc>
      </w:tr>
      <w:tr w:rsidR="00117AE2" w:rsidRPr="004F1D15" w14:paraId="2F7DF4DD" w14:textId="77777777" w:rsidTr="6BB67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tcPr>
          <w:p w14:paraId="17F82409" w14:textId="3B56C85E" w:rsidR="00117AE2" w:rsidRPr="00F80119" w:rsidRDefault="00023D78" w:rsidP="00564F10">
            <w:pPr>
              <w:spacing w:line="276" w:lineRule="auto"/>
              <w:jc w:val="center"/>
              <w:rPr>
                <w:sz w:val="20"/>
                <w:szCs w:val="20"/>
                <w:lang w:val="vi-VN"/>
              </w:rPr>
            </w:pPr>
            <w:r>
              <w:rPr>
                <w:sz w:val="20"/>
                <w:szCs w:val="20"/>
              </w:rPr>
              <w:t xml:space="preserve">6.2.1.2 </w:t>
            </w:r>
            <w:r w:rsidR="00F80119">
              <w:rPr>
                <w:sz w:val="20"/>
                <w:szCs w:val="20"/>
              </w:rPr>
              <w:t>Tăng</w:t>
            </w:r>
            <w:r w:rsidR="00F80119">
              <w:rPr>
                <w:sz w:val="20"/>
                <w:szCs w:val="20"/>
                <w:lang w:val="vi-VN"/>
              </w:rPr>
              <w:t xml:space="preserve"> cường Kỹ năng và Năng lực Liên quan đến Giao hàng chặng cuối</w:t>
            </w:r>
          </w:p>
        </w:tc>
        <w:tc>
          <w:tcPr>
            <w:tcW w:w="3764" w:type="dxa"/>
            <w:tcBorders>
              <w:left w:val="single" w:sz="4" w:space="0" w:color="156082"/>
              <w:right w:val="single" w:sz="4" w:space="0" w:color="156082"/>
            </w:tcBorders>
          </w:tcPr>
          <w:p w14:paraId="53A55D91" w14:textId="62426515" w:rsidR="00F80119" w:rsidRPr="00516087" w:rsidRDefault="00F80119" w:rsidP="003F2974">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F80119">
              <w:rPr>
                <w:rFonts w:ascii="Arial" w:eastAsia="DengXian" w:hAnsi="Arial"/>
                <w:b/>
                <w:bCs/>
                <w:color w:val="auto"/>
                <w:sz w:val="20"/>
                <w:szCs w:val="20"/>
                <w:lang w:val="en-GB"/>
              </w:rPr>
              <w:t>Chương trình đào tạo:</w:t>
            </w:r>
            <w:r w:rsidRPr="00F80119">
              <w:rPr>
                <w:rFonts w:ascii="Arial" w:eastAsia="DengXian" w:hAnsi="Arial"/>
                <w:color w:val="auto"/>
                <w:sz w:val="20"/>
                <w:szCs w:val="20"/>
                <w:lang w:val="en-GB"/>
              </w:rPr>
              <w:t xml:space="preserve"> Xây dựng các mô-đun đào tạo toàn diện tập trung vào logistics giao hàng chặng cuối, công nghệ thương mại điện tử và chất lượng dịch vụ khách hàng.</w:t>
            </w:r>
          </w:p>
          <w:p w14:paraId="55413FDA" w14:textId="5B31285E" w:rsidR="00F80119" w:rsidRPr="00F72067" w:rsidRDefault="00F80119" w:rsidP="00F72067">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86163D">
              <w:rPr>
                <w:rFonts w:ascii="Arial" w:eastAsia="DengXian" w:hAnsi="Arial"/>
                <w:b/>
                <w:bCs/>
                <w:color w:val="auto"/>
                <w:sz w:val="20"/>
                <w:szCs w:val="20"/>
                <w:lang w:val="en-GB"/>
              </w:rPr>
              <w:t>Phát triển tài liệu:</w:t>
            </w:r>
            <w:r w:rsidRPr="00F80119">
              <w:rPr>
                <w:rFonts w:ascii="Arial" w:eastAsia="DengXian" w:hAnsi="Arial"/>
                <w:color w:val="auto"/>
                <w:sz w:val="20"/>
                <w:szCs w:val="20"/>
                <w:lang w:val="en-GB"/>
              </w:rPr>
              <w:t xml:space="preserve"> Tạo ra các tài liệu dễ tiếp cận, chẳng hạn như bộ công cụ và hướng dẫn, giúp AMS triển khai các thực tiễn tốt nhất trong giao hàng chặng cuối.</w:t>
            </w:r>
          </w:p>
          <w:p w14:paraId="4DDDF079" w14:textId="6D670593" w:rsidR="0086163D" w:rsidRPr="00516087" w:rsidRDefault="0086163D" w:rsidP="00F72067">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hAnsi="Arial"/>
                <w:b/>
                <w:color w:val="auto"/>
                <w:sz w:val="20"/>
                <w:szCs w:val="20"/>
                <w:lang w:val="en-GB"/>
              </w:rPr>
            </w:pPr>
            <w:r>
              <w:rPr>
                <w:rFonts w:ascii="Arial" w:hAnsi="Arial"/>
                <w:b/>
                <w:color w:val="auto"/>
                <w:sz w:val="20"/>
                <w:szCs w:val="20"/>
                <w:lang w:val="en-GB"/>
              </w:rPr>
              <w:t>S</w:t>
            </w:r>
            <w:r w:rsidRPr="0086163D">
              <w:rPr>
                <w:rFonts w:ascii="Arial" w:hAnsi="Arial"/>
                <w:b/>
                <w:color w:val="auto"/>
                <w:sz w:val="20"/>
                <w:szCs w:val="20"/>
                <w:lang w:val="en-GB"/>
              </w:rPr>
              <w:t xml:space="preserve">áng kiến cố vấn nghề nghiệp: </w:t>
            </w:r>
            <w:r w:rsidRPr="0086163D">
              <w:rPr>
                <w:rFonts w:ascii="Arial" w:hAnsi="Arial"/>
                <w:bCs/>
                <w:color w:val="auto"/>
                <w:sz w:val="20"/>
                <w:szCs w:val="20"/>
                <w:lang w:val="en-GB"/>
              </w:rPr>
              <w:t>Thiết lập các chương trình cố vấn kết nối các chuyên gia logistics có kinh nghiệm với nguồn nhân lực trẻ trong khu vực.</w:t>
            </w:r>
          </w:p>
        </w:tc>
        <w:tc>
          <w:tcPr>
            <w:tcW w:w="3764" w:type="dxa"/>
            <w:gridSpan w:val="2"/>
            <w:tcBorders>
              <w:left w:val="single" w:sz="4" w:space="0" w:color="156082"/>
              <w:right w:val="single" w:sz="4" w:space="0" w:color="156082"/>
            </w:tcBorders>
          </w:tcPr>
          <w:p w14:paraId="20A4BD52" w14:textId="0681A117" w:rsidR="00CB6593" w:rsidRPr="0086163D" w:rsidRDefault="0086163D" w:rsidP="008B4F7D">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vi-VN"/>
              </w:rPr>
            </w:pPr>
            <w:r>
              <w:rPr>
                <w:sz w:val="20"/>
                <w:szCs w:val="20"/>
              </w:rPr>
              <w:t>Ngắn</w:t>
            </w:r>
            <w:r>
              <w:rPr>
                <w:sz w:val="20"/>
                <w:szCs w:val="20"/>
                <w:lang w:val="vi-VN"/>
              </w:rPr>
              <w:t xml:space="preserve"> hạn:</w:t>
            </w:r>
          </w:p>
          <w:p w14:paraId="6AFFAA89" w14:textId="04A9F364" w:rsidR="00CB6593" w:rsidRPr="007A683A" w:rsidRDefault="0086163D" w:rsidP="007A683A">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86163D">
              <w:rPr>
                <w:rFonts w:ascii="Arial" w:eastAsia="DengXian" w:hAnsi="Arial"/>
                <w:color w:val="auto"/>
                <w:sz w:val="20"/>
                <w:szCs w:val="20"/>
                <w:lang w:val="vi-VN"/>
              </w:rPr>
              <w:t>Đánh giá nhu cầu đào tạo và các khoảng trống kỹ năng trong lĩnh vực giao hàng chặng cuối tại các AMS.</w:t>
            </w:r>
          </w:p>
          <w:p w14:paraId="6D3E2900" w14:textId="7E848937" w:rsidR="00CB6593" w:rsidRPr="007A683A" w:rsidRDefault="0086163D" w:rsidP="00EF319C">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86163D">
              <w:rPr>
                <w:rFonts w:ascii="Arial" w:eastAsia="DengXian" w:hAnsi="Arial"/>
                <w:color w:val="auto"/>
                <w:sz w:val="20"/>
                <w:szCs w:val="20"/>
                <w:lang w:val="vi-VN"/>
              </w:rPr>
              <w:t>Triển khai thí điểm các chương trình đào tạo tại một số AMS, tập trung vào các kỹ năng và năng lực thiết yếu.</w:t>
            </w:r>
          </w:p>
          <w:p w14:paraId="04B7E01C" w14:textId="091EB561" w:rsidR="00CB6593" w:rsidRPr="0086163D" w:rsidRDefault="0086163D" w:rsidP="008B4F7D">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vi-VN"/>
              </w:rPr>
            </w:pPr>
            <w:r>
              <w:rPr>
                <w:sz w:val="20"/>
                <w:szCs w:val="20"/>
              </w:rPr>
              <w:t>Trung</w:t>
            </w:r>
            <w:r>
              <w:rPr>
                <w:sz w:val="20"/>
                <w:szCs w:val="20"/>
                <w:lang w:val="vi-VN"/>
              </w:rPr>
              <w:t xml:space="preserve"> hạn:</w:t>
            </w:r>
          </w:p>
          <w:p w14:paraId="1D1D566F" w14:textId="179EDB90" w:rsidR="00CB6593" w:rsidRPr="00E02BDC" w:rsidRDefault="0086163D" w:rsidP="00E02BDC">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86163D">
              <w:rPr>
                <w:rFonts w:ascii="Arial" w:eastAsia="DengXian" w:hAnsi="Arial"/>
                <w:color w:val="auto"/>
                <w:sz w:val="20"/>
                <w:szCs w:val="20"/>
                <w:lang w:val="vi-VN"/>
              </w:rPr>
              <w:t>Đánh giá hiệu quả của các chương trình thí điểm và mở rộng nội dung đào tạo dựa trên phản hồi.</w:t>
            </w:r>
          </w:p>
          <w:p w14:paraId="0989A603" w14:textId="0A1733BF" w:rsidR="00CB6593" w:rsidRPr="00E02BDC" w:rsidRDefault="0086163D" w:rsidP="00EF319C">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86163D">
              <w:rPr>
                <w:rFonts w:ascii="Arial" w:eastAsia="DengXian" w:hAnsi="Arial"/>
                <w:color w:val="auto"/>
                <w:sz w:val="20"/>
                <w:szCs w:val="20"/>
                <w:lang w:val="vi-VN"/>
              </w:rPr>
              <w:t>Phát triển quan hệ đối tác với các cơ sở giáo dục và hiệp hội ngành để tạo cơ hội học tập liên tục.</w:t>
            </w:r>
          </w:p>
          <w:p w14:paraId="00B271B9" w14:textId="7AA9FD8D" w:rsidR="00CB6593" w:rsidRPr="0086163D" w:rsidRDefault="0086163D" w:rsidP="008B4F7D">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vi-VN"/>
              </w:rPr>
            </w:pPr>
            <w:r>
              <w:rPr>
                <w:sz w:val="20"/>
                <w:szCs w:val="20"/>
              </w:rPr>
              <w:t>Dài</w:t>
            </w:r>
            <w:r>
              <w:rPr>
                <w:sz w:val="20"/>
                <w:szCs w:val="20"/>
                <w:lang w:val="vi-VN"/>
              </w:rPr>
              <w:t xml:space="preserve"> hạn:</w:t>
            </w:r>
          </w:p>
          <w:p w14:paraId="58C17543" w14:textId="6E25BBFB" w:rsidR="00CB6593" w:rsidRPr="00E02BDC" w:rsidRDefault="0086163D" w:rsidP="00E02BDC">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86163D">
              <w:rPr>
                <w:rFonts w:ascii="Arial" w:eastAsia="DengXian" w:hAnsi="Arial"/>
                <w:color w:val="auto"/>
                <w:sz w:val="20"/>
                <w:szCs w:val="20"/>
                <w:lang w:val="vi-VN"/>
              </w:rPr>
              <w:lastRenderedPageBreak/>
              <w:t>Thiết lập chương trình chứng nhận khu vực dành cho chuyên gia trong lĩnh vực giao hàng chặng cuối.</w:t>
            </w:r>
          </w:p>
          <w:p w14:paraId="1257B680" w14:textId="72140611" w:rsidR="0086163D" w:rsidRPr="004F1D15" w:rsidRDefault="0086163D" w:rsidP="00E02BDC">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86163D">
              <w:rPr>
                <w:rFonts w:ascii="Arial" w:eastAsia="DengXian" w:hAnsi="Arial"/>
                <w:sz w:val="20"/>
                <w:szCs w:val="20"/>
                <w:lang w:val="en-GB"/>
              </w:rPr>
              <w:t>Thường xuyên cập nhật nội dung đào tạo để phản ánh tiến bộ công nghệ và sự thay đổi của thị trường.</w:t>
            </w:r>
          </w:p>
        </w:tc>
        <w:tc>
          <w:tcPr>
            <w:tcW w:w="2318" w:type="dxa"/>
            <w:gridSpan w:val="2"/>
            <w:tcBorders>
              <w:left w:val="single" w:sz="4" w:space="0" w:color="156082"/>
              <w:right w:val="single" w:sz="4" w:space="0" w:color="156082"/>
            </w:tcBorders>
          </w:tcPr>
          <w:p w14:paraId="316B8FEF" w14:textId="601BD3D8" w:rsidR="00CB6593" w:rsidRPr="002865C2" w:rsidRDefault="002865C2" w:rsidP="008B4F7D">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vi-VN"/>
              </w:rPr>
            </w:pPr>
            <w:r w:rsidRPr="002865C2">
              <w:rPr>
                <w:sz w:val="20"/>
                <w:szCs w:val="20"/>
                <w:lang w:val="vi-VN"/>
              </w:rPr>
              <w:lastRenderedPageBreak/>
              <w:t>Cơ quan Chuyên ngành Phối hợp:</w:t>
            </w:r>
          </w:p>
          <w:p w14:paraId="5B3527B1" w14:textId="656AE387" w:rsidR="00417C10" w:rsidRDefault="002865C2" w:rsidP="00CB5589">
            <w:pPr>
              <w:pStyle w:val="ListParagraph"/>
              <w:numPr>
                <w:ilvl w:val="0"/>
                <w:numId w:val="17"/>
              </w:numPr>
              <w:spacing w:after="0"/>
              <w:jc w:val="left"/>
              <w:cnfStyle w:val="000000100000" w:firstRow="0" w:lastRow="0" w:firstColumn="0" w:lastColumn="0" w:oddVBand="0" w:evenVBand="0" w:oddHBand="1" w:evenHBand="0" w:firstRowFirstColumn="0" w:firstRowLastColumn="0" w:lastRowFirstColumn="0" w:lastRowLastColumn="0"/>
              <w:rPr>
                <w:rFonts w:ascii="Arial" w:eastAsia="DengXian" w:hAnsi="Arial"/>
                <w:color w:val="000000" w:themeColor="text1"/>
                <w:sz w:val="20"/>
                <w:szCs w:val="20"/>
                <w:lang w:val="en-GB"/>
              </w:rPr>
            </w:pPr>
            <w:r w:rsidRPr="002865C2">
              <w:rPr>
                <w:rFonts w:ascii="Arial" w:eastAsia="DengXian" w:hAnsi="Arial"/>
                <w:color w:val="000000" w:themeColor="text1"/>
                <w:sz w:val="20"/>
                <w:szCs w:val="20"/>
                <w:lang w:val="en-GB"/>
              </w:rPr>
              <w:t xml:space="preserve">Hội nghị Quan chức Cấp cao Số ASEAN </w:t>
            </w:r>
            <w:r w:rsidR="00F209E1" w:rsidRPr="005E583B">
              <w:rPr>
                <w:rFonts w:ascii="Arial" w:eastAsia="DengXian" w:hAnsi="Arial"/>
                <w:color w:val="000000" w:themeColor="text1"/>
                <w:sz w:val="20"/>
                <w:szCs w:val="20"/>
                <w:lang w:val="en-GB"/>
              </w:rPr>
              <w:t>(</w:t>
            </w:r>
            <w:r w:rsidR="001F3E23" w:rsidRPr="005E583B">
              <w:rPr>
                <w:rFonts w:ascii="Arial" w:eastAsia="DengXian" w:hAnsi="Arial"/>
                <w:color w:val="000000" w:themeColor="text1"/>
                <w:sz w:val="20"/>
                <w:szCs w:val="20"/>
                <w:lang w:val="en-GB"/>
              </w:rPr>
              <w:t>ADGSOM</w:t>
            </w:r>
            <w:r w:rsidR="00F209E1" w:rsidRPr="005E583B">
              <w:rPr>
                <w:rFonts w:ascii="Arial" w:eastAsia="DengXian" w:hAnsi="Arial"/>
                <w:color w:val="000000" w:themeColor="text1"/>
                <w:sz w:val="20"/>
                <w:szCs w:val="20"/>
                <w:lang w:val="en-GB"/>
              </w:rPr>
              <w:t>)</w:t>
            </w:r>
          </w:p>
          <w:p w14:paraId="07E54B85" w14:textId="1F7AB827" w:rsidR="00E812CA" w:rsidRPr="00E1058A" w:rsidRDefault="002865C2" w:rsidP="00E812CA">
            <w:pPr>
              <w:pStyle w:val="ListParagraph"/>
              <w:numPr>
                <w:ilvl w:val="0"/>
                <w:numId w:val="17"/>
              </w:numPr>
              <w:spacing w:after="0"/>
              <w:jc w:val="left"/>
              <w:cnfStyle w:val="000000100000" w:firstRow="0" w:lastRow="0" w:firstColumn="0" w:lastColumn="0" w:oddVBand="0" w:evenVBand="0" w:oddHBand="1" w:evenHBand="0" w:firstRowFirstColumn="0" w:firstRowLastColumn="0" w:lastRowFirstColumn="0" w:lastRowLastColumn="0"/>
              <w:rPr>
                <w:rFonts w:ascii="Arial" w:eastAsia="DengXian" w:hAnsi="Arial"/>
                <w:color w:val="000000" w:themeColor="text1"/>
                <w:sz w:val="20"/>
                <w:szCs w:val="20"/>
                <w:lang w:val="en-GB"/>
              </w:rPr>
            </w:pPr>
            <w:r w:rsidRPr="002865C2">
              <w:rPr>
                <w:rFonts w:ascii="Arial" w:eastAsia="DengXian" w:hAnsi="Arial"/>
                <w:color w:val="auto"/>
                <w:sz w:val="20"/>
                <w:szCs w:val="20"/>
                <w:lang w:val="en-GB"/>
              </w:rPr>
              <w:t xml:space="preserve">Ủy ban Điều phối ASEAN về Thương mại Điện tử và Kinh tế Số </w:t>
            </w:r>
            <w:r w:rsidR="00E812CA" w:rsidRPr="00E1058A">
              <w:rPr>
                <w:rFonts w:ascii="Arial" w:eastAsia="DengXian" w:hAnsi="Arial"/>
                <w:color w:val="auto"/>
                <w:sz w:val="20"/>
                <w:szCs w:val="20"/>
                <w:lang w:val="en-GB"/>
              </w:rPr>
              <w:t>(ACCED)</w:t>
            </w:r>
          </w:p>
          <w:p w14:paraId="5A6E4A74" w14:textId="77777777" w:rsidR="00F32874" w:rsidRPr="00E1058A" w:rsidRDefault="00F32874" w:rsidP="00F32874">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p w14:paraId="06AC39D2" w14:textId="0F1074CA" w:rsidR="00F32874" w:rsidRPr="00E1058A" w:rsidRDefault="002865C2" w:rsidP="00F32874">
            <w:pPr>
              <w:jc w:val="lef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2865C2">
              <w:rPr>
                <w:color w:val="000000" w:themeColor="text1"/>
                <w:sz w:val="20"/>
                <w:szCs w:val="20"/>
              </w:rPr>
              <w:t>Cơ quan Chuyên ngành Hỗ trợ</w:t>
            </w:r>
            <w:r w:rsidR="00F32874" w:rsidRPr="00E1058A">
              <w:rPr>
                <w:color w:val="000000" w:themeColor="text1"/>
                <w:sz w:val="20"/>
                <w:szCs w:val="20"/>
              </w:rPr>
              <w:t>:</w:t>
            </w:r>
          </w:p>
          <w:p w14:paraId="7237CD0E" w14:textId="72532451" w:rsidR="00F32874" w:rsidRDefault="002865C2" w:rsidP="00F32874">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2865C2">
              <w:rPr>
                <w:rFonts w:ascii="Arial" w:eastAsia="DengXian" w:hAnsi="Arial"/>
                <w:color w:val="auto"/>
                <w:sz w:val="20"/>
                <w:szCs w:val="20"/>
                <w:lang w:val="en-GB"/>
              </w:rPr>
              <w:t>Nhóm Công tác về Tiêu chuẩn và Đánh giá Sự phù hợp trong Thương mại Số</w:t>
            </w:r>
            <w:r w:rsidRPr="002865C2" w:rsidDel="0049402B">
              <w:rPr>
                <w:rFonts w:ascii="Arial" w:eastAsia="DengXian" w:hAnsi="Arial"/>
                <w:color w:val="auto"/>
                <w:sz w:val="20"/>
                <w:szCs w:val="20"/>
                <w:lang w:val="en-GB"/>
              </w:rPr>
              <w:t xml:space="preserve"> </w:t>
            </w:r>
            <w:r w:rsidR="00F32874" w:rsidDel="0049402B">
              <w:rPr>
                <w:rFonts w:ascii="Arial" w:eastAsia="DengXian" w:hAnsi="Arial"/>
                <w:color w:val="auto"/>
                <w:sz w:val="20"/>
                <w:szCs w:val="20"/>
                <w:lang w:val="en-GB"/>
              </w:rPr>
              <w:t>(DTSCWG)</w:t>
            </w:r>
          </w:p>
          <w:p w14:paraId="424489A1" w14:textId="77777777" w:rsidR="00F32874" w:rsidRPr="005E583B" w:rsidRDefault="00F32874" w:rsidP="006F65A0">
            <w:pPr>
              <w:pStyle w:val="ListParagraph"/>
              <w:numPr>
                <w:ilvl w:val="0"/>
                <w:numId w:val="0"/>
              </w:numPr>
              <w:spacing w:after="0"/>
              <w:ind w:left="360"/>
              <w:jc w:val="left"/>
              <w:cnfStyle w:val="000000100000" w:firstRow="0" w:lastRow="0" w:firstColumn="0" w:lastColumn="0" w:oddVBand="0" w:evenVBand="0" w:oddHBand="1" w:evenHBand="0" w:firstRowFirstColumn="0" w:firstRowLastColumn="0" w:lastRowFirstColumn="0" w:lastRowLastColumn="0"/>
              <w:rPr>
                <w:rFonts w:ascii="Arial" w:eastAsia="DengXian" w:hAnsi="Arial"/>
                <w:color w:val="000000" w:themeColor="text1"/>
                <w:sz w:val="20"/>
                <w:szCs w:val="20"/>
                <w:lang w:val="en-GB"/>
              </w:rPr>
            </w:pPr>
          </w:p>
          <w:p w14:paraId="4C550B85" w14:textId="4E67CEC9" w:rsidR="00117AE2" w:rsidRPr="004F1D15" w:rsidRDefault="00117AE2" w:rsidP="005B53FD">
            <w:pPr>
              <w:pStyle w:val="ListParagraph"/>
              <w:numPr>
                <w:ilvl w:val="0"/>
                <w:numId w:val="0"/>
              </w:numPr>
              <w:spacing w:after="0"/>
              <w:ind w:left="36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p>
        </w:tc>
        <w:tc>
          <w:tcPr>
            <w:tcW w:w="3774" w:type="dxa"/>
            <w:gridSpan w:val="2"/>
            <w:tcBorders>
              <w:left w:val="single" w:sz="4" w:space="0" w:color="156082"/>
            </w:tcBorders>
          </w:tcPr>
          <w:p w14:paraId="795FF1E3" w14:textId="6E3344E6" w:rsidR="00CB6593" w:rsidRPr="004F1D15" w:rsidRDefault="003329C7" w:rsidP="008B4F7D">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3329C7">
              <w:rPr>
                <w:sz w:val="20"/>
                <w:szCs w:val="20"/>
              </w:rPr>
              <w:lastRenderedPageBreak/>
              <w:t>Các thước đo tiến độ chung bao gồm</w:t>
            </w:r>
            <w:r w:rsidR="00CB6593" w:rsidRPr="004F1D15">
              <w:rPr>
                <w:sz w:val="20"/>
                <w:szCs w:val="20"/>
              </w:rPr>
              <w:t>:</w:t>
            </w:r>
          </w:p>
          <w:p w14:paraId="21898E9B" w14:textId="1E49C837" w:rsidR="003329C7" w:rsidRPr="00F72067" w:rsidRDefault="003329C7" w:rsidP="00F72067">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3329C7">
              <w:rPr>
                <w:rFonts w:ascii="Arial" w:eastAsia="DengXian" w:hAnsi="Arial"/>
                <w:b/>
                <w:bCs/>
                <w:color w:val="auto"/>
                <w:sz w:val="20"/>
                <w:szCs w:val="20"/>
                <w:lang w:val="en-GB"/>
              </w:rPr>
              <w:t>Tỷ lệ tham gia đào tạo:</w:t>
            </w:r>
            <w:r w:rsidRPr="003329C7">
              <w:rPr>
                <w:rFonts w:ascii="Arial" w:eastAsia="DengXian" w:hAnsi="Arial"/>
                <w:color w:val="auto"/>
                <w:sz w:val="20"/>
                <w:szCs w:val="20"/>
                <w:lang w:val="en-GB"/>
              </w:rPr>
              <w:t xml:space="preserve"> Số lượng cá nhân tại các AMS được đào tạo về năng lực giao hàng chặng cuối.</w:t>
            </w:r>
          </w:p>
          <w:p w14:paraId="0677AAC8" w14:textId="62FBA6E5" w:rsidR="003329C7" w:rsidRPr="00F72067" w:rsidRDefault="003329C7" w:rsidP="00F72067">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3329C7">
              <w:rPr>
                <w:rFonts w:ascii="Arial" w:eastAsia="DengXian" w:hAnsi="Arial"/>
                <w:b/>
                <w:bCs/>
                <w:color w:val="auto"/>
                <w:sz w:val="20"/>
                <w:szCs w:val="20"/>
                <w:lang w:val="en-GB"/>
              </w:rPr>
              <w:t xml:space="preserve">Chỉ số cải thiện kỹ năng: </w:t>
            </w:r>
            <w:r w:rsidRPr="003329C7">
              <w:rPr>
                <w:rFonts w:ascii="Arial" w:eastAsia="DengXian" w:hAnsi="Arial"/>
                <w:color w:val="auto"/>
                <w:sz w:val="20"/>
                <w:szCs w:val="20"/>
                <w:lang w:val="en-GB"/>
              </w:rPr>
              <w:t>Mức cải thiện kỹ năng thông qua đánh giá trước và sau đào tạo.</w:t>
            </w:r>
          </w:p>
          <w:p w14:paraId="1DE684B6" w14:textId="14B052DE" w:rsidR="003329C7" w:rsidRPr="00516087" w:rsidRDefault="003329C7" w:rsidP="00F72067">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hAnsi="Arial"/>
                <w:b/>
                <w:sz w:val="20"/>
                <w:szCs w:val="20"/>
                <w:lang w:val="en-GB"/>
              </w:rPr>
            </w:pPr>
            <w:r w:rsidRPr="003329C7">
              <w:rPr>
                <w:rFonts w:ascii="Arial" w:hAnsi="Arial"/>
                <w:b/>
                <w:sz w:val="20"/>
                <w:szCs w:val="20"/>
                <w:lang w:val="en-GB"/>
              </w:rPr>
              <w:t xml:space="preserve">Mức độ tham gia cố vấn: </w:t>
            </w:r>
            <w:r w:rsidRPr="003329C7">
              <w:rPr>
                <w:rFonts w:ascii="Arial" w:hAnsi="Arial"/>
                <w:bCs/>
                <w:sz w:val="20"/>
                <w:szCs w:val="20"/>
                <w:lang w:val="en-GB"/>
              </w:rPr>
              <w:t>Số lượng cặp cố vấn</w:t>
            </w:r>
            <w:r>
              <w:rPr>
                <w:rFonts w:ascii="Arial" w:hAnsi="Arial"/>
                <w:bCs/>
                <w:sz w:val="20"/>
                <w:szCs w:val="20"/>
                <w:lang w:val="vi-VN"/>
              </w:rPr>
              <w:t xml:space="preserve"> - </w:t>
            </w:r>
            <w:r w:rsidRPr="003329C7">
              <w:rPr>
                <w:rFonts w:ascii="Arial" w:hAnsi="Arial"/>
                <w:bCs/>
                <w:sz w:val="20"/>
                <w:szCs w:val="20"/>
                <w:lang w:val="en-GB"/>
              </w:rPr>
              <w:t>người được cố vấn được thiết lập và các câu chuyện thành công được ghi nhận.</w:t>
            </w:r>
          </w:p>
        </w:tc>
      </w:tr>
    </w:tbl>
    <w:p w14:paraId="5A84D315" w14:textId="2B1B3D31" w:rsidR="00D875EC" w:rsidRPr="004F1D15" w:rsidRDefault="00D875EC">
      <w:pPr>
        <w:spacing w:line="259" w:lineRule="auto"/>
        <w:jc w:val="left"/>
        <w:rPr>
          <w:rFonts w:eastAsia="Arial"/>
          <w:i/>
          <w:color w:val="657C9C" w:themeColor="text2" w:themeTint="BF"/>
          <w:sz w:val="20"/>
          <w:szCs w:val="20"/>
        </w:rPr>
      </w:pPr>
    </w:p>
    <w:p w14:paraId="56EA44CE" w14:textId="56E0D07C" w:rsidR="00CF68EF" w:rsidRPr="004F1D15" w:rsidRDefault="000B7F1E" w:rsidP="00C82E40">
      <w:pPr>
        <w:pStyle w:val="Heading4"/>
        <w:rPr>
          <w:sz w:val="20"/>
          <w:lang w:val="en-GB"/>
        </w:rPr>
      </w:pPr>
      <w:r>
        <w:rPr>
          <w:sz w:val="20"/>
          <w:lang w:val="en-GB"/>
        </w:rPr>
        <w:t>Danh</w:t>
      </w:r>
      <w:r>
        <w:rPr>
          <w:sz w:val="20"/>
          <w:lang w:val="vi-VN"/>
        </w:rPr>
        <w:t xml:space="preserve"> mục</w:t>
      </w:r>
      <w:r w:rsidRPr="004F1D15">
        <w:rPr>
          <w:sz w:val="20"/>
          <w:lang w:val="en-GB"/>
        </w:rPr>
        <w:t xml:space="preserve"> </w:t>
      </w:r>
      <w:r w:rsidR="00CF68EF" w:rsidRPr="004F1D15">
        <w:rPr>
          <w:sz w:val="20"/>
          <w:lang w:val="en-GB"/>
        </w:rPr>
        <w:t xml:space="preserve">3: </w:t>
      </w:r>
      <w:r w:rsidR="00554340">
        <w:rPr>
          <w:sz w:val="20"/>
          <w:lang w:val="en-GB"/>
        </w:rPr>
        <w:t>Phát</w:t>
      </w:r>
      <w:r w:rsidR="00554340">
        <w:rPr>
          <w:sz w:val="20"/>
          <w:lang w:val="vi-VN"/>
        </w:rPr>
        <w:t xml:space="preserve"> triển Hạ tầng Số</w:t>
      </w:r>
    </w:p>
    <w:tbl>
      <w:tblPr>
        <w:tblStyle w:val="ListTable3-Accent11"/>
        <w:tblW w:w="15314" w:type="dxa"/>
        <w:tblLook w:val="04A0" w:firstRow="1" w:lastRow="0" w:firstColumn="1" w:lastColumn="0" w:noHBand="0" w:noVBand="1"/>
      </w:tblPr>
      <w:tblGrid>
        <w:gridCol w:w="1694"/>
        <w:gridCol w:w="3764"/>
        <w:gridCol w:w="7"/>
        <w:gridCol w:w="3757"/>
        <w:gridCol w:w="15"/>
        <w:gridCol w:w="2303"/>
        <w:gridCol w:w="14"/>
        <w:gridCol w:w="3760"/>
      </w:tblGrid>
      <w:tr w:rsidR="000B4BA7" w:rsidRPr="004F1D15" w14:paraId="5E6530C0" w14:textId="77777777" w:rsidTr="00AC0A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4" w:type="dxa"/>
            <w:tcBorders>
              <w:bottom w:val="single" w:sz="4" w:space="0" w:color="156082"/>
            </w:tcBorders>
            <w:shd w:val="clear" w:color="auto" w:fill="002060"/>
          </w:tcPr>
          <w:p w14:paraId="2DB5C2E7" w14:textId="0645D912" w:rsidR="000B4BA7" w:rsidRPr="00554340" w:rsidRDefault="00554340" w:rsidP="00564F10">
            <w:pPr>
              <w:jc w:val="center"/>
              <w:rPr>
                <w:sz w:val="20"/>
                <w:szCs w:val="20"/>
                <w:lang w:val="vi-VN"/>
              </w:rPr>
            </w:pPr>
            <w:r>
              <w:rPr>
                <w:sz w:val="20"/>
                <w:szCs w:val="20"/>
              </w:rPr>
              <w:t>Khu</w:t>
            </w:r>
            <w:r>
              <w:rPr>
                <w:sz w:val="20"/>
                <w:szCs w:val="20"/>
                <w:lang w:val="vi-VN"/>
              </w:rPr>
              <w:t xml:space="preserve"> vực hành động</w:t>
            </w:r>
          </w:p>
        </w:tc>
        <w:tc>
          <w:tcPr>
            <w:tcW w:w="3771" w:type="dxa"/>
            <w:gridSpan w:val="2"/>
            <w:shd w:val="clear" w:color="auto" w:fill="002060"/>
          </w:tcPr>
          <w:p w14:paraId="3102DB5B" w14:textId="3C83682B" w:rsidR="000B4BA7" w:rsidRPr="00554340" w:rsidRDefault="00554340" w:rsidP="00564F10">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Lĩnh</w:t>
            </w:r>
            <w:r>
              <w:rPr>
                <w:sz w:val="20"/>
                <w:szCs w:val="20"/>
                <w:lang w:val="vi-VN"/>
              </w:rPr>
              <w:t xml:space="preserve"> vực </w:t>
            </w:r>
            <w:r w:rsidR="00BB77FF">
              <w:rPr>
                <w:sz w:val="20"/>
                <w:szCs w:val="20"/>
                <w:lang w:val="vi-VN"/>
              </w:rPr>
              <w:t>Trọng tâm</w:t>
            </w:r>
          </w:p>
        </w:tc>
        <w:tc>
          <w:tcPr>
            <w:tcW w:w="3772" w:type="dxa"/>
            <w:gridSpan w:val="2"/>
            <w:shd w:val="clear" w:color="auto" w:fill="002060"/>
          </w:tcPr>
          <w:p w14:paraId="55A5F7D1" w14:textId="4CECBABC" w:rsidR="000B4BA7" w:rsidRPr="004F1D15" w:rsidRDefault="00554340" w:rsidP="00564F10">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Các</w:t>
            </w:r>
            <w:r>
              <w:rPr>
                <w:sz w:val="20"/>
                <w:szCs w:val="20"/>
                <w:lang w:val="vi-VN"/>
              </w:rPr>
              <w:t xml:space="preserve"> mốc đề xuất và Khung thời gian dự kiến</w:t>
            </w:r>
            <w:r w:rsidR="000B4BA7" w:rsidRPr="004F1D15">
              <w:rPr>
                <w:sz w:val="20"/>
                <w:szCs w:val="20"/>
                <w:vertAlign w:val="superscript"/>
              </w:rPr>
              <w:footnoteReference w:id="328"/>
            </w:r>
          </w:p>
        </w:tc>
        <w:tc>
          <w:tcPr>
            <w:tcW w:w="2317" w:type="dxa"/>
            <w:gridSpan w:val="2"/>
            <w:shd w:val="clear" w:color="auto" w:fill="002060"/>
          </w:tcPr>
          <w:p w14:paraId="5B20EAE2" w14:textId="4FAC019E" w:rsidR="000B4BA7" w:rsidRPr="00554340" w:rsidRDefault="00554340" w:rsidP="00564F10">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Các</w:t>
            </w:r>
            <w:r>
              <w:rPr>
                <w:sz w:val="20"/>
                <w:szCs w:val="20"/>
                <w:lang w:val="vi-VN"/>
              </w:rPr>
              <w:t xml:space="preserve"> bên chịu trách nhiệm</w:t>
            </w:r>
          </w:p>
        </w:tc>
        <w:tc>
          <w:tcPr>
            <w:tcW w:w="3760" w:type="dxa"/>
            <w:shd w:val="clear" w:color="auto" w:fill="002060"/>
          </w:tcPr>
          <w:p w14:paraId="18DFD7C4" w14:textId="7B75FEAB" w:rsidR="000B4BA7" w:rsidRPr="00554340" w:rsidRDefault="00554340" w:rsidP="00564F10">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Thước</w:t>
            </w:r>
            <w:r>
              <w:rPr>
                <w:sz w:val="20"/>
                <w:szCs w:val="20"/>
                <w:lang w:val="vi-VN"/>
              </w:rPr>
              <w:t xml:space="preserve"> đo tiến độ</w:t>
            </w:r>
          </w:p>
        </w:tc>
      </w:tr>
      <w:tr w:rsidR="000B4BA7" w:rsidRPr="004F1D15" w14:paraId="0F79E877" w14:textId="77777777" w:rsidTr="00AC0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shd w:val="clear" w:color="auto" w:fill="00B0F0"/>
          </w:tcPr>
          <w:p w14:paraId="6B0C1894" w14:textId="5D6810B2" w:rsidR="000B4BA7" w:rsidRPr="00554340" w:rsidRDefault="00554340" w:rsidP="00564F10">
            <w:pPr>
              <w:jc w:val="center"/>
              <w:rPr>
                <w:sz w:val="20"/>
                <w:szCs w:val="20"/>
                <w:lang w:val="vi-VN"/>
              </w:rPr>
            </w:pPr>
            <w:r>
              <w:rPr>
                <w:sz w:val="20"/>
                <w:szCs w:val="20"/>
                <w:lang w:val="vi-VN"/>
              </w:rPr>
              <w:t>Khu vực hành động chính</w:t>
            </w:r>
          </w:p>
        </w:tc>
        <w:tc>
          <w:tcPr>
            <w:tcW w:w="13620" w:type="dxa"/>
            <w:gridSpan w:val="7"/>
            <w:tcBorders>
              <w:left w:val="single" w:sz="4" w:space="0" w:color="156082"/>
            </w:tcBorders>
            <w:shd w:val="clear" w:color="auto" w:fill="00B0F0"/>
          </w:tcPr>
          <w:p w14:paraId="4A17D602" w14:textId="7D5308C3" w:rsidR="000B4BA7" w:rsidRPr="004F1D15" w:rsidRDefault="00023D78" w:rsidP="000B4BA7">
            <w:pPr>
              <w:cnfStyle w:val="000000100000" w:firstRow="0" w:lastRow="0" w:firstColumn="0" w:lastColumn="0" w:oddVBand="0" w:evenVBand="0" w:oddHBand="1" w:evenHBand="0" w:firstRowFirstColumn="0" w:firstRowLastColumn="0" w:lastRowFirstColumn="0" w:lastRowLastColumn="0"/>
              <w:rPr>
                <w:rFonts w:eastAsiaTheme="minorEastAsia"/>
                <w:b/>
                <w:sz w:val="20"/>
                <w:szCs w:val="20"/>
              </w:rPr>
            </w:pPr>
            <w:r>
              <w:rPr>
                <w:b/>
                <w:bCs/>
                <w:sz w:val="20"/>
                <w:szCs w:val="20"/>
              </w:rPr>
              <w:t xml:space="preserve">6.2.1.3 </w:t>
            </w:r>
            <w:r w:rsidR="00554340" w:rsidRPr="00554340">
              <w:rPr>
                <w:b/>
                <w:bCs/>
                <w:sz w:val="20"/>
                <w:szCs w:val="20"/>
              </w:rPr>
              <w:t>Tăng cường Hạ tầng Số Cốt lõi cho Giao hàng Chặng Cuối</w:t>
            </w:r>
          </w:p>
        </w:tc>
      </w:tr>
      <w:tr w:rsidR="000B4BA7" w:rsidRPr="004F1D15" w14:paraId="1919FF44" w14:textId="77777777" w:rsidTr="00AC0AE1">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156082"/>
              <w:bottom w:val="single" w:sz="4" w:space="0" w:color="156082"/>
              <w:right w:val="single" w:sz="4" w:space="0" w:color="156082"/>
            </w:tcBorders>
            <w:shd w:val="clear" w:color="auto" w:fill="BDD6EE" w:themeFill="accent5" w:themeFillTint="66"/>
          </w:tcPr>
          <w:p w14:paraId="52D7D99F" w14:textId="16FE4232" w:rsidR="000B4BA7" w:rsidRPr="00554340" w:rsidRDefault="00554340" w:rsidP="00564F10">
            <w:pPr>
              <w:jc w:val="center"/>
              <w:rPr>
                <w:sz w:val="20"/>
                <w:szCs w:val="20"/>
                <w:lang w:val="vi-VN"/>
              </w:rPr>
            </w:pPr>
            <w:r>
              <w:rPr>
                <w:sz w:val="20"/>
                <w:szCs w:val="20"/>
              </w:rPr>
              <w:t>Mục</w:t>
            </w:r>
            <w:r>
              <w:rPr>
                <w:sz w:val="20"/>
                <w:szCs w:val="20"/>
                <w:lang w:val="vi-VN"/>
              </w:rPr>
              <w:t xml:space="preserve"> </w:t>
            </w:r>
            <w:r w:rsidR="0032483A">
              <w:rPr>
                <w:sz w:val="20"/>
                <w:szCs w:val="20"/>
                <w:lang w:val="vi-VN"/>
              </w:rPr>
              <w:t>tiêu</w:t>
            </w:r>
          </w:p>
        </w:tc>
        <w:tc>
          <w:tcPr>
            <w:tcW w:w="13620" w:type="dxa"/>
            <w:gridSpan w:val="7"/>
            <w:tcBorders>
              <w:left w:val="single" w:sz="4" w:space="0" w:color="156082"/>
            </w:tcBorders>
            <w:shd w:val="clear" w:color="auto" w:fill="BDD6EE" w:themeFill="accent5" w:themeFillTint="66"/>
          </w:tcPr>
          <w:p w14:paraId="03A3DE00" w14:textId="6FFC8B89" w:rsidR="006D2E65" w:rsidRPr="009C7709" w:rsidRDefault="009C7709" w:rsidP="00FF6387">
            <w:pPr>
              <w:pStyle w:val="ListParagraph"/>
              <w:numPr>
                <w:ilvl w:val="0"/>
                <w:numId w:val="44"/>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DengXian" w:hAnsi="Arial"/>
                <w:sz w:val="20"/>
                <w:szCs w:val="20"/>
                <w:lang w:val="en-GB"/>
              </w:rPr>
            </w:pPr>
            <w:r w:rsidRPr="009C7709">
              <w:rPr>
                <w:rFonts w:ascii="Arial" w:eastAsia="DengXian" w:hAnsi="Arial"/>
                <w:b/>
                <w:bCs/>
                <w:sz w:val="20"/>
                <w:szCs w:val="20"/>
                <w:lang w:val="en-GB"/>
              </w:rPr>
              <w:t>Tăng cường Kết nối và Hạ tầng Số:</w:t>
            </w:r>
            <w:r w:rsidRPr="009C7709">
              <w:rPr>
                <w:rFonts w:ascii="Arial" w:eastAsia="DengXian" w:hAnsi="Arial"/>
                <w:sz w:val="20"/>
                <w:szCs w:val="20"/>
                <w:lang w:val="en-GB"/>
              </w:rPr>
              <w:t xml:space="preserve"> Phát triển các hệ thống đáng tin cậy và an toàn có khả năng hỗ trợ hoạt động giao hàng chặng cuối hiệu quả và thông suốt.</w:t>
            </w:r>
            <w:r w:rsidR="000B4BA7" w:rsidRPr="00516087">
              <w:rPr>
                <w:rFonts w:ascii="Arial" w:eastAsia="DengXian" w:hAnsi="Arial"/>
                <w:sz w:val="20"/>
                <w:szCs w:val="20"/>
                <w:lang w:val="en-GB"/>
              </w:rPr>
              <w:t xml:space="preserve"> </w:t>
            </w:r>
          </w:p>
          <w:p w14:paraId="392344FA" w14:textId="04D5FF88" w:rsidR="000B4BA7" w:rsidRPr="009C7709" w:rsidRDefault="009C7709" w:rsidP="009C7709">
            <w:pPr>
              <w:pStyle w:val="ListParagraph"/>
              <w:numPr>
                <w:ilvl w:val="0"/>
                <w:numId w:val="44"/>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DengXian" w:hAnsi="Arial"/>
                <w:sz w:val="20"/>
                <w:szCs w:val="20"/>
                <w:lang w:val="en-GB"/>
              </w:rPr>
            </w:pPr>
            <w:r w:rsidRPr="009C7709">
              <w:rPr>
                <w:rFonts w:ascii="Arial" w:eastAsia="DengXian" w:hAnsi="Arial"/>
                <w:b/>
                <w:bCs/>
                <w:sz w:val="20"/>
                <w:szCs w:val="20"/>
                <w:lang w:val="en-GB"/>
              </w:rPr>
              <w:t>Tích hợp Công nghệ Số:</w:t>
            </w:r>
            <w:r w:rsidRPr="009C7709">
              <w:rPr>
                <w:rFonts w:ascii="Arial" w:eastAsia="DengXian" w:hAnsi="Arial"/>
                <w:sz w:val="20"/>
                <w:szCs w:val="20"/>
                <w:lang w:val="en-GB"/>
              </w:rPr>
              <w:t xml:space="preserve"> Triển khai các công nghệ có thể cung cấp khả năng theo dõi và hiển thị theo thời gian thực, cũng như tự động hóa quy trình nhằm nâng cao tính minh bạch, sự hài lòng của khách hàng và hiệu quả vận hành.</w:t>
            </w:r>
          </w:p>
        </w:tc>
      </w:tr>
      <w:tr w:rsidR="000B4BA7" w:rsidRPr="004F1D15" w14:paraId="58E71248" w14:textId="77777777" w:rsidTr="6BB67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tcPr>
          <w:p w14:paraId="1562A261" w14:textId="1FB6BF68" w:rsidR="000B4BA7" w:rsidRPr="00BF0A76" w:rsidRDefault="00023D78" w:rsidP="00564F10">
            <w:pPr>
              <w:jc w:val="center"/>
              <w:rPr>
                <w:sz w:val="20"/>
                <w:szCs w:val="20"/>
                <w:lang w:val="vi-VN"/>
              </w:rPr>
            </w:pPr>
            <w:r>
              <w:rPr>
                <w:sz w:val="20"/>
                <w:szCs w:val="20"/>
              </w:rPr>
              <w:t xml:space="preserve">6.2.1.3 </w:t>
            </w:r>
            <w:r w:rsidR="00BF0A76">
              <w:rPr>
                <w:sz w:val="20"/>
                <w:szCs w:val="20"/>
              </w:rPr>
              <w:t>Tăng</w:t>
            </w:r>
            <w:r w:rsidR="00BF0A76">
              <w:rPr>
                <w:sz w:val="20"/>
                <w:szCs w:val="20"/>
                <w:lang w:val="vi-VN"/>
              </w:rPr>
              <w:t xml:space="preserve"> cường Hạ tầng Số cốt lõi cho giao hàng chặng cuối</w:t>
            </w:r>
          </w:p>
        </w:tc>
        <w:tc>
          <w:tcPr>
            <w:tcW w:w="3764" w:type="dxa"/>
            <w:tcBorders>
              <w:left w:val="single" w:sz="4" w:space="0" w:color="156082"/>
              <w:right w:val="single" w:sz="4" w:space="0" w:color="156082"/>
            </w:tcBorders>
          </w:tcPr>
          <w:p w14:paraId="79F44EAC" w14:textId="37BCCBF1" w:rsidR="00BF0A76" w:rsidRPr="00516087" w:rsidRDefault="00BF0A76" w:rsidP="003F2974">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BF0A76">
              <w:rPr>
                <w:rFonts w:ascii="Arial" w:eastAsia="DengXian" w:hAnsi="Arial"/>
                <w:b/>
                <w:bCs/>
                <w:color w:val="auto"/>
                <w:sz w:val="20"/>
                <w:szCs w:val="20"/>
                <w:lang w:val="en-GB"/>
              </w:rPr>
              <w:t xml:space="preserve">Tích hợp Internet vạn vật (IoT): </w:t>
            </w:r>
            <w:r w:rsidRPr="00BF0A76">
              <w:rPr>
                <w:rFonts w:ascii="Arial" w:eastAsia="DengXian" w:hAnsi="Arial"/>
                <w:color w:val="auto"/>
                <w:sz w:val="20"/>
                <w:szCs w:val="20"/>
                <w:lang w:val="en-GB"/>
              </w:rPr>
              <w:t>Phát triển một hệ sinh thái được kết nối IoT, trong đó các trung tâm giao nhận, phương tiện vận chuyển và bưu kiện được liên kết qua các mạng IoT để trao đổi dữ liệu liền mạch, cho phép theo dõi vị trí, nhiệt độ và tình trạng bưu kiện theo thời gian thực.</w:t>
            </w:r>
          </w:p>
          <w:p w14:paraId="59B2B71F" w14:textId="30C9F1DB" w:rsidR="00BF0A76" w:rsidRPr="00516087" w:rsidRDefault="00BF0A76" w:rsidP="003F2974">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BF0A76">
              <w:rPr>
                <w:rFonts w:ascii="Arial" w:eastAsia="DengXian" w:hAnsi="Arial"/>
                <w:b/>
                <w:bCs/>
                <w:color w:val="auto"/>
                <w:sz w:val="20"/>
                <w:szCs w:val="20"/>
                <w:lang w:val="en-GB"/>
              </w:rPr>
              <w:t>Triển khai Trí tuệ Nhân tạo (AI) và Học máy (ML):</w:t>
            </w:r>
            <w:r w:rsidRPr="00BF0A76">
              <w:rPr>
                <w:rFonts w:ascii="Arial" w:eastAsia="DengXian" w:hAnsi="Arial"/>
                <w:color w:val="auto"/>
                <w:sz w:val="20"/>
                <w:szCs w:val="20"/>
                <w:lang w:val="en-GB"/>
              </w:rPr>
              <w:t xml:space="preserve"> Tận dụng thuật toán AI cho tối ưu hóa lộ trình và mô hình ML để dự báo nhu cầu giao hàng và </w:t>
            </w:r>
            <w:r w:rsidRPr="00BF0A76">
              <w:rPr>
                <w:rFonts w:ascii="Arial" w:eastAsia="DengXian" w:hAnsi="Arial"/>
                <w:color w:val="auto"/>
                <w:sz w:val="20"/>
                <w:szCs w:val="20"/>
                <w:lang w:val="en-GB"/>
              </w:rPr>
              <w:lastRenderedPageBreak/>
              <w:t>phân bổ nguồn lực phù hợp, từ đó rút ngắn thời gian giao hàng và tăng hiệu quả.</w:t>
            </w:r>
          </w:p>
          <w:p w14:paraId="7AD58919" w14:textId="66AAEF2B" w:rsidR="00BF0A76" w:rsidRPr="004F1D15" w:rsidRDefault="00BF0A76" w:rsidP="00C82E40">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b/>
                <w:color w:val="auto"/>
                <w:sz w:val="20"/>
                <w:szCs w:val="20"/>
                <w:lang w:val="en-GB"/>
              </w:rPr>
            </w:pPr>
            <w:r w:rsidRPr="00BF0A76">
              <w:rPr>
                <w:rFonts w:ascii="Arial" w:hAnsi="Arial"/>
                <w:b/>
                <w:color w:val="auto"/>
                <w:sz w:val="20"/>
                <w:szCs w:val="20"/>
                <w:lang w:val="en-GB"/>
              </w:rPr>
              <w:t xml:space="preserve">Chuyển đổi sang Nền tảng Số: </w:t>
            </w:r>
            <w:r w:rsidRPr="00BF0A76">
              <w:rPr>
                <w:rFonts w:ascii="Arial" w:hAnsi="Arial"/>
                <w:bCs/>
                <w:color w:val="auto"/>
                <w:sz w:val="20"/>
                <w:szCs w:val="20"/>
                <w:lang w:val="en-GB"/>
              </w:rPr>
              <w:t>Xây dựng các nền tảng và ứng dụng số tập trung hóa quản lý giao hàng, cho phép phối hợp hiệu quả giữa nhà cung cấp, nhân viên giao hàng và khách hàng, đồng thời hỗ trợ khách hàng theo dõi đơn hàng theo thời gian thực, gửi phản hồi và liên hệ với nhân viên giao hàng.</w:t>
            </w:r>
          </w:p>
        </w:tc>
        <w:tc>
          <w:tcPr>
            <w:tcW w:w="3764" w:type="dxa"/>
            <w:gridSpan w:val="2"/>
            <w:tcBorders>
              <w:left w:val="single" w:sz="4" w:space="0" w:color="156082"/>
              <w:right w:val="single" w:sz="4" w:space="0" w:color="156082"/>
            </w:tcBorders>
          </w:tcPr>
          <w:p w14:paraId="09155CD9" w14:textId="707E0D0B" w:rsidR="000B4BA7" w:rsidRPr="00BF0A76" w:rsidRDefault="00BF0A76" w:rsidP="000B4BA7">
            <w:pPr>
              <w:cnfStyle w:val="000000100000" w:firstRow="0" w:lastRow="0" w:firstColumn="0" w:lastColumn="0" w:oddVBand="0" w:evenVBand="0" w:oddHBand="1" w:evenHBand="0" w:firstRowFirstColumn="0" w:firstRowLastColumn="0" w:lastRowFirstColumn="0" w:lastRowLastColumn="0"/>
              <w:rPr>
                <w:sz w:val="20"/>
                <w:szCs w:val="20"/>
                <w:lang w:val="vi-VN"/>
              </w:rPr>
            </w:pPr>
            <w:r>
              <w:rPr>
                <w:sz w:val="20"/>
                <w:szCs w:val="20"/>
                <w:lang w:val="vi-VN"/>
              </w:rPr>
              <w:lastRenderedPageBreak/>
              <w:t xml:space="preserve">Ngắn hạn: </w:t>
            </w:r>
          </w:p>
          <w:p w14:paraId="1397B1F3" w14:textId="10F9DABF" w:rsidR="000B4BA7" w:rsidRPr="004F1D15" w:rsidRDefault="00993CAE" w:rsidP="00C82E40">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olor w:val="auto"/>
                <w:sz w:val="20"/>
                <w:szCs w:val="20"/>
                <w:lang w:val="en-GB"/>
              </w:rPr>
            </w:pPr>
            <w:r w:rsidRPr="00993CAE">
              <w:rPr>
                <w:rFonts w:ascii="Arial" w:hAnsi="Arial"/>
                <w:color w:val="auto"/>
                <w:sz w:val="20"/>
                <w:szCs w:val="20"/>
                <w:lang w:val="vi-VN"/>
              </w:rPr>
              <w:t>Thực hiện các dự án thí điểm tại một số khu vực đô thị nhằm kiểm thử tích hợp IoT vào trung tâm giao nhận, phương tiện và bưu kiện.</w:t>
            </w:r>
          </w:p>
          <w:p w14:paraId="3D9264D6" w14:textId="440A38B0" w:rsidR="000B4BA7" w:rsidRPr="004F1D15" w:rsidRDefault="00993CAE" w:rsidP="00C82E40">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olor w:val="auto"/>
                <w:sz w:val="20"/>
                <w:szCs w:val="20"/>
                <w:lang w:val="en-GB"/>
              </w:rPr>
            </w:pPr>
            <w:r w:rsidRPr="00993CAE">
              <w:rPr>
                <w:rFonts w:ascii="Arial" w:hAnsi="Arial"/>
                <w:color w:val="auto"/>
                <w:sz w:val="20"/>
                <w:szCs w:val="20"/>
                <w:lang w:val="vi-VN"/>
              </w:rPr>
              <w:t>Phát triển và thử nghiệm thuật toán AI cho tối ưu hóa lộ trình tại một số thành phố thí điểm.</w:t>
            </w:r>
          </w:p>
          <w:p w14:paraId="34332A01" w14:textId="6D0B92E4" w:rsidR="000B4BA7" w:rsidRPr="004F1D15" w:rsidRDefault="00993CAE" w:rsidP="00C82E4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b/>
                <w:color w:val="auto"/>
                <w:sz w:val="20"/>
                <w:szCs w:val="20"/>
                <w:lang w:val="en-GB"/>
              </w:rPr>
            </w:pPr>
            <w:r w:rsidRPr="00993CAE">
              <w:rPr>
                <w:rFonts w:ascii="Arial" w:eastAsia="DengXian" w:hAnsi="Arial"/>
                <w:color w:val="auto"/>
                <w:sz w:val="20"/>
                <w:szCs w:val="20"/>
                <w:lang w:val="vi-VN"/>
              </w:rPr>
              <w:t>Triển khai mô hình ML ban đầu cho dự báo nhu cầu tại các khu vực thí điểm.</w:t>
            </w:r>
          </w:p>
          <w:p w14:paraId="29DF2E0C" w14:textId="6289D7B9" w:rsidR="000B4BA7" w:rsidRPr="004F1D15" w:rsidRDefault="00993CAE" w:rsidP="00C82E4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Pr>
                <w:rFonts w:ascii="Arial" w:eastAsia="DengXian" w:hAnsi="Arial"/>
                <w:color w:val="auto"/>
                <w:sz w:val="20"/>
                <w:szCs w:val="20"/>
                <w:lang w:val="vi-VN"/>
              </w:rPr>
              <w:lastRenderedPageBreak/>
              <w:t xml:space="preserve"> </w:t>
            </w:r>
            <w:r w:rsidRPr="00993CAE">
              <w:rPr>
                <w:rFonts w:ascii="Arial" w:eastAsia="DengXian" w:hAnsi="Arial"/>
                <w:color w:val="auto"/>
                <w:sz w:val="20"/>
                <w:szCs w:val="20"/>
                <w:lang w:val="vi-VN"/>
              </w:rPr>
              <w:t>Phát triển và ra mắt nền tảng số thí điểm phục vụ quản lý giao hàng tại một số khu vực đô thị.</w:t>
            </w:r>
          </w:p>
          <w:p w14:paraId="71F65959" w14:textId="3E198D45" w:rsidR="000B4BA7" w:rsidRPr="004F1D15" w:rsidRDefault="00993CAE" w:rsidP="00ED09B4">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993CAE">
              <w:rPr>
                <w:rFonts w:ascii="Arial" w:eastAsia="DengXian" w:hAnsi="Arial"/>
                <w:color w:val="auto"/>
                <w:sz w:val="20"/>
                <w:szCs w:val="20"/>
                <w:lang w:val="en-GB"/>
              </w:rPr>
              <w:t>Tạo ứng dụng di động cho nhân viên giao hàng và khách hàng, tích hợp chức năng theo dõi thời gian thực và công cụ liên lạc.</w:t>
            </w:r>
          </w:p>
          <w:p w14:paraId="12CEA71E" w14:textId="0036578B" w:rsidR="000B4BA7" w:rsidRPr="00993CAE" w:rsidRDefault="00993CAE" w:rsidP="000B4BA7">
            <w:pPr>
              <w:cnfStyle w:val="000000100000" w:firstRow="0" w:lastRow="0" w:firstColumn="0" w:lastColumn="0" w:oddVBand="0" w:evenVBand="0" w:oddHBand="1" w:evenHBand="0" w:firstRowFirstColumn="0" w:firstRowLastColumn="0" w:lastRowFirstColumn="0" w:lastRowLastColumn="0"/>
              <w:rPr>
                <w:sz w:val="20"/>
                <w:szCs w:val="20"/>
                <w:lang w:val="vi-VN"/>
              </w:rPr>
            </w:pPr>
            <w:r>
              <w:rPr>
                <w:sz w:val="20"/>
                <w:szCs w:val="20"/>
              </w:rPr>
              <w:t>Trung</w:t>
            </w:r>
            <w:r>
              <w:rPr>
                <w:sz w:val="20"/>
                <w:szCs w:val="20"/>
                <w:lang w:val="vi-VN"/>
              </w:rPr>
              <w:t xml:space="preserve"> hạn:</w:t>
            </w:r>
          </w:p>
          <w:p w14:paraId="1CEDE013" w14:textId="2214F7AF" w:rsidR="000B4BA7" w:rsidRPr="004F1D15" w:rsidRDefault="00993CAE" w:rsidP="00C82E40">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b/>
                <w:color w:val="auto"/>
                <w:sz w:val="20"/>
                <w:szCs w:val="20"/>
                <w:lang w:val="en-GB"/>
              </w:rPr>
            </w:pPr>
            <w:r w:rsidRPr="00993CAE">
              <w:rPr>
                <w:rFonts w:ascii="Arial" w:hAnsi="Arial"/>
                <w:color w:val="auto"/>
                <w:sz w:val="20"/>
                <w:szCs w:val="20"/>
                <w:lang w:val="vi-VN"/>
              </w:rPr>
              <w:t>Tích hợp nền tảng giám sát IoT với các hệ thống quản lý giao hàng hiện có.</w:t>
            </w:r>
          </w:p>
          <w:p w14:paraId="262C6D61" w14:textId="38E7A271" w:rsidR="000B4BA7" w:rsidRPr="004F1D15" w:rsidRDefault="00993CAE" w:rsidP="00C82E40">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olor w:val="auto"/>
                <w:sz w:val="20"/>
                <w:szCs w:val="20"/>
                <w:lang w:val="en-GB"/>
              </w:rPr>
            </w:pPr>
            <w:r w:rsidRPr="00993CAE">
              <w:rPr>
                <w:rFonts w:ascii="Arial" w:hAnsi="Arial"/>
                <w:color w:val="auto"/>
                <w:sz w:val="20"/>
                <w:szCs w:val="20"/>
                <w:lang w:val="vi-VN"/>
              </w:rPr>
              <w:t>Tích hợp công cụ AI và ML vào các hệ thống quản lý giao hàng hiện có để vận hành liền mạch.</w:t>
            </w:r>
          </w:p>
          <w:p w14:paraId="358E2150" w14:textId="056F5B5C" w:rsidR="000B4BA7" w:rsidRPr="000D28EF" w:rsidRDefault="00695ED8" w:rsidP="000D28EF">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olor w:val="auto"/>
                <w:sz w:val="20"/>
                <w:szCs w:val="20"/>
                <w:lang w:val="en-GB"/>
              </w:rPr>
            </w:pPr>
            <w:r w:rsidRPr="00695ED8">
              <w:rPr>
                <w:rFonts w:ascii="Arial" w:hAnsi="Arial"/>
                <w:color w:val="auto"/>
                <w:sz w:val="20"/>
                <w:szCs w:val="20"/>
                <w:lang w:val="vi-VN"/>
              </w:rPr>
              <w:t>Bổ sung các tính năng mới cho nền tảng số như tích hợp phản hồi khách hàng và lập lịch giao hàng tự động.</w:t>
            </w:r>
          </w:p>
          <w:p w14:paraId="28A0D5DA" w14:textId="4868A38E" w:rsidR="000B4BA7" w:rsidRPr="00695ED8" w:rsidRDefault="00695ED8" w:rsidP="000B4BA7">
            <w:pPr>
              <w:cnfStyle w:val="000000100000" w:firstRow="0" w:lastRow="0" w:firstColumn="0" w:lastColumn="0" w:oddVBand="0" w:evenVBand="0" w:oddHBand="1" w:evenHBand="0" w:firstRowFirstColumn="0" w:firstRowLastColumn="0" w:lastRowFirstColumn="0" w:lastRowLastColumn="0"/>
              <w:rPr>
                <w:sz w:val="20"/>
                <w:szCs w:val="20"/>
                <w:lang w:val="vi-VN"/>
              </w:rPr>
            </w:pPr>
            <w:r>
              <w:rPr>
                <w:sz w:val="20"/>
                <w:szCs w:val="20"/>
              </w:rPr>
              <w:t>Dài</w:t>
            </w:r>
            <w:r>
              <w:rPr>
                <w:sz w:val="20"/>
                <w:szCs w:val="20"/>
                <w:lang w:val="vi-VN"/>
              </w:rPr>
              <w:t xml:space="preserve"> hạn:</w:t>
            </w:r>
          </w:p>
          <w:p w14:paraId="3E69A4F6" w14:textId="55DDCB35" w:rsidR="00695ED8" w:rsidRPr="004F1D15" w:rsidRDefault="00695ED8" w:rsidP="00C82E40">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olor w:val="auto"/>
                <w:sz w:val="20"/>
                <w:szCs w:val="20"/>
                <w:lang w:val="en-GB"/>
              </w:rPr>
            </w:pPr>
            <w:r w:rsidRPr="00695ED8">
              <w:rPr>
                <w:rFonts w:ascii="Arial" w:hAnsi="Arial"/>
                <w:color w:val="auto"/>
                <w:sz w:val="20"/>
                <w:szCs w:val="20"/>
                <w:lang w:val="en-GB"/>
              </w:rPr>
              <w:t>Liên tục tinh chỉnh và cập nhật thuật toán AI và mô hình ML để thích ứng với mô hình giao hàng biến động và dữ liệu mới.</w:t>
            </w:r>
          </w:p>
          <w:p w14:paraId="480C3967" w14:textId="5086F2FA" w:rsidR="000B4BA7" w:rsidRPr="004F1D15" w:rsidRDefault="00695ED8" w:rsidP="00C82E40">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olor w:val="auto"/>
                <w:sz w:val="20"/>
                <w:szCs w:val="20"/>
                <w:lang w:val="en-GB"/>
              </w:rPr>
            </w:pPr>
            <w:r w:rsidRPr="00695ED8">
              <w:rPr>
                <w:rFonts w:ascii="Arial" w:hAnsi="Arial"/>
                <w:color w:val="auto"/>
                <w:sz w:val="20"/>
                <w:szCs w:val="20"/>
                <w:lang w:val="vi-VN"/>
              </w:rPr>
              <w:t>Cải tiến và mở rộng hệ sinh thái IoT để tích hợp nhiều tính năng nâng cao hơn như bảo trì dự đoán và cảnh báo tự động.</w:t>
            </w:r>
          </w:p>
          <w:p w14:paraId="53299B10" w14:textId="209772AF" w:rsidR="000B4BA7" w:rsidRPr="00516087" w:rsidRDefault="00695ED8" w:rsidP="00BC3004">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695ED8">
              <w:rPr>
                <w:rFonts w:ascii="Arial" w:eastAsia="DengXian" w:hAnsi="Arial"/>
                <w:color w:val="auto"/>
                <w:sz w:val="20"/>
                <w:szCs w:val="20"/>
                <w:lang w:val="vi-VN"/>
              </w:rPr>
              <w:t>Cập nhật và nâng cấp liên tục nền tảng và ứng dụng để tích hợp công nghệ mới và phản hồi từ người dùng.</w:t>
            </w:r>
          </w:p>
        </w:tc>
        <w:tc>
          <w:tcPr>
            <w:tcW w:w="2318" w:type="dxa"/>
            <w:gridSpan w:val="2"/>
            <w:tcBorders>
              <w:left w:val="single" w:sz="4" w:space="0" w:color="156082"/>
              <w:right w:val="single" w:sz="4" w:space="0" w:color="156082"/>
            </w:tcBorders>
          </w:tcPr>
          <w:p w14:paraId="31E26610" w14:textId="3ACCB210" w:rsidR="00E812CA" w:rsidRPr="00695ED8" w:rsidRDefault="00695ED8" w:rsidP="000B4BA7">
            <w:pPr>
              <w:cnfStyle w:val="000000100000" w:firstRow="0" w:lastRow="0" w:firstColumn="0" w:lastColumn="0" w:oddVBand="0" w:evenVBand="0" w:oddHBand="1" w:evenHBand="0" w:firstRowFirstColumn="0" w:firstRowLastColumn="0" w:lastRowFirstColumn="0" w:lastRowLastColumn="0"/>
              <w:rPr>
                <w:sz w:val="20"/>
                <w:szCs w:val="20"/>
                <w:lang w:val="vi-VN"/>
              </w:rPr>
            </w:pPr>
            <w:r w:rsidRPr="00695ED8">
              <w:rPr>
                <w:sz w:val="20"/>
                <w:szCs w:val="20"/>
                <w:lang w:val="vi-VN"/>
              </w:rPr>
              <w:lastRenderedPageBreak/>
              <w:t>Các cơ quan điều phối:</w:t>
            </w:r>
          </w:p>
          <w:p w14:paraId="12631117" w14:textId="0C0A9A4F" w:rsidR="000B4BA7" w:rsidRDefault="00695ED8" w:rsidP="008F3333">
            <w:pPr>
              <w:pStyle w:val="ListParagraph"/>
              <w:numPr>
                <w:ilvl w:val="0"/>
                <w:numId w:val="17"/>
              </w:numPr>
              <w:spacing w:after="0"/>
              <w:jc w:val="left"/>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695ED8">
              <w:rPr>
                <w:rFonts w:ascii="Arial" w:eastAsia="DengXian" w:hAnsi="Arial"/>
                <w:color w:val="auto"/>
                <w:sz w:val="20"/>
                <w:szCs w:val="20"/>
                <w:lang w:val="en-GB"/>
              </w:rPr>
              <w:t xml:space="preserve">Cuộc họp Quan chức Cấp cao </w:t>
            </w:r>
            <w:r w:rsidR="00616696">
              <w:rPr>
                <w:rFonts w:ascii="Arial" w:eastAsia="DengXian" w:hAnsi="Arial"/>
                <w:color w:val="auto"/>
                <w:sz w:val="20"/>
                <w:szCs w:val="20"/>
                <w:lang w:val="en-GB"/>
              </w:rPr>
              <w:t>Số</w:t>
            </w:r>
            <w:r w:rsidRPr="00695ED8">
              <w:rPr>
                <w:rFonts w:ascii="Arial" w:eastAsia="DengXian" w:hAnsi="Arial"/>
                <w:color w:val="auto"/>
                <w:sz w:val="20"/>
                <w:szCs w:val="20"/>
                <w:lang w:val="en-GB"/>
              </w:rPr>
              <w:t xml:space="preserve"> ASEAN </w:t>
            </w:r>
            <w:r w:rsidR="008F3333">
              <w:rPr>
                <w:rFonts w:ascii="Arial" w:eastAsia="DengXian" w:hAnsi="Arial"/>
                <w:color w:val="auto"/>
                <w:sz w:val="20"/>
                <w:szCs w:val="20"/>
                <w:lang w:val="en-GB"/>
              </w:rPr>
              <w:t>(ADGSOM)</w:t>
            </w:r>
          </w:p>
          <w:p w14:paraId="04F7C2FB" w14:textId="3C5A1C3A" w:rsidR="00E812CA" w:rsidRPr="00E1058A" w:rsidRDefault="00CA2F01" w:rsidP="00E812CA">
            <w:pPr>
              <w:pStyle w:val="ListParagraph"/>
              <w:numPr>
                <w:ilvl w:val="0"/>
                <w:numId w:val="17"/>
              </w:numPr>
              <w:spacing w:after="0"/>
              <w:jc w:val="left"/>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CA2F01">
              <w:rPr>
                <w:rFonts w:ascii="Arial" w:eastAsia="DengXian" w:hAnsi="Arial"/>
                <w:color w:val="auto"/>
                <w:sz w:val="20"/>
                <w:szCs w:val="20"/>
                <w:lang w:val="en-GB"/>
              </w:rPr>
              <w:t xml:space="preserve">Ủy ban Điều phối ASEAN về Thương mại Điện tử và Kinh tế Số </w:t>
            </w:r>
            <w:r w:rsidR="00E812CA" w:rsidRPr="00E1058A">
              <w:rPr>
                <w:rFonts w:ascii="Arial" w:eastAsia="DengXian" w:hAnsi="Arial"/>
                <w:color w:val="auto"/>
                <w:sz w:val="20"/>
                <w:szCs w:val="20"/>
                <w:lang w:val="en-GB"/>
              </w:rPr>
              <w:t>(ACCED)</w:t>
            </w:r>
          </w:p>
          <w:p w14:paraId="6D6A4424" w14:textId="77777777" w:rsidR="006F65A0" w:rsidRPr="00E1058A" w:rsidRDefault="006F65A0" w:rsidP="00C256B2">
            <w:pPr>
              <w:jc w:val="left"/>
              <w:cnfStyle w:val="000000100000" w:firstRow="0" w:lastRow="0" w:firstColumn="0" w:lastColumn="0" w:oddVBand="0" w:evenVBand="0" w:oddHBand="1" w:evenHBand="0" w:firstRowFirstColumn="0" w:firstRowLastColumn="0" w:lastRowFirstColumn="0" w:lastRowLastColumn="0"/>
              <w:rPr>
                <w:sz w:val="20"/>
                <w:szCs w:val="20"/>
              </w:rPr>
            </w:pPr>
          </w:p>
          <w:p w14:paraId="66BD70BB" w14:textId="737992B0" w:rsidR="00C256B2" w:rsidRPr="00E1058A" w:rsidRDefault="00CA2F01" w:rsidP="00C256B2">
            <w:pPr>
              <w:jc w:val="left"/>
              <w:cnfStyle w:val="000000100000" w:firstRow="0" w:lastRow="0" w:firstColumn="0" w:lastColumn="0" w:oddVBand="0" w:evenVBand="0" w:oddHBand="1" w:evenHBand="0" w:firstRowFirstColumn="0" w:firstRowLastColumn="0" w:lastRowFirstColumn="0" w:lastRowLastColumn="0"/>
              <w:rPr>
                <w:sz w:val="20"/>
                <w:szCs w:val="20"/>
              </w:rPr>
            </w:pPr>
            <w:r w:rsidRPr="00CA2F01">
              <w:rPr>
                <w:sz w:val="20"/>
                <w:szCs w:val="20"/>
              </w:rPr>
              <w:t>Cơ quan hỗ trợ</w:t>
            </w:r>
            <w:r w:rsidR="00C256B2" w:rsidRPr="00E1058A">
              <w:rPr>
                <w:sz w:val="20"/>
                <w:szCs w:val="20"/>
              </w:rPr>
              <w:t>:</w:t>
            </w:r>
          </w:p>
          <w:p w14:paraId="0E05080B" w14:textId="09E68783" w:rsidR="00C256B2" w:rsidRPr="00E812CA" w:rsidRDefault="00CA2F01" w:rsidP="00C256B2">
            <w:pPr>
              <w:pStyle w:val="ListParagraph"/>
              <w:numPr>
                <w:ilvl w:val="0"/>
                <w:numId w:val="17"/>
              </w:numPr>
              <w:spacing w:after="0"/>
              <w:jc w:val="left"/>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CA2F01">
              <w:rPr>
                <w:rFonts w:ascii="Arial" w:eastAsia="DengXian" w:hAnsi="Arial"/>
                <w:color w:val="auto"/>
                <w:sz w:val="20"/>
                <w:szCs w:val="20"/>
                <w:lang w:val="en-GB"/>
              </w:rPr>
              <w:lastRenderedPageBreak/>
              <w:t xml:space="preserve">Nhóm Công tác Tiêu chuẩn và Hợp chuẩn Thương mại Số </w:t>
            </w:r>
            <w:r w:rsidR="00C256B2" w:rsidRPr="00E812CA">
              <w:rPr>
                <w:rFonts w:ascii="Arial" w:eastAsia="DengXian" w:hAnsi="Arial"/>
                <w:color w:val="auto"/>
                <w:sz w:val="20"/>
                <w:szCs w:val="20"/>
                <w:lang w:val="en-GB"/>
              </w:rPr>
              <w:t>(DTSCWG)</w:t>
            </w:r>
          </w:p>
          <w:p w14:paraId="1891E417" w14:textId="09D36069" w:rsidR="00E812CA" w:rsidRPr="00E812CA" w:rsidRDefault="00E812CA" w:rsidP="00E812CA">
            <w:pPr>
              <w:jc w:val="left"/>
              <w:cnfStyle w:val="000000100000" w:firstRow="0" w:lastRow="0" w:firstColumn="0" w:lastColumn="0" w:oddVBand="0" w:evenVBand="0" w:oddHBand="1" w:evenHBand="0" w:firstRowFirstColumn="0" w:firstRowLastColumn="0" w:lastRowFirstColumn="0" w:lastRowLastColumn="0"/>
              <w:rPr>
                <w:sz w:val="20"/>
                <w:szCs w:val="20"/>
              </w:rPr>
            </w:pPr>
          </w:p>
        </w:tc>
        <w:tc>
          <w:tcPr>
            <w:tcW w:w="3774" w:type="dxa"/>
            <w:gridSpan w:val="2"/>
            <w:tcBorders>
              <w:left w:val="single" w:sz="4" w:space="0" w:color="156082"/>
            </w:tcBorders>
          </w:tcPr>
          <w:p w14:paraId="16EC8B65" w14:textId="0F5A961D" w:rsidR="000B4BA7" w:rsidRPr="004F1D15" w:rsidRDefault="00CA2F01" w:rsidP="000B4BA7">
            <w:pPr>
              <w:cnfStyle w:val="000000100000" w:firstRow="0" w:lastRow="0" w:firstColumn="0" w:lastColumn="0" w:oddVBand="0" w:evenVBand="0" w:oddHBand="1" w:evenHBand="0" w:firstRowFirstColumn="0" w:firstRowLastColumn="0" w:lastRowFirstColumn="0" w:lastRowLastColumn="0"/>
              <w:rPr>
                <w:sz w:val="20"/>
                <w:szCs w:val="20"/>
              </w:rPr>
            </w:pPr>
            <w:r w:rsidRPr="00CA2F01">
              <w:rPr>
                <w:sz w:val="20"/>
                <w:szCs w:val="20"/>
              </w:rPr>
              <w:lastRenderedPageBreak/>
              <w:t>Các thước đo tiến độ chung gồm</w:t>
            </w:r>
            <w:r w:rsidR="000B4BA7" w:rsidRPr="004F1D15">
              <w:rPr>
                <w:sz w:val="20"/>
                <w:szCs w:val="20"/>
              </w:rPr>
              <w:t>:</w:t>
            </w:r>
          </w:p>
          <w:p w14:paraId="53120DAC" w14:textId="5178D69F" w:rsidR="00CA2F01" w:rsidRPr="00CA2F01" w:rsidRDefault="00CA2F01" w:rsidP="00C82E40">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bCs/>
                <w:color w:val="auto"/>
                <w:sz w:val="20"/>
                <w:szCs w:val="20"/>
                <w:lang w:val="en-GB"/>
              </w:rPr>
            </w:pPr>
            <w:r w:rsidRPr="00CA2F01">
              <w:rPr>
                <w:rFonts w:ascii="Arial" w:hAnsi="Arial"/>
                <w:b/>
                <w:color w:val="auto"/>
                <w:sz w:val="20"/>
                <w:szCs w:val="20"/>
                <w:lang w:val="en-GB"/>
              </w:rPr>
              <w:t xml:space="preserve">Triển khai Cảm biến IoT: </w:t>
            </w:r>
            <w:r w:rsidRPr="00CA2F01">
              <w:rPr>
                <w:rFonts w:ascii="Arial" w:hAnsi="Arial"/>
                <w:bCs/>
                <w:color w:val="auto"/>
                <w:sz w:val="20"/>
                <w:szCs w:val="20"/>
                <w:lang w:val="en-GB"/>
              </w:rPr>
              <w:t>Số lượng phương tiện giao hàng và bưu kiện được trang bị cảm biến IoT.</w:t>
            </w:r>
          </w:p>
          <w:p w14:paraId="42A671BC" w14:textId="4C59ECE7" w:rsidR="00CA2F01" w:rsidRPr="00CA2F01" w:rsidRDefault="00CA2F01" w:rsidP="00C82E40">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bCs/>
                <w:color w:val="auto"/>
                <w:sz w:val="20"/>
                <w:szCs w:val="20"/>
                <w:lang w:val="en-GB"/>
              </w:rPr>
            </w:pPr>
            <w:r w:rsidRPr="00CA2F01">
              <w:rPr>
                <w:rFonts w:ascii="Arial" w:hAnsi="Arial"/>
                <w:b/>
                <w:color w:val="auto"/>
                <w:sz w:val="20"/>
                <w:szCs w:val="20"/>
                <w:lang w:val="en-GB"/>
              </w:rPr>
              <w:t xml:space="preserve">Triển khai Giám sát Thời gian thực: </w:t>
            </w:r>
            <w:r w:rsidRPr="00CA2F01">
              <w:rPr>
                <w:rFonts w:ascii="Arial" w:hAnsi="Arial"/>
                <w:bCs/>
                <w:color w:val="auto"/>
                <w:sz w:val="20"/>
                <w:szCs w:val="20"/>
                <w:lang w:val="en-GB"/>
              </w:rPr>
              <w:t>Số lượng trung tâm giao nhận có khả năng giám sát IoT theo thời gian thực.</w:t>
            </w:r>
          </w:p>
          <w:p w14:paraId="72BFD5F0" w14:textId="597FB236" w:rsidR="00CA2F01" w:rsidRPr="004F1D15" w:rsidRDefault="00CA2F01" w:rsidP="00C82E40">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olor w:val="auto"/>
                <w:sz w:val="20"/>
                <w:szCs w:val="20"/>
                <w:lang w:val="en-GB"/>
              </w:rPr>
            </w:pPr>
            <w:r w:rsidRPr="00CA2F01">
              <w:rPr>
                <w:rFonts w:ascii="Arial" w:hAnsi="Arial"/>
                <w:b/>
                <w:bCs/>
                <w:color w:val="auto"/>
                <w:sz w:val="20"/>
                <w:szCs w:val="20"/>
                <w:lang w:val="en-GB"/>
              </w:rPr>
              <w:t>Tối ưu hóa Lộ trình bằng AI:</w:t>
            </w:r>
            <w:r w:rsidRPr="00CA2F01">
              <w:rPr>
                <w:rFonts w:ascii="Arial" w:hAnsi="Arial"/>
                <w:color w:val="auto"/>
                <w:sz w:val="20"/>
                <w:szCs w:val="20"/>
                <w:lang w:val="en-GB"/>
              </w:rPr>
              <w:t xml:space="preserve"> Tỷ lệ giảm thời gian giao hàng trung bình nhờ tối ưu hóa lộ trình bằng AI.</w:t>
            </w:r>
          </w:p>
          <w:p w14:paraId="699C6D1C" w14:textId="6201A72F" w:rsidR="00CA2F01" w:rsidRPr="00CA2F01" w:rsidRDefault="00CA2F01" w:rsidP="00C82E40">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bCs/>
                <w:color w:val="auto"/>
                <w:sz w:val="20"/>
                <w:szCs w:val="20"/>
                <w:lang w:val="en-GB"/>
              </w:rPr>
            </w:pPr>
            <w:r w:rsidRPr="00CA2F01">
              <w:rPr>
                <w:rFonts w:ascii="Arial" w:hAnsi="Arial"/>
                <w:b/>
                <w:color w:val="auto"/>
                <w:sz w:val="20"/>
                <w:szCs w:val="20"/>
                <w:lang w:val="vi-VN"/>
              </w:rPr>
              <w:lastRenderedPageBreak/>
              <w:t xml:space="preserve">Mức độ Chấp nhận Nền tảng Số: </w:t>
            </w:r>
            <w:r w:rsidRPr="00CA2F01">
              <w:rPr>
                <w:rFonts w:ascii="Arial" w:hAnsi="Arial"/>
                <w:bCs/>
                <w:color w:val="auto"/>
                <w:sz w:val="20"/>
                <w:szCs w:val="20"/>
                <w:lang w:val="vi-VN"/>
              </w:rPr>
              <w:t>Tỷ lệ áp dụng nền tảng và ứng dụng số trong số nhà cung cấp, nhân viên giao hàng và khách hàng, theo dõi mức độ chuyển đổi từ quản lý giao hàng truyền thống sang quản lý số.</w:t>
            </w:r>
          </w:p>
          <w:p w14:paraId="2BCFDF0D" w14:textId="4356950A" w:rsidR="00CA2F01" w:rsidRPr="004F1D15" w:rsidRDefault="00CA2F01" w:rsidP="00C82E40">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olor w:val="auto"/>
                <w:sz w:val="20"/>
                <w:szCs w:val="20"/>
                <w:lang w:val="en-GB"/>
              </w:rPr>
            </w:pPr>
            <w:r w:rsidRPr="00EC4E4D">
              <w:rPr>
                <w:rFonts w:ascii="Arial" w:hAnsi="Arial"/>
                <w:b/>
                <w:bCs/>
                <w:color w:val="auto"/>
                <w:sz w:val="20"/>
                <w:szCs w:val="20"/>
                <w:lang w:val="en-GB"/>
              </w:rPr>
              <w:t>Phối hợp Vận hành:</w:t>
            </w:r>
            <w:r w:rsidRPr="00CA2F01">
              <w:rPr>
                <w:rFonts w:ascii="Arial" w:hAnsi="Arial"/>
                <w:color w:val="auto"/>
                <w:sz w:val="20"/>
                <w:szCs w:val="20"/>
                <w:lang w:val="en-GB"/>
              </w:rPr>
              <w:t xml:space="preserve"> Đánh giá mức cải thiện trong phối hợp và giao tiếp giữa nhà cung cấp, nhân viên giao hàng và khách hàng, tập trung vào hiệu quả và mức độ hiệu quả của việc quản lý giao hàng thông qua nền tảng số.</w:t>
            </w:r>
          </w:p>
          <w:p w14:paraId="78651517" w14:textId="79AA5785" w:rsidR="000B4BA7" w:rsidRPr="004F1D15" w:rsidRDefault="000B4BA7" w:rsidP="000B4BA7">
            <w:pPr>
              <w:cnfStyle w:val="000000100000" w:firstRow="0" w:lastRow="0" w:firstColumn="0" w:lastColumn="0" w:oddVBand="0" w:evenVBand="0" w:oddHBand="1" w:evenHBand="0" w:firstRowFirstColumn="0" w:firstRowLastColumn="0" w:lastRowFirstColumn="0" w:lastRowLastColumn="0"/>
              <w:rPr>
                <w:sz w:val="20"/>
                <w:szCs w:val="20"/>
              </w:rPr>
            </w:pPr>
          </w:p>
        </w:tc>
      </w:tr>
    </w:tbl>
    <w:p w14:paraId="4DA71C02" w14:textId="65D3D903" w:rsidR="00964CC3" w:rsidRPr="004F1D15" w:rsidRDefault="00232FEF" w:rsidP="00964CC3">
      <w:pPr>
        <w:pStyle w:val="Heading3"/>
        <w:rPr>
          <w:lang w:val="en-GB"/>
        </w:rPr>
      </w:pPr>
      <w:r>
        <w:rPr>
          <w:lang w:val="en-GB"/>
        </w:rPr>
        <w:lastRenderedPageBreak/>
        <w:t>Ti</w:t>
      </w:r>
      <w:r>
        <w:rPr>
          <w:lang w:val="vi-VN"/>
        </w:rPr>
        <w:t>ểu lĩnh vực</w:t>
      </w:r>
      <w:r w:rsidR="00964CC3" w:rsidRPr="004F1D15">
        <w:rPr>
          <w:lang w:val="en-GB"/>
        </w:rPr>
        <w:t xml:space="preserve">: </w:t>
      </w:r>
      <w:r>
        <w:rPr>
          <w:lang w:val="en-GB"/>
        </w:rPr>
        <w:t>Khung</w:t>
      </w:r>
      <w:r>
        <w:rPr>
          <w:lang w:val="vi-VN"/>
        </w:rPr>
        <w:t xml:space="preserve"> hải quan</w:t>
      </w:r>
      <w:r w:rsidR="00964CC3" w:rsidRPr="004F1D15">
        <w:rPr>
          <w:lang w:val="en-GB"/>
        </w:rPr>
        <w:t xml:space="preserve"> </w:t>
      </w:r>
    </w:p>
    <w:p w14:paraId="1EEA6719" w14:textId="4F760981" w:rsidR="00964CC3" w:rsidRPr="004F1D15" w:rsidRDefault="000B7F1E" w:rsidP="00C82E40">
      <w:pPr>
        <w:pStyle w:val="Heading4"/>
        <w:rPr>
          <w:sz w:val="20"/>
          <w:lang w:val="en-GB"/>
        </w:rPr>
      </w:pPr>
      <w:r>
        <w:rPr>
          <w:sz w:val="20"/>
          <w:lang w:val="en-GB"/>
        </w:rPr>
        <w:t>Danh</w:t>
      </w:r>
      <w:r>
        <w:rPr>
          <w:sz w:val="20"/>
          <w:lang w:val="vi-VN"/>
        </w:rPr>
        <w:t xml:space="preserve"> mục</w:t>
      </w:r>
      <w:r w:rsidRPr="004F1D15">
        <w:rPr>
          <w:sz w:val="20"/>
          <w:lang w:val="en-GB"/>
        </w:rPr>
        <w:t xml:space="preserve"> </w:t>
      </w:r>
      <w:r w:rsidR="00964CC3" w:rsidRPr="004F1D15">
        <w:rPr>
          <w:sz w:val="20"/>
          <w:lang w:val="en-GB"/>
        </w:rPr>
        <w:t>1:</w:t>
      </w:r>
      <w:r w:rsidR="00232FEF">
        <w:rPr>
          <w:sz w:val="20"/>
          <w:lang w:val="vi-VN"/>
        </w:rPr>
        <w:t xml:space="preserve"> Điều chỉnh và phối hợp chính </w:t>
      </w:r>
      <w:r w:rsidR="002C6651">
        <w:rPr>
          <w:sz w:val="20"/>
          <w:lang w:val="vi-VN"/>
        </w:rPr>
        <w:t>sách</w:t>
      </w:r>
    </w:p>
    <w:tbl>
      <w:tblPr>
        <w:tblStyle w:val="ListTable3-Accent11"/>
        <w:tblW w:w="15313" w:type="dxa"/>
        <w:tblLook w:val="04A0" w:firstRow="1" w:lastRow="0" w:firstColumn="1" w:lastColumn="0" w:noHBand="0" w:noVBand="1"/>
      </w:tblPr>
      <w:tblGrid>
        <w:gridCol w:w="1541"/>
        <w:gridCol w:w="3286"/>
        <w:gridCol w:w="712"/>
        <w:gridCol w:w="3608"/>
        <w:gridCol w:w="20"/>
        <w:gridCol w:w="2841"/>
        <w:gridCol w:w="14"/>
        <w:gridCol w:w="3291"/>
      </w:tblGrid>
      <w:tr w:rsidR="00CA49BA" w:rsidRPr="004F1D15" w14:paraId="1AEAC38D" w14:textId="77777777" w:rsidTr="00AC0A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41" w:type="dxa"/>
            <w:tcBorders>
              <w:bottom w:val="single" w:sz="4" w:space="0" w:color="156082"/>
            </w:tcBorders>
            <w:shd w:val="clear" w:color="auto" w:fill="002060"/>
          </w:tcPr>
          <w:p w14:paraId="2779F086" w14:textId="00278611" w:rsidR="00CA49BA" w:rsidRPr="007C43FD" w:rsidRDefault="007C43FD" w:rsidP="00564F10">
            <w:pPr>
              <w:spacing w:line="276" w:lineRule="auto"/>
              <w:jc w:val="center"/>
              <w:rPr>
                <w:sz w:val="20"/>
                <w:szCs w:val="20"/>
                <w:lang w:val="vi-VN"/>
              </w:rPr>
            </w:pPr>
            <w:r>
              <w:rPr>
                <w:sz w:val="20"/>
                <w:szCs w:val="20"/>
              </w:rPr>
              <w:t>Khu</w:t>
            </w:r>
            <w:r>
              <w:rPr>
                <w:sz w:val="20"/>
                <w:szCs w:val="20"/>
                <w:lang w:val="vi-VN"/>
              </w:rPr>
              <w:t xml:space="preserve"> vực hành động</w:t>
            </w:r>
          </w:p>
        </w:tc>
        <w:tc>
          <w:tcPr>
            <w:tcW w:w="3998" w:type="dxa"/>
            <w:gridSpan w:val="2"/>
            <w:shd w:val="clear" w:color="auto" w:fill="002060"/>
          </w:tcPr>
          <w:p w14:paraId="0C0D06D8" w14:textId="22DF7BB9" w:rsidR="00CA49BA" w:rsidRPr="007C43FD" w:rsidRDefault="007C43FD" w:rsidP="00564F10">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Lĩnh</w:t>
            </w:r>
            <w:r>
              <w:rPr>
                <w:sz w:val="20"/>
                <w:szCs w:val="20"/>
                <w:lang w:val="vi-VN"/>
              </w:rPr>
              <w:t xml:space="preserve"> vực </w:t>
            </w:r>
            <w:r w:rsidR="00BB77FF">
              <w:rPr>
                <w:sz w:val="20"/>
                <w:szCs w:val="20"/>
                <w:lang w:val="vi-VN"/>
              </w:rPr>
              <w:t>Trọng tâm</w:t>
            </w:r>
          </w:p>
        </w:tc>
        <w:tc>
          <w:tcPr>
            <w:tcW w:w="3628" w:type="dxa"/>
            <w:gridSpan w:val="2"/>
            <w:shd w:val="clear" w:color="auto" w:fill="002060"/>
          </w:tcPr>
          <w:p w14:paraId="6ACC4EDA" w14:textId="710A4EDE" w:rsidR="00CA49BA" w:rsidRPr="004F1D15" w:rsidRDefault="0085601C" w:rsidP="00564F10">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Các</w:t>
            </w:r>
            <w:r>
              <w:rPr>
                <w:sz w:val="20"/>
                <w:szCs w:val="20"/>
                <w:lang w:val="vi-VN"/>
              </w:rPr>
              <w:t xml:space="preserve"> mốc đề xuất và Khung thời gina dự kiến</w:t>
            </w:r>
            <w:r w:rsidR="00CA49BA" w:rsidRPr="004F1D15">
              <w:rPr>
                <w:sz w:val="20"/>
                <w:szCs w:val="20"/>
                <w:vertAlign w:val="superscript"/>
              </w:rPr>
              <w:footnoteReference w:id="329"/>
            </w:r>
          </w:p>
        </w:tc>
        <w:tc>
          <w:tcPr>
            <w:tcW w:w="2855" w:type="dxa"/>
            <w:gridSpan w:val="2"/>
            <w:shd w:val="clear" w:color="auto" w:fill="002060"/>
          </w:tcPr>
          <w:p w14:paraId="3AF9FEDA" w14:textId="7BCA8E59" w:rsidR="00CA49BA" w:rsidRPr="0085601C" w:rsidRDefault="0085601C" w:rsidP="00564F10">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Các</w:t>
            </w:r>
            <w:r>
              <w:rPr>
                <w:sz w:val="20"/>
                <w:szCs w:val="20"/>
                <w:lang w:val="vi-VN"/>
              </w:rPr>
              <w:t xml:space="preserve"> bên chịu trách nhiệm</w:t>
            </w:r>
          </w:p>
        </w:tc>
        <w:tc>
          <w:tcPr>
            <w:tcW w:w="3291" w:type="dxa"/>
            <w:shd w:val="clear" w:color="auto" w:fill="002060"/>
          </w:tcPr>
          <w:p w14:paraId="23B2BC33" w14:textId="79663938" w:rsidR="00CA49BA" w:rsidRPr="0085601C" w:rsidRDefault="0085601C" w:rsidP="00564F10">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Thước</w:t>
            </w:r>
            <w:r>
              <w:rPr>
                <w:sz w:val="20"/>
                <w:szCs w:val="20"/>
                <w:lang w:val="vi-VN"/>
              </w:rPr>
              <w:t xml:space="preserve"> đo tiến độ</w:t>
            </w:r>
          </w:p>
        </w:tc>
      </w:tr>
      <w:tr w:rsidR="00CA49BA" w:rsidRPr="004F1D15" w14:paraId="52361CFC" w14:textId="77777777" w:rsidTr="00AC0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1" w:type="dxa"/>
            <w:tcBorders>
              <w:right w:val="single" w:sz="4" w:space="0" w:color="156082"/>
            </w:tcBorders>
            <w:shd w:val="clear" w:color="auto" w:fill="00B0F0"/>
          </w:tcPr>
          <w:p w14:paraId="3B5CB597" w14:textId="6F6B328A" w:rsidR="00CA49BA" w:rsidRPr="007C43FD" w:rsidRDefault="007C43FD" w:rsidP="00564F10">
            <w:pPr>
              <w:spacing w:line="276" w:lineRule="auto"/>
              <w:jc w:val="center"/>
              <w:rPr>
                <w:sz w:val="20"/>
                <w:szCs w:val="20"/>
                <w:lang w:val="vi-VN"/>
              </w:rPr>
            </w:pPr>
            <w:r>
              <w:rPr>
                <w:sz w:val="20"/>
                <w:szCs w:val="20"/>
              </w:rPr>
              <w:t>Khu</w:t>
            </w:r>
            <w:r>
              <w:rPr>
                <w:sz w:val="20"/>
                <w:szCs w:val="20"/>
                <w:lang w:val="vi-VN"/>
              </w:rPr>
              <w:t xml:space="preserve"> vực hành động chính</w:t>
            </w:r>
          </w:p>
        </w:tc>
        <w:tc>
          <w:tcPr>
            <w:tcW w:w="13772" w:type="dxa"/>
            <w:gridSpan w:val="7"/>
            <w:tcBorders>
              <w:left w:val="single" w:sz="4" w:space="0" w:color="156082"/>
            </w:tcBorders>
            <w:shd w:val="clear" w:color="auto" w:fill="00B0F0"/>
          </w:tcPr>
          <w:p w14:paraId="6EAF32A0" w14:textId="45E9425D" w:rsidR="00CA49BA" w:rsidRPr="004F1D15" w:rsidRDefault="006D2E65" w:rsidP="00662D82">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b/>
                <w:bCs/>
                <w:sz w:val="20"/>
                <w:szCs w:val="20"/>
              </w:rPr>
            </w:pPr>
            <w:r>
              <w:rPr>
                <w:b/>
                <w:bCs/>
                <w:sz w:val="20"/>
                <w:szCs w:val="20"/>
              </w:rPr>
              <w:t>6.2.2.1</w:t>
            </w:r>
            <w:r w:rsidR="2AC5A969" w:rsidRPr="004F1D15">
              <w:rPr>
                <w:b/>
                <w:bCs/>
                <w:sz w:val="20"/>
                <w:szCs w:val="20"/>
              </w:rPr>
              <w:t xml:space="preserve"> </w:t>
            </w:r>
            <w:r w:rsidR="0085601C">
              <w:rPr>
                <w:b/>
                <w:bCs/>
                <w:sz w:val="20"/>
                <w:szCs w:val="20"/>
              </w:rPr>
              <w:t>Phát</w:t>
            </w:r>
            <w:r w:rsidR="0085601C">
              <w:rPr>
                <w:b/>
                <w:bCs/>
                <w:sz w:val="20"/>
                <w:szCs w:val="20"/>
                <w:lang w:val="vi-VN"/>
              </w:rPr>
              <w:t xml:space="preserve"> triển Thế hệ mới của </w:t>
            </w:r>
            <w:r w:rsidR="00186CB9">
              <w:rPr>
                <w:b/>
                <w:bCs/>
                <w:sz w:val="20"/>
                <w:szCs w:val="20"/>
                <w:lang w:val="vi-VN"/>
              </w:rPr>
              <w:t>Cơ chế một cửa ASEAN (ASEAN Single Window - ASW)</w:t>
            </w:r>
            <w:r w:rsidR="00CA49BA" w:rsidRPr="004F1D15">
              <w:rPr>
                <w:rStyle w:val="FootnoteReference"/>
                <w:b/>
                <w:bCs/>
                <w:color w:val="3B3838" w:themeColor="background2" w:themeShade="40"/>
                <w:sz w:val="20"/>
                <w:szCs w:val="20"/>
              </w:rPr>
              <w:footnoteReference w:id="330"/>
            </w:r>
          </w:p>
        </w:tc>
      </w:tr>
      <w:tr w:rsidR="00CA49BA" w:rsidRPr="004F1D15" w14:paraId="155FACC9" w14:textId="77777777" w:rsidTr="00AC0AE1">
        <w:tc>
          <w:tcPr>
            <w:cnfStyle w:val="001000000000" w:firstRow="0" w:lastRow="0" w:firstColumn="1" w:lastColumn="0" w:oddVBand="0" w:evenVBand="0" w:oddHBand="0" w:evenHBand="0" w:firstRowFirstColumn="0" w:firstRowLastColumn="0" w:lastRowFirstColumn="0" w:lastRowLastColumn="0"/>
            <w:tcW w:w="1541" w:type="dxa"/>
            <w:tcBorders>
              <w:top w:val="single" w:sz="4" w:space="0" w:color="156082"/>
              <w:bottom w:val="single" w:sz="4" w:space="0" w:color="156082"/>
              <w:right w:val="single" w:sz="4" w:space="0" w:color="156082"/>
            </w:tcBorders>
            <w:shd w:val="clear" w:color="auto" w:fill="BDD6EE" w:themeFill="accent5" w:themeFillTint="66"/>
          </w:tcPr>
          <w:p w14:paraId="0102C8F1" w14:textId="70DDC7D9" w:rsidR="00CA49BA" w:rsidRPr="009A548F" w:rsidRDefault="009A548F" w:rsidP="00564F10">
            <w:pPr>
              <w:spacing w:line="276" w:lineRule="auto"/>
              <w:jc w:val="center"/>
              <w:rPr>
                <w:sz w:val="20"/>
                <w:szCs w:val="20"/>
                <w:lang w:val="vi-VN"/>
              </w:rPr>
            </w:pPr>
            <w:r>
              <w:rPr>
                <w:sz w:val="20"/>
                <w:szCs w:val="20"/>
              </w:rPr>
              <w:t>Mục</w:t>
            </w:r>
            <w:r>
              <w:rPr>
                <w:sz w:val="20"/>
                <w:szCs w:val="20"/>
                <w:lang w:val="vi-VN"/>
              </w:rPr>
              <w:t xml:space="preserve"> tiêu</w:t>
            </w:r>
          </w:p>
        </w:tc>
        <w:tc>
          <w:tcPr>
            <w:tcW w:w="13772" w:type="dxa"/>
            <w:gridSpan w:val="7"/>
            <w:tcBorders>
              <w:left w:val="single" w:sz="4" w:space="0" w:color="156082"/>
            </w:tcBorders>
            <w:shd w:val="clear" w:color="auto" w:fill="BDD6EE" w:themeFill="accent5" w:themeFillTint="66"/>
          </w:tcPr>
          <w:p w14:paraId="09FC1827" w14:textId="0425467D" w:rsidR="00A97AE9" w:rsidRPr="00A97AE9" w:rsidRDefault="00A97AE9" w:rsidP="687AFA94">
            <w:pPr>
              <w:pStyle w:val="ListParagraph"/>
              <w:spacing w:after="0"/>
              <w:cnfStyle w:val="000000000000" w:firstRow="0" w:lastRow="0" w:firstColumn="0" w:lastColumn="0" w:oddVBand="0" w:evenVBand="0" w:oddHBand="0" w:evenHBand="0" w:firstRowFirstColumn="0" w:firstRowLastColumn="0" w:lastRowFirstColumn="0" w:lastRowLastColumn="0"/>
              <w:rPr>
                <w:rFonts w:ascii="Arial" w:eastAsia="DengXian" w:hAnsi="Arial"/>
                <w:bCs/>
                <w:sz w:val="20"/>
                <w:szCs w:val="20"/>
                <w:lang w:val="en-GB"/>
              </w:rPr>
            </w:pPr>
            <w:r w:rsidRPr="00A97AE9">
              <w:rPr>
                <w:rFonts w:ascii="Arial" w:eastAsia="DengXian" w:hAnsi="Arial"/>
                <w:b/>
                <w:sz w:val="20"/>
                <w:szCs w:val="20"/>
                <w:lang w:val="en-GB"/>
              </w:rPr>
              <w:t xml:space="preserve">Tăng cường niềm tin và an ninh: </w:t>
            </w:r>
            <w:r w:rsidRPr="00A97AE9">
              <w:rPr>
                <w:rFonts w:ascii="Arial" w:eastAsia="DengXian" w:hAnsi="Arial"/>
                <w:bCs/>
                <w:sz w:val="20"/>
                <w:szCs w:val="20"/>
                <w:lang w:val="en-GB"/>
              </w:rPr>
              <w:t>Ứng dụng các công nghệ an ninh để bảo đảm khả năng tương tác tin cậy giữa chính phủ và doanh nghiệp, nâng cao tính an toàn và độ tin cậy của quy trình thương mại điện tử.</w:t>
            </w:r>
          </w:p>
          <w:p w14:paraId="49E94743" w14:textId="3C5066B0" w:rsidR="00CA49BA" w:rsidRPr="00DF6531" w:rsidRDefault="00A97AE9" w:rsidP="00DF6531">
            <w:pPr>
              <w:pStyle w:val="ListParagraph"/>
              <w:spacing w:after="0"/>
              <w:cnfStyle w:val="000000000000" w:firstRow="0" w:lastRow="0" w:firstColumn="0" w:lastColumn="0" w:oddVBand="0" w:evenVBand="0" w:oddHBand="0" w:evenHBand="0" w:firstRowFirstColumn="0" w:firstRowLastColumn="0" w:lastRowFirstColumn="0" w:lastRowLastColumn="0"/>
              <w:rPr>
                <w:rFonts w:ascii="Arial" w:eastAsia="DengXian" w:hAnsi="Arial"/>
                <w:bCs/>
                <w:sz w:val="20"/>
                <w:szCs w:val="20"/>
                <w:lang w:val="en-GB"/>
              </w:rPr>
            </w:pPr>
            <w:r w:rsidRPr="00A97AE9">
              <w:rPr>
                <w:rFonts w:ascii="Arial" w:eastAsia="DengXian" w:hAnsi="Arial"/>
                <w:b/>
                <w:sz w:val="20"/>
                <w:szCs w:val="20"/>
                <w:lang w:val="en-GB"/>
              </w:rPr>
              <w:t>Nâng cao hiệu quả thương mại:</w:t>
            </w:r>
            <w:r w:rsidRPr="00A97AE9">
              <w:rPr>
                <w:rFonts w:ascii="Arial" w:eastAsia="DengXian" w:hAnsi="Arial"/>
                <w:bCs/>
                <w:sz w:val="20"/>
                <w:szCs w:val="20"/>
                <w:lang w:val="en-GB"/>
              </w:rPr>
              <w:t xml:space="preserve"> Cải thiện hiệu quả và tính minh bạch trong hoạt động hải quan thông qua việc tận dụng công nghệ và thực tiễn tốt nhất, từ đó rút ngắn thời gian thông quan và giảm gánh nặng hành chính cho doanh nghiệp.</w:t>
            </w:r>
          </w:p>
        </w:tc>
      </w:tr>
      <w:tr w:rsidR="00CA49BA" w:rsidRPr="004F1D15" w14:paraId="56B6F4CE" w14:textId="77777777" w:rsidTr="2DB233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1" w:type="dxa"/>
            <w:tcBorders>
              <w:right w:val="single" w:sz="4" w:space="0" w:color="156082"/>
            </w:tcBorders>
          </w:tcPr>
          <w:p w14:paraId="12744D86" w14:textId="3CFD097B" w:rsidR="00CA49BA" w:rsidRPr="000E4CA0" w:rsidRDefault="006D2E65" w:rsidP="00564F10">
            <w:pPr>
              <w:spacing w:line="276" w:lineRule="auto"/>
              <w:jc w:val="center"/>
              <w:rPr>
                <w:sz w:val="20"/>
                <w:szCs w:val="20"/>
                <w:lang w:val="vi-VN"/>
              </w:rPr>
            </w:pPr>
            <w:r>
              <w:rPr>
                <w:sz w:val="20"/>
                <w:szCs w:val="20"/>
              </w:rPr>
              <w:t xml:space="preserve">6.2.2.1 </w:t>
            </w:r>
            <w:r w:rsidR="000E4CA0">
              <w:rPr>
                <w:sz w:val="20"/>
                <w:szCs w:val="20"/>
              </w:rPr>
              <w:t>Phát</w:t>
            </w:r>
            <w:r w:rsidR="000E4CA0">
              <w:rPr>
                <w:sz w:val="20"/>
                <w:szCs w:val="20"/>
                <w:lang w:val="vi-VN"/>
              </w:rPr>
              <w:t xml:space="preserve"> triển Thế hệ Mới của Cơ chế Một cửa ASEAN</w:t>
            </w:r>
          </w:p>
        </w:tc>
        <w:tc>
          <w:tcPr>
            <w:tcW w:w="3286" w:type="dxa"/>
            <w:tcBorders>
              <w:left w:val="single" w:sz="4" w:space="0" w:color="156082"/>
              <w:right w:val="single" w:sz="4" w:space="0" w:color="156082"/>
            </w:tcBorders>
          </w:tcPr>
          <w:p w14:paraId="0B92E973" w14:textId="3EE46146" w:rsidR="000E4CA0" w:rsidRPr="000E4CA0" w:rsidRDefault="000E4CA0" w:rsidP="000E4CA0">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sz w:val="20"/>
                <w:szCs w:val="20"/>
                <w:lang w:val="en-GB"/>
              </w:rPr>
            </w:pPr>
            <w:r w:rsidRPr="000E4CA0">
              <w:rPr>
                <w:rFonts w:ascii="Arial" w:hAnsi="Arial"/>
                <w:b/>
                <w:sz w:val="20"/>
                <w:szCs w:val="20"/>
                <w:lang w:val="en-GB"/>
              </w:rPr>
              <w:t xml:space="preserve">Thực hiện Nghiên cứu về Thế hệ Mới của Cơ chế Một cửa ASEAN: </w:t>
            </w:r>
            <w:r w:rsidRPr="000E4CA0">
              <w:rPr>
                <w:rFonts w:ascii="Arial" w:hAnsi="Arial"/>
                <w:bCs/>
                <w:sz w:val="20"/>
                <w:szCs w:val="20"/>
                <w:lang w:val="en-GB"/>
              </w:rPr>
              <w:t>Tiến hành phân tích các khía cạnh chính sách, kỹ thuật và pháp lý của Cơ chế Một cửa ASEAN, bao gồm tham khảo các thực tiễn và khuyến nghị toàn cầu có liên quan; đồng thời xem xét thứ tự ưu tiên và lộ trình cho các chứng từ điện tử sẽ được trao đổi với các Đối tác Đối thoại ASEAN hoặc các chủ thể tư nhân khác.</w:t>
            </w:r>
          </w:p>
        </w:tc>
        <w:tc>
          <w:tcPr>
            <w:tcW w:w="4320" w:type="dxa"/>
            <w:gridSpan w:val="2"/>
            <w:tcBorders>
              <w:left w:val="single" w:sz="4" w:space="0" w:color="156082"/>
              <w:right w:val="single" w:sz="4" w:space="0" w:color="156082"/>
            </w:tcBorders>
          </w:tcPr>
          <w:p w14:paraId="3DF2F94E" w14:textId="63D75D29" w:rsidR="00CA49BA" w:rsidRPr="000E4CA0" w:rsidRDefault="000E4CA0" w:rsidP="00662D82">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vi-VN"/>
              </w:rPr>
            </w:pPr>
            <w:r>
              <w:rPr>
                <w:sz w:val="20"/>
                <w:szCs w:val="20"/>
                <w:lang w:val="vi-VN"/>
              </w:rPr>
              <w:t>Ngắn hạn:</w:t>
            </w:r>
          </w:p>
          <w:p w14:paraId="2980FF53" w14:textId="0B019374" w:rsidR="00763316" w:rsidRPr="00E1058A" w:rsidRDefault="00763316" w:rsidP="00C856E4">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763316">
              <w:rPr>
                <w:rFonts w:ascii="Arial" w:eastAsia="DengXian" w:hAnsi="Arial"/>
                <w:sz w:val="20"/>
                <w:szCs w:val="20"/>
                <w:lang w:val="en-GB"/>
              </w:rPr>
              <w:t>Thực hiện nghiên cứu/phân tích về các chứng từ điện tử có thể trao đổi nhằm hỗ trợ việc đưa ra quyết định về ưu tiên hợp tác trong nội khối ASEAN và với các Đối tác Đối thoại ASEAN hoặc khu vực tư nhân.</w:t>
            </w:r>
          </w:p>
          <w:p w14:paraId="6EDAD217" w14:textId="68D945F9" w:rsidR="2DB2335A" w:rsidRPr="00E1058A" w:rsidRDefault="00763316" w:rsidP="00C856E4">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763316">
              <w:rPr>
                <w:rFonts w:ascii="Arial" w:eastAsia="DengXian" w:hAnsi="Arial"/>
                <w:sz w:val="20"/>
                <w:szCs w:val="20"/>
                <w:lang w:val="vi-VN"/>
              </w:rPr>
              <w:t>Thực hiện nghiên cứu/phân tích về các công nghệ an ninh khả thi để phục vụ trao đổi giao dịch và chứng từ điện tử giữa chính phủ các nước thành viên ASEAN.</w:t>
            </w:r>
          </w:p>
          <w:p w14:paraId="45F4B6DD" w14:textId="68D062ED" w:rsidR="00EA7481" w:rsidRPr="00C856E4" w:rsidRDefault="00763316" w:rsidP="00662D82">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763316">
              <w:rPr>
                <w:rFonts w:ascii="Arial" w:eastAsia="DengXian" w:hAnsi="Arial"/>
                <w:sz w:val="20"/>
                <w:szCs w:val="20"/>
                <w:lang w:val="en-GB"/>
              </w:rPr>
              <w:t>Xây dựng các khuyến nghị về thực tiễn tốt nhất về mặt kỹ thuật và pháp lý, làm cơ sở cho thảo luận và đàm phán với các Đối tác Đối thoại ASEAN hoặc khu vực tư nhân.</w:t>
            </w:r>
            <w:r w:rsidR="00564F10">
              <w:rPr>
                <w:rFonts w:ascii="Arial" w:eastAsia="DengXian" w:hAnsi="Arial"/>
                <w:sz w:val="20"/>
                <w:szCs w:val="20"/>
                <w:lang w:val="en-GB"/>
              </w:rPr>
              <w:br/>
            </w:r>
          </w:p>
          <w:p w14:paraId="623688ED" w14:textId="358101CE" w:rsidR="00CA49BA" w:rsidRPr="004F1D15" w:rsidRDefault="0080376F" w:rsidP="00662D82">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Trung hạn:</w:t>
            </w:r>
          </w:p>
          <w:p w14:paraId="0DC32D05" w14:textId="5635CA8D" w:rsidR="00CA49BA" w:rsidRPr="006F65A0" w:rsidRDefault="0080376F" w:rsidP="001C4ED3">
            <w:pPr>
              <w:pStyle w:val="ListParagraph"/>
              <w:numPr>
                <w:ilvl w:val="0"/>
                <w:numId w:val="61"/>
              </w:numPr>
              <w:spacing w:after="0"/>
              <w:ind w:left="376"/>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80376F">
              <w:rPr>
                <w:rFonts w:ascii="Arial" w:eastAsia="DengXian" w:hAnsi="Arial"/>
                <w:sz w:val="20"/>
                <w:szCs w:val="20"/>
                <w:lang w:val="en-GB"/>
              </w:rPr>
              <w:lastRenderedPageBreak/>
              <w:t>Dựa trên kết quả nghiên cứu, xây dựng cơ sở pháp lý cho phép thương mại phi giấy tờ xuyên biên giới thông qua triển khai luồng chứng từ điện tử G2G từ đầu đến cuối, bổ trợ cho tiến trình xây dựng Nền kinh tế Số ASEAN.</w:t>
            </w:r>
            <w:r w:rsidR="00492F8A" w:rsidRPr="00E1058A">
              <w:rPr>
                <w:rFonts w:ascii="Arial" w:eastAsia="DengXian" w:hAnsi="Arial"/>
                <w:sz w:val="20"/>
                <w:szCs w:val="20"/>
                <w:lang w:val="en-GB"/>
              </w:rPr>
              <w:br/>
            </w:r>
          </w:p>
        </w:tc>
        <w:tc>
          <w:tcPr>
            <w:tcW w:w="2861" w:type="dxa"/>
            <w:gridSpan w:val="2"/>
            <w:tcBorders>
              <w:left w:val="single" w:sz="4" w:space="0" w:color="156082"/>
              <w:right w:val="single" w:sz="4" w:space="0" w:color="156082"/>
            </w:tcBorders>
          </w:tcPr>
          <w:p w14:paraId="47CFAA31" w14:textId="0DD0689D" w:rsidR="00CA49BA" w:rsidRPr="004F1D15" w:rsidRDefault="0080376F" w:rsidP="00662D82">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Cơ quan điều phối</w:t>
            </w:r>
            <w:r w:rsidR="007B0D87">
              <w:rPr>
                <w:sz w:val="20"/>
                <w:szCs w:val="20"/>
              </w:rPr>
              <w:t>:</w:t>
            </w:r>
          </w:p>
          <w:p w14:paraId="65083B25" w14:textId="05C9AF51" w:rsidR="00CA49BA" w:rsidRPr="004F1D15" w:rsidRDefault="0080376F" w:rsidP="00BC3004">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Pr>
                <w:rFonts w:ascii="Arial" w:eastAsia="DengXian" w:hAnsi="Arial"/>
                <w:color w:val="auto"/>
                <w:sz w:val="20"/>
                <w:szCs w:val="20"/>
                <w:lang w:val="en-GB"/>
              </w:rPr>
              <w:t>Uỷ ban Chỉ đạo Cơ chế một cửa ASEAN</w:t>
            </w:r>
            <w:r w:rsidR="008D3E39" w:rsidRPr="0073035A">
              <w:rPr>
                <w:rFonts w:ascii="Arial" w:eastAsia="DengXian" w:hAnsi="Arial"/>
                <w:color w:val="auto"/>
                <w:sz w:val="20"/>
                <w:szCs w:val="20"/>
                <w:lang w:val="en-GB"/>
              </w:rPr>
              <w:t xml:space="preserve"> (ASWSC)</w:t>
            </w:r>
          </w:p>
        </w:tc>
        <w:tc>
          <w:tcPr>
            <w:tcW w:w="3305" w:type="dxa"/>
            <w:gridSpan w:val="2"/>
            <w:tcBorders>
              <w:left w:val="single" w:sz="4" w:space="0" w:color="156082"/>
            </w:tcBorders>
          </w:tcPr>
          <w:p w14:paraId="31251EB1" w14:textId="769151C5" w:rsidR="00CA49BA" w:rsidRPr="004F1D15" w:rsidRDefault="005C3C37" w:rsidP="00662D82">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Các thước đó tiến độ chung bao gồm</w:t>
            </w:r>
            <w:r w:rsidR="00CA49BA" w:rsidRPr="004F1D15">
              <w:rPr>
                <w:sz w:val="20"/>
                <w:szCs w:val="20"/>
              </w:rPr>
              <w:t>:</w:t>
            </w:r>
          </w:p>
          <w:p w14:paraId="78172A1D" w14:textId="2C4E129B" w:rsidR="00CA49BA" w:rsidRPr="004F1D15" w:rsidRDefault="005C3C37" w:rsidP="00C82E40">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olor w:val="auto"/>
                <w:sz w:val="20"/>
                <w:szCs w:val="20"/>
                <w:lang w:val="en-GB"/>
              </w:rPr>
            </w:pPr>
            <w:r w:rsidRPr="005C3C37">
              <w:rPr>
                <w:rFonts w:ascii="Arial" w:hAnsi="Arial"/>
                <w:b/>
                <w:bCs/>
                <w:color w:val="auto"/>
                <w:sz w:val="20"/>
                <w:szCs w:val="20"/>
                <w:lang w:val="en-GB"/>
              </w:rPr>
              <w:t>Hoàn thành nghiên cứu:</w:t>
            </w:r>
            <w:r w:rsidRPr="005C3C37">
              <w:rPr>
                <w:rFonts w:ascii="Arial" w:hAnsi="Arial"/>
                <w:color w:val="auto"/>
                <w:sz w:val="20"/>
                <w:szCs w:val="20"/>
                <w:lang w:val="en-GB"/>
              </w:rPr>
              <w:t xml:space="preserve"> Hoàn tất đúng hạn từng giai đoạn nghiên cứu, bao gồm nghiên cứu sơ bộ, phân tích chuyên sâu, xây dựng khuyến nghị và hoàn thiện báo cáo.</w:t>
            </w:r>
          </w:p>
          <w:p w14:paraId="2BB7951F" w14:textId="430B778B" w:rsidR="00CA49BA" w:rsidRPr="004F1D15" w:rsidRDefault="005C3C37" w:rsidP="00C82E40">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b/>
                <w:color w:val="auto"/>
                <w:sz w:val="20"/>
                <w:szCs w:val="20"/>
                <w:lang w:val="en-GB"/>
              </w:rPr>
            </w:pPr>
            <w:r w:rsidRPr="005C3C37">
              <w:rPr>
                <w:rFonts w:ascii="Arial" w:hAnsi="Arial"/>
                <w:color w:val="auto"/>
                <w:sz w:val="20"/>
                <w:szCs w:val="20"/>
                <w:lang w:val="en-GB"/>
              </w:rPr>
              <w:t>Thông qua các khuyến nghị: Việc các cơ quan chuyên ngành ASEAN và các quốc gia thành viên chính thức thông qua các khuyến nghị về chính sách, kỹ thuật và pháp lý.</w:t>
            </w:r>
          </w:p>
          <w:p w14:paraId="395A4287" w14:textId="68387903" w:rsidR="00CA49BA" w:rsidRPr="004F1D15" w:rsidRDefault="00CA49BA" w:rsidP="00D63895">
            <w:pPr>
              <w:pStyle w:val="ListParagraph"/>
              <w:numPr>
                <w:ilvl w:val="0"/>
                <w:numId w:val="0"/>
              </w:numPr>
              <w:ind w:left="360"/>
              <w:cnfStyle w:val="000000100000" w:firstRow="0" w:lastRow="0" w:firstColumn="0" w:lastColumn="0" w:oddVBand="0" w:evenVBand="0" w:oddHBand="1" w:evenHBand="0" w:firstRowFirstColumn="0" w:firstRowLastColumn="0" w:lastRowFirstColumn="0" w:lastRowLastColumn="0"/>
              <w:rPr>
                <w:rFonts w:ascii="Arial" w:hAnsi="Arial"/>
                <w:b/>
                <w:sz w:val="20"/>
                <w:szCs w:val="20"/>
                <w:lang w:val="en-GB"/>
              </w:rPr>
            </w:pPr>
          </w:p>
        </w:tc>
      </w:tr>
    </w:tbl>
    <w:p w14:paraId="6DE888A2" w14:textId="77777777" w:rsidR="00407E87" w:rsidRDefault="00407E87" w:rsidP="00407E87">
      <w:pPr>
        <w:pStyle w:val="Heading4"/>
        <w:numPr>
          <w:ilvl w:val="0"/>
          <w:numId w:val="0"/>
        </w:numPr>
        <w:ind w:left="1224"/>
        <w:rPr>
          <w:sz w:val="20"/>
          <w:lang w:val="en-GB"/>
        </w:rPr>
      </w:pPr>
    </w:p>
    <w:tbl>
      <w:tblPr>
        <w:tblStyle w:val="ListTable3-Accent11"/>
        <w:tblW w:w="15318" w:type="dxa"/>
        <w:tblInd w:w="-5" w:type="dxa"/>
        <w:tblLook w:val="04A0" w:firstRow="1" w:lastRow="0" w:firstColumn="1" w:lastColumn="0" w:noHBand="0" w:noVBand="1"/>
      </w:tblPr>
      <w:tblGrid>
        <w:gridCol w:w="1716"/>
        <w:gridCol w:w="23"/>
        <w:gridCol w:w="3368"/>
        <w:gridCol w:w="548"/>
        <w:gridCol w:w="3583"/>
        <w:gridCol w:w="37"/>
        <w:gridCol w:w="2789"/>
        <w:gridCol w:w="30"/>
        <w:gridCol w:w="3224"/>
      </w:tblGrid>
      <w:tr w:rsidR="000C02FA" w:rsidRPr="004F1D15" w14:paraId="7C9963B7" w14:textId="77777777" w:rsidTr="40B4F6F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16" w:type="dxa"/>
            <w:tcBorders>
              <w:bottom w:val="single" w:sz="4" w:space="0" w:color="156082"/>
            </w:tcBorders>
            <w:shd w:val="clear" w:color="auto" w:fill="002060"/>
          </w:tcPr>
          <w:p w14:paraId="777510D8" w14:textId="78D0C8D8" w:rsidR="000C02FA" w:rsidRPr="004F1D15" w:rsidRDefault="00BD01FF" w:rsidP="005E35B8">
            <w:pPr>
              <w:spacing w:line="276" w:lineRule="auto"/>
              <w:jc w:val="center"/>
              <w:rPr>
                <w:sz w:val="20"/>
                <w:szCs w:val="20"/>
              </w:rPr>
            </w:pPr>
            <w:r>
              <w:rPr>
                <w:sz w:val="20"/>
                <w:szCs w:val="20"/>
              </w:rPr>
              <w:t>Lĩnh vực hành động</w:t>
            </w:r>
          </w:p>
        </w:tc>
        <w:tc>
          <w:tcPr>
            <w:tcW w:w="3939" w:type="dxa"/>
            <w:gridSpan w:val="3"/>
            <w:shd w:val="clear" w:color="auto" w:fill="002060"/>
          </w:tcPr>
          <w:p w14:paraId="6114394F" w14:textId="37CE0A9F" w:rsidR="000C02FA" w:rsidRPr="004F1D15" w:rsidRDefault="00BD01FF" w:rsidP="005E35B8">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Lĩnh vực trọng tâm</w:t>
            </w:r>
          </w:p>
        </w:tc>
        <w:tc>
          <w:tcPr>
            <w:tcW w:w="3583" w:type="dxa"/>
            <w:shd w:val="clear" w:color="auto" w:fill="002060"/>
          </w:tcPr>
          <w:p w14:paraId="5FE77BDE" w14:textId="49B21689" w:rsidR="000C02FA" w:rsidRPr="004F1D15" w:rsidRDefault="00BD01FF" w:rsidP="005E35B8">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r>
              <w:rPr>
                <w:bCs w:val="0"/>
                <w:sz w:val="20"/>
                <w:szCs w:val="20"/>
              </w:rPr>
              <w:t>Các mốc đề xuất và khung thời gian dự kiến</w:t>
            </w:r>
            <w:r w:rsidR="000C02FA" w:rsidRPr="004F1D15">
              <w:rPr>
                <w:sz w:val="20"/>
                <w:szCs w:val="20"/>
                <w:vertAlign w:val="superscript"/>
              </w:rPr>
              <w:footnoteReference w:id="331"/>
            </w:r>
          </w:p>
        </w:tc>
        <w:tc>
          <w:tcPr>
            <w:tcW w:w="2826" w:type="dxa"/>
            <w:gridSpan w:val="2"/>
            <w:shd w:val="clear" w:color="auto" w:fill="002060"/>
          </w:tcPr>
          <w:p w14:paraId="4E87CA44" w14:textId="1A3FE316" w:rsidR="000C02FA" w:rsidRPr="004F1D15" w:rsidRDefault="00BD01FF" w:rsidP="005E35B8">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Các bên chịu trách nhiệm </w:t>
            </w:r>
          </w:p>
        </w:tc>
        <w:tc>
          <w:tcPr>
            <w:tcW w:w="3254" w:type="dxa"/>
            <w:gridSpan w:val="2"/>
            <w:shd w:val="clear" w:color="auto" w:fill="002060"/>
          </w:tcPr>
          <w:p w14:paraId="4A676BA5" w14:textId="6FDDC252" w:rsidR="000C02FA" w:rsidRPr="004F1D15" w:rsidRDefault="00BD01FF" w:rsidP="005E35B8">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Thước đo tiến độ </w:t>
            </w:r>
          </w:p>
        </w:tc>
      </w:tr>
      <w:tr w:rsidR="000C02FA" w:rsidRPr="004F1D15" w14:paraId="0AC8A0A0" w14:textId="77777777" w:rsidTr="40B4F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tcBorders>
              <w:right w:val="single" w:sz="4" w:space="0" w:color="156082"/>
            </w:tcBorders>
            <w:shd w:val="clear" w:color="auto" w:fill="00B0F0"/>
          </w:tcPr>
          <w:p w14:paraId="23936E53" w14:textId="6820A503" w:rsidR="000C02FA" w:rsidRPr="004F1D15" w:rsidRDefault="00BD01FF" w:rsidP="005E35B8">
            <w:pPr>
              <w:spacing w:line="276" w:lineRule="auto"/>
              <w:jc w:val="center"/>
              <w:rPr>
                <w:sz w:val="20"/>
                <w:szCs w:val="20"/>
              </w:rPr>
            </w:pPr>
            <w:r>
              <w:rPr>
                <w:sz w:val="20"/>
                <w:szCs w:val="20"/>
              </w:rPr>
              <w:t>Lĩnh vực hành động chính</w:t>
            </w:r>
          </w:p>
        </w:tc>
        <w:tc>
          <w:tcPr>
            <w:tcW w:w="13602" w:type="dxa"/>
            <w:gridSpan w:val="8"/>
            <w:tcBorders>
              <w:left w:val="single" w:sz="4" w:space="0" w:color="156082"/>
            </w:tcBorders>
            <w:shd w:val="clear" w:color="auto" w:fill="00B0F0"/>
          </w:tcPr>
          <w:p w14:paraId="69FC2FF4" w14:textId="2614BFCD" w:rsidR="000C02FA" w:rsidRPr="004F1D15" w:rsidRDefault="000C02FA" w:rsidP="40B4F6F6">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b/>
                <w:bCs/>
                <w:sz w:val="20"/>
                <w:szCs w:val="20"/>
              </w:rPr>
            </w:pPr>
            <w:r w:rsidRPr="40B4F6F6">
              <w:rPr>
                <w:b/>
                <w:bCs/>
                <w:sz w:val="20"/>
                <w:szCs w:val="20"/>
              </w:rPr>
              <w:t xml:space="preserve">6.2.2.2 </w:t>
            </w:r>
            <w:r w:rsidR="00364CAF" w:rsidRPr="00364CAF">
              <w:rPr>
                <w:b/>
                <w:bCs/>
                <w:sz w:val="20"/>
                <w:szCs w:val="20"/>
              </w:rPr>
              <w:t>Phát triển Hướng dẫn về Trao đổi Thông tin Dữ liệu Thương mại Điện tử giữa Cơ quan Hải quan và Các Nhà vận hành Thương mại Điện tử</w:t>
            </w:r>
          </w:p>
        </w:tc>
      </w:tr>
      <w:tr w:rsidR="000C02FA" w:rsidRPr="00516087" w14:paraId="3209CD2D" w14:textId="77777777" w:rsidTr="40B4F6F6">
        <w:tc>
          <w:tcPr>
            <w:cnfStyle w:val="001000000000" w:firstRow="0" w:lastRow="0" w:firstColumn="1" w:lastColumn="0" w:oddVBand="0" w:evenVBand="0" w:oddHBand="0" w:evenHBand="0" w:firstRowFirstColumn="0" w:firstRowLastColumn="0" w:lastRowFirstColumn="0" w:lastRowLastColumn="0"/>
            <w:tcW w:w="1716" w:type="dxa"/>
            <w:tcBorders>
              <w:top w:val="single" w:sz="4" w:space="0" w:color="156082"/>
              <w:bottom w:val="single" w:sz="4" w:space="0" w:color="156082"/>
              <w:right w:val="single" w:sz="4" w:space="0" w:color="156082"/>
            </w:tcBorders>
            <w:shd w:val="clear" w:color="auto" w:fill="BDD6EE" w:themeFill="accent5" w:themeFillTint="66"/>
          </w:tcPr>
          <w:p w14:paraId="4DC6CCB3" w14:textId="3BCAF901" w:rsidR="000C02FA" w:rsidRPr="004F1D15" w:rsidRDefault="00364CAF" w:rsidP="005E35B8">
            <w:pPr>
              <w:spacing w:line="276" w:lineRule="auto"/>
              <w:jc w:val="center"/>
              <w:rPr>
                <w:sz w:val="20"/>
                <w:szCs w:val="20"/>
              </w:rPr>
            </w:pPr>
            <w:r>
              <w:rPr>
                <w:sz w:val="20"/>
                <w:szCs w:val="20"/>
              </w:rPr>
              <w:t>Mục tiêu</w:t>
            </w:r>
          </w:p>
        </w:tc>
        <w:tc>
          <w:tcPr>
            <w:tcW w:w="13602" w:type="dxa"/>
            <w:gridSpan w:val="8"/>
            <w:tcBorders>
              <w:left w:val="single" w:sz="4" w:space="0" w:color="156082"/>
            </w:tcBorders>
            <w:shd w:val="clear" w:color="auto" w:fill="BDD6EE" w:themeFill="accent5" w:themeFillTint="66"/>
          </w:tcPr>
          <w:p w14:paraId="694FB619" w14:textId="6E29EEC1" w:rsidR="003B7084" w:rsidRPr="00516087" w:rsidRDefault="00364CAF" w:rsidP="009F0A9C">
            <w:pPr>
              <w:pStyle w:val="ListParagraph"/>
              <w:spacing w:after="0"/>
              <w:cnfStyle w:val="000000000000" w:firstRow="0" w:lastRow="0" w:firstColumn="0" w:lastColumn="0" w:oddVBand="0" w:evenVBand="0" w:oddHBand="0" w:evenHBand="0" w:firstRowFirstColumn="0" w:firstRowLastColumn="0" w:lastRowFirstColumn="0" w:lastRowLastColumn="0"/>
              <w:rPr>
                <w:rFonts w:eastAsia="DengXian"/>
                <w:sz w:val="20"/>
                <w:szCs w:val="20"/>
                <w:lang w:val="en-GB"/>
              </w:rPr>
            </w:pPr>
            <w:r w:rsidRPr="00364CAF">
              <w:rPr>
                <w:rFonts w:ascii="Arial" w:eastAsia="DengXian" w:hAnsi="Arial"/>
                <w:b/>
                <w:sz w:val="20"/>
                <w:szCs w:val="20"/>
                <w:lang w:val="en-GB"/>
              </w:rPr>
              <w:t xml:space="preserve">Thiết lập khuôn khổ rõ ràng cho trao đổi dữ liệu: </w:t>
            </w:r>
            <w:r w:rsidRPr="00364CAF">
              <w:rPr>
                <w:rFonts w:ascii="Arial" w:eastAsia="DengXian" w:hAnsi="Arial"/>
                <w:bCs/>
                <w:sz w:val="20"/>
                <w:szCs w:val="20"/>
                <w:lang w:val="en-GB"/>
              </w:rPr>
              <w:t>Bằng cách cung cấp một phương pháp tiêu chuẩn hóa cho hoạt động trao đổi dữ liệu, bộ hướng dẫn giúp đảm bảo tương tác thông suốt và an toàn giữa cơ quan hải quan và các nhà vận hành thương mại điện tử, từ đó thúc đẩy thương mại xuyên biên giới hiệu quả hơn.</w:t>
            </w:r>
          </w:p>
        </w:tc>
      </w:tr>
      <w:tr w:rsidR="000C02FA" w:rsidRPr="004F1D15" w14:paraId="044F3817" w14:textId="77777777" w:rsidTr="40B4F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gridSpan w:val="2"/>
            <w:tcBorders>
              <w:right w:val="single" w:sz="4" w:space="0" w:color="156082"/>
            </w:tcBorders>
          </w:tcPr>
          <w:p w14:paraId="4D8C2659" w14:textId="54CEED86" w:rsidR="000C02FA" w:rsidRDefault="000C02FA" w:rsidP="000C02FA">
            <w:pPr>
              <w:spacing w:line="276" w:lineRule="auto"/>
              <w:jc w:val="center"/>
              <w:rPr>
                <w:sz w:val="20"/>
                <w:szCs w:val="20"/>
              </w:rPr>
            </w:pPr>
            <w:r>
              <w:rPr>
                <w:sz w:val="20"/>
                <w:szCs w:val="20"/>
              </w:rPr>
              <w:t xml:space="preserve">6.2.2.2 </w:t>
            </w:r>
            <w:r w:rsidR="00364CAF" w:rsidRPr="00364CAF">
              <w:rPr>
                <w:sz w:val="20"/>
                <w:szCs w:val="20"/>
              </w:rPr>
              <w:t>Phát triển Hướng dẫn về Trao đổi Thông tin Dữ liệu Thương mại Điện tử giữa Cơ quan Hải quan và Các Nhà vận hành Thương mại Điện tử</w:t>
            </w:r>
          </w:p>
        </w:tc>
        <w:tc>
          <w:tcPr>
            <w:tcW w:w="3368" w:type="dxa"/>
            <w:tcBorders>
              <w:left w:val="single" w:sz="4" w:space="0" w:color="156082"/>
              <w:right w:val="single" w:sz="4" w:space="0" w:color="156082"/>
            </w:tcBorders>
          </w:tcPr>
          <w:p w14:paraId="14A80B10" w14:textId="361DDAAA" w:rsidR="000C02FA" w:rsidRPr="004F1D15" w:rsidRDefault="00354014" w:rsidP="000C02FA">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b/>
                <w:sz w:val="20"/>
                <w:szCs w:val="20"/>
                <w:lang w:val="en-GB"/>
              </w:rPr>
            </w:pPr>
            <w:r w:rsidRPr="00354014">
              <w:rPr>
                <w:rFonts w:ascii="Arial" w:hAnsi="Arial"/>
                <w:b/>
                <w:bCs/>
                <w:sz w:val="20"/>
                <w:szCs w:val="20"/>
                <w:lang w:val="en-GB"/>
              </w:rPr>
              <w:t>Phát triển Hướng dẫn về Trao đổi Thông tin Dữ liệu Thương mại Điện tử giữa Cơ quan Hải quan và Các Nhà vận hành Thương mại Điện tử:</w:t>
            </w:r>
            <w:r w:rsidRPr="00354014">
              <w:rPr>
                <w:rFonts w:ascii="Arial" w:hAnsi="Arial"/>
                <w:sz w:val="20"/>
                <w:szCs w:val="20"/>
                <w:lang w:val="en-GB"/>
              </w:rPr>
              <w:t xml:space="preserve"> Bộ hướng dẫn sẽ thiết lập khuôn khổ rõ ràng cho trao đổi dữ liệu thương mại điện tử giữa cơ quan hải quan và các nhà vận hành thương mại điện tử, qua đó đơn giản hóa quy trình hải quan, giảm chậm trễ và tạo thuận lợi cho thương mại xuyên biên giới.</w:t>
            </w:r>
          </w:p>
        </w:tc>
        <w:tc>
          <w:tcPr>
            <w:tcW w:w="4168" w:type="dxa"/>
            <w:gridSpan w:val="3"/>
            <w:tcBorders>
              <w:left w:val="single" w:sz="4" w:space="0" w:color="156082"/>
              <w:right w:val="single" w:sz="4" w:space="0" w:color="156082"/>
            </w:tcBorders>
          </w:tcPr>
          <w:p w14:paraId="2D5A7C09" w14:textId="75B0DB9A" w:rsidR="000C02FA" w:rsidRPr="00E1058A" w:rsidRDefault="00354014" w:rsidP="40B4F6F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Ngắn hạn:</w:t>
            </w:r>
          </w:p>
          <w:p w14:paraId="76A5E562" w14:textId="675D5686" w:rsidR="00F8734C" w:rsidRPr="00E1058A" w:rsidRDefault="00F8734C" w:rsidP="00841F63">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F8734C">
              <w:rPr>
                <w:rFonts w:ascii="Arial" w:eastAsia="DengXian" w:hAnsi="Arial"/>
                <w:sz w:val="20"/>
                <w:szCs w:val="20"/>
                <w:lang w:val="en-GB"/>
              </w:rPr>
              <w:t>Hoàn thiện Hướng dẫn về Trao đổi Thông tin Dữ liệu Thương mại Điện tử giữa Cơ quan Hải quan và Các Nhà vận hành Thương mại Điện tử, bảo đảm phù hợp với thông lệ quốc tế (ví dụ: Khung Tiêu chuẩn SAFE của WCO, Khung Tiêu chuẩn Thương mại Điện tử Xuyên biên giới của WCO, Nghị quyết của Ủy ban Chính sách WCO về các Nguyên tắc Hướng dẫn cho Thương mại Điện tử Xuyên biên giới (Nghị quyết Luxor))) và các tiêu chuẩn quốc tế về trao đổi dữ liệu (ví dụ: UN/EDIFACT, tiêu chuẩn ISO, Mô hình Dữ liệu WCO).</w:t>
            </w:r>
          </w:p>
          <w:p w14:paraId="6FD684BA" w14:textId="512D59EB" w:rsidR="000C02FA" w:rsidRPr="00E1058A" w:rsidRDefault="00F8734C" w:rsidP="003B25D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F8734C">
              <w:rPr>
                <w:rFonts w:ascii="Arial" w:eastAsia="DengXian" w:hAnsi="Arial"/>
                <w:sz w:val="20"/>
                <w:szCs w:val="20"/>
                <w:lang w:val="en-GB"/>
              </w:rPr>
              <w:lastRenderedPageBreak/>
              <w:t>Thông qua bộ hướng dẫn tại cả 10 quốc gia thành viên ASEAN.</w:t>
            </w:r>
            <w:r w:rsidR="000C02FA" w:rsidRPr="00E1058A">
              <w:rPr>
                <w:rFonts w:eastAsia="DengXian"/>
                <w:sz w:val="20"/>
                <w:szCs w:val="20"/>
              </w:rPr>
              <w:br/>
            </w:r>
          </w:p>
          <w:p w14:paraId="13AED294" w14:textId="55E534EB" w:rsidR="000C02FA" w:rsidRPr="00E1058A" w:rsidRDefault="00F8734C" w:rsidP="008F27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Trung hạn</w:t>
            </w:r>
            <w:r w:rsidR="000C02FA" w:rsidRPr="00E1058A">
              <w:rPr>
                <w:sz w:val="20"/>
                <w:szCs w:val="20"/>
              </w:rPr>
              <w:t>:</w:t>
            </w:r>
          </w:p>
          <w:p w14:paraId="21F64300" w14:textId="77777777" w:rsidR="00F8734C" w:rsidRDefault="00F8734C" w:rsidP="008F2794">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F8734C">
              <w:rPr>
                <w:rFonts w:ascii="Arial" w:eastAsia="DengXian" w:hAnsi="Arial"/>
                <w:sz w:val="20"/>
                <w:szCs w:val="20"/>
                <w:lang w:val="en-GB"/>
              </w:rPr>
              <w:t>Hoàn thiện dự thảo hướng dẫn dựa trên phản hồi từ tham vấn các bên liên quan.</w:t>
            </w:r>
          </w:p>
          <w:p w14:paraId="5BE9BC9B" w14:textId="52BAE39C" w:rsidR="00CF0712" w:rsidRPr="00E1058A" w:rsidRDefault="00F8734C" w:rsidP="008F2794">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F8734C">
              <w:rPr>
                <w:rFonts w:ascii="Arial" w:eastAsia="DengXian" w:hAnsi="Arial"/>
                <w:sz w:val="20"/>
                <w:szCs w:val="20"/>
                <w:lang w:val="en-GB"/>
              </w:rPr>
              <w:t>Tổ chức đào tạo và hoạt động nâng cao nhận thức để đảm bảo Cơ quan Hải quan và Các Nhà vận hành Thương mại Điện tử nắm được cách thức triển khai hướng dẫn.</w:t>
            </w:r>
          </w:p>
          <w:p w14:paraId="34D126BF" w14:textId="78B521EC" w:rsidR="000C02FA" w:rsidRPr="00E1058A" w:rsidRDefault="000C02FA" w:rsidP="00CF0712">
            <w:pPr>
              <w:cnfStyle w:val="000000100000" w:firstRow="0" w:lastRow="0" w:firstColumn="0" w:lastColumn="0" w:oddVBand="0" w:evenVBand="0" w:oddHBand="1" w:evenHBand="0" w:firstRowFirstColumn="0" w:firstRowLastColumn="0" w:lastRowFirstColumn="0" w:lastRowLastColumn="0"/>
              <w:rPr>
                <w:sz w:val="20"/>
                <w:szCs w:val="20"/>
              </w:rPr>
            </w:pPr>
          </w:p>
          <w:p w14:paraId="56C842F4" w14:textId="3DBCE0DD" w:rsidR="000C02FA" w:rsidRPr="00E1058A" w:rsidRDefault="00F8734C" w:rsidP="008F27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Dài hạn:</w:t>
            </w:r>
          </w:p>
          <w:p w14:paraId="50A48099" w14:textId="4C28554A" w:rsidR="00237FCF" w:rsidRPr="00E1058A" w:rsidRDefault="00DB732E" w:rsidP="00376BF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DB732E">
              <w:rPr>
                <w:rFonts w:ascii="Arial" w:eastAsia="DengXian" w:hAnsi="Arial"/>
                <w:sz w:val="20"/>
                <w:szCs w:val="20"/>
                <w:lang w:val="en-GB"/>
              </w:rPr>
              <w:t>Theo dõi và đánh giá định kỳ hiệu quả của bộ hướng dẫn tại các nơi đã triển khai, đồng thời điều chỉnh khi cần thiết.</w:t>
            </w:r>
          </w:p>
          <w:p w14:paraId="04C89EAC" w14:textId="16793DF1" w:rsidR="00376BF0" w:rsidRPr="00E1058A" w:rsidRDefault="00DB732E" w:rsidP="00376BF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DB732E">
              <w:rPr>
                <w:rFonts w:ascii="Arial" w:eastAsia="DengXian" w:hAnsi="Arial"/>
                <w:sz w:val="20"/>
                <w:szCs w:val="20"/>
                <w:lang w:val="en-GB"/>
              </w:rPr>
              <w:t>Bảo đảm hướng dẫn luôn phù hợp với các tiêu chuẩn tạo thuận lợi thương mại quốc tế mới và diễn biến của thương mại điện tử toàn cầu.</w:t>
            </w:r>
          </w:p>
          <w:p w14:paraId="0DBD196A" w14:textId="3305DB83" w:rsidR="000C02FA" w:rsidRPr="00841F63" w:rsidRDefault="00EF2F97" w:rsidP="00376BF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EF2F97">
              <w:rPr>
                <w:rFonts w:ascii="Arial" w:eastAsia="DengXian" w:hAnsi="Arial"/>
                <w:sz w:val="20"/>
                <w:szCs w:val="20"/>
                <w:lang w:val="en-GB"/>
              </w:rPr>
              <w:t>Tăng cường hệ sinh thái TMĐT xuyên biên giới của ASEAN thông qua việc tích hợp sâu hơn hoạt động trao đổi dữ liệu hải quan – TMĐT vào các sáng kiến thương mại số rộng hơn (ví dụ: thế hệ mới của Cơ chế Một cửa ASEAN – ASEAN Single Window).</w:t>
            </w:r>
          </w:p>
        </w:tc>
        <w:tc>
          <w:tcPr>
            <w:tcW w:w="2819" w:type="dxa"/>
            <w:gridSpan w:val="2"/>
            <w:tcBorders>
              <w:left w:val="single" w:sz="4" w:space="0" w:color="156082"/>
              <w:right w:val="single" w:sz="4" w:space="0" w:color="156082"/>
            </w:tcBorders>
          </w:tcPr>
          <w:p w14:paraId="6B7E9CBC" w14:textId="13D98E98" w:rsidR="000C02FA" w:rsidRPr="004F1D15" w:rsidRDefault="00354014" w:rsidP="000C02FA">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Cơ quan điều phối:</w:t>
            </w:r>
          </w:p>
          <w:p w14:paraId="2A84BE9E" w14:textId="39859342" w:rsidR="000C02FA" w:rsidRPr="004F1D15" w:rsidRDefault="00354014" w:rsidP="00D226C4">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sz w:val="20"/>
                <w:szCs w:val="20"/>
              </w:rPr>
            </w:pPr>
            <w:r w:rsidRPr="00354014">
              <w:rPr>
                <w:rFonts w:ascii="Arial" w:eastAsia="DengXian" w:hAnsi="Arial"/>
                <w:color w:val="auto"/>
                <w:sz w:val="20"/>
                <w:szCs w:val="20"/>
                <w:lang w:val="en-GB"/>
              </w:rPr>
              <w:t>Nhóm Công tác về Thủ tục Hải quan và Tạo thuận lợi Thương mại (CPTFWG)</w:t>
            </w:r>
          </w:p>
        </w:tc>
        <w:tc>
          <w:tcPr>
            <w:tcW w:w="3224" w:type="dxa"/>
            <w:tcBorders>
              <w:left w:val="single" w:sz="4" w:space="0" w:color="156082"/>
            </w:tcBorders>
          </w:tcPr>
          <w:p w14:paraId="013C1AE8" w14:textId="63FC4C9E" w:rsidR="000C02FA" w:rsidRPr="00E1058A" w:rsidRDefault="00EF2F97" w:rsidP="000C02FA">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Các thước đo tiến độ chung bao gồm</w:t>
            </w:r>
            <w:r w:rsidR="000C02FA" w:rsidRPr="00E1058A">
              <w:rPr>
                <w:sz w:val="20"/>
                <w:szCs w:val="20"/>
              </w:rPr>
              <w:t>:</w:t>
            </w:r>
          </w:p>
          <w:p w14:paraId="79E0E6FB" w14:textId="3EF410B8" w:rsidR="000C02FA" w:rsidRPr="00D23E9D" w:rsidRDefault="00EF2F97" w:rsidP="00D23E9D">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olor w:val="auto"/>
                <w:sz w:val="20"/>
                <w:szCs w:val="20"/>
                <w:lang w:val="en-GB"/>
              </w:rPr>
            </w:pPr>
            <w:r w:rsidRPr="00EF2F97">
              <w:rPr>
                <w:rFonts w:ascii="Arial" w:hAnsi="Arial"/>
                <w:b/>
                <w:bCs/>
                <w:color w:val="auto"/>
                <w:sz w:val="20"/>
                <w:szCs w:val="20"/>
                <w:lang w:val="en-GB"/>
              </w:rPr>
              <w:t>Hoàn thiện Bộ Hướng dẫn:</w:t>
            </w:r>
            <w:r w:rsidRPr="00EF2F97">
              <w:rPr>
                <w:rFonts w:ascii="Arial" w:hAnsi="Arial"/>
                <w:color w:val="auto"/>
                <w:sz w:val="20"/>
                <w:szCs w:val="20"/>
                <w:lang w:val="en-GB"/>
              </w:rPr>
              <w:t xml:space="preserve"> Việc công bố và phổ biến chính thức Hướng dẫn về Trao đổi Thông tin Dữ liệu Thương mại Điện tử giữa Cơ quan Hải quan và Các Nhà vận hành Thương mại Điện tử</w:t>
            </w:r>
            <w:r>
              <w:rPr>
                <w:rFonts w:ascii="Arial" w:hAnsi="Arial"/>
                <w:color w:val="auto"/>
                <w:sz w:val="20"/>
                <w:szCs w:val="20"/>
                <w:lang w:val="en-GB"/>
              </w:rPr>
              <w:t>.</w:t>
            </w:r>
          </w:p>
          <w:p w14:paraId="51779ED1" w14:textId="0FEC2683" w:rsidR="00697340" w:rsidRPr="00697340" w:rsidRDefault="00697340" w:rsidP="000C02F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bCs/>
                <w:color w:val="auto"/>
                <w:sz w:val="20"/>
                <w:szCs w:val="20"/>
                <w:lang w:val="en-GB"/>
              </w:rPr>
            </w:pPr>
            <w:r w:rsidRPr="00697340">
              <w:rPr>
                <w:rFonts w:ascii="Arial" w:hAnsi="Arial"/>
                <w:b/>
                <w:color w:val="auto"/>
                <w:sz w:val="20"/>
                <w:szCs w:val="20"/>
                <w:lang w:val="en-GB"/>
              </w:rPr>
              <w:t xml:space="preserve">Giảm thời gian xử lý hải quan đối với hàng TMĐT: </w:t>
            </w:r>
            <w:r w:rsidRPr="00697340">
              <w:rPr>
                <w:rFonts w:ascii="Arial" w:hAnsi="Arial"/>
                <w:bCs/>
                <w:color w:val="auto"/>
                <w:sz w:val="20"/>
                <w:szCs w:val="20"/>
                <w:lang w:val="en-GB"/>
              </w:rPr>
              <w:t>Theo dõi mức giảm thời gian xử lý của hải quan đối với các lô hàng TMĐT.</w:t>
            </w:r>
          </w:p>
          <w:p w14:paraId="41917556" w14:textId="510350BB" w:rsidR="000C02FA" w:rsidRPr="004F1D15" w:rsidRDefault="000C02FA" w:rsidP="000C02FA">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r>
    </w:tbl>
    <w:p w14:paraId="6D8F757A" w14:textId="73396B52" w:rsidR="00964CC3" w:rsidRPr="004F1D15" w:rsidRDefault="000B7F1E" w:rsidP="00C82E40">
      <w:pPr>
        <w:pStyle w:val="Heading4"/>
        <w:rPr>
          <w:sz w:val="20"/>
          <w:lang w:val="en-GB"/>
        </w:rPr>
      </w:pPr>
      <w:r>
        <w:rPr>
          <w:sz w:val="20"/>
          <w:lang w:val="en-GB"/>
        </w:rPr>
        <w:lastRenderedPageBreak/>
        <w:t>Danh</w:t>
      </w:r>
      <w:r>
        <w:rPr>
          <w:sz w:val="20"/>
          <w:lang w:val="vi-VN"/>
        </w:rPr>
        <w:t xml:space="preserve"> mục</w:t>
      </w:r>
      <w:r w:rsidR="00CC6EE0" w:rsidRPr="004F1D15">
        <w:rPr>
          <w:sz w:val="20"/>
          <w:lang w:val="en-GB"/>
        </w:rPr>
        <w:t xml:space="preserve"> </w:t>
      </w:r>
      <w:r w:rsidR="00964CC3" w:rsidRPr="004F1D15">
        <w:rPr>
          <w:sz w:val="20"/>
          <w:lang w:val="en-GB"/>
        </w:rPr>
        <w:t xml:space="preserve">3: </w:t>
      </w:r>
      <w:r w:rsidR="00386038">
        <w:rPr>
          <w:sz w:val="20"/>
          <w:lang w:val="en-GB"/>
        </w:rPr>
        <w:t>Phát triển hạ tầng số</w:t>
      </w:r>
    </w:p>
    <w:tbl>
      <w:tblPr>
        <w:tblStyle w:val="ListTable3-Accent11"/>
        <w:tblW w:w="15314" w:type="dxa"/>
        <w:tblLook w:val="04A0" w:firstRow="1" w:lastRow="0" w:firstColumn="1" w:lastColumn="0" w:noHBand="0" w:noVBand="1"/>
      </w:tblPr>
      <w:tblGrid>
        <w:gridCol w:w="1694"/>
        <w:gridCol w:w="3764"/>
        <w:gridCol w:w="7"/>
        <w:gridCol w:w="3757"/>
        <w:gridCol w:w="15"/>
        <w:gridCol w:w="2303"/>
        <w:gridCol w:w="14"/>
        <w:gridCol w:w="3760"/>
      </w:tblGrid>
      <w:tr w:rsidR="001B5595" w:rsidRPr="004F1D15" w14:paraId="4F910A1D" w14:textId="77777777" w:rsidTr="00AC0A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4" w:type="dxa"/>
            <w:tcBorders>
              <w:bottom w:val="single" w:sz="4" w:space="0" w:color="156082"/>
            </w:tcBorders>
            <w:shd w:val="clear" w:color="auto" w:fill="002060"/>
          </w:tcPr>
          <w:p w14:paraId="6E65903B" w14:textId="64077536" w:rsidR="00CA49BA" w:rsidRPr="004F1D15" w:rsidRDefault="00386038" w:rsidP="00564F10">
            <w:pPr>
              <w:spacing w:line="276" w:lineRule="auto"/>
              <w:jc w:val="center"/>
              <w:rPr>
                <w:sz w:val="20"/>
                <w:szCs w:val="20"/>
              </w:rPr>
            </w:pPr>
            <w:r>
              <w:rPr>
                <w:sz w:val="20"/>
                <w:szCs w:val="20"/>
              </w:rPr>
              <w:t>Lĩnh vực hành động</w:t>
            </w:r>
          </w:p>
        </w:tc>
        <w:tc>
          <w:tcPr>
            <w:tcW w:w="3771" w:type="dxa"/>
            <w:gridSpan w:val="2"/>
            <w:shd w:val="clear" w:color="auto" w:fill="002060"/>
          </w:tcPr>
          <w:p w14:paraId="495B2C22" w14:textId="13972275" w:rsidR="00CA49BA" w:rsidRPr="004F1D15" w:rsidRDefault="00CC0A44" w:rsidP="00564F10">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Lĩnh vực trọng tâm</w:t>
            </w:r>
          </w:p>
        </w:tc>
        <w:tc>
          <w:tcPr>
            <w:tcW w:w="3772" w:type="dxa"/>
            <w:gridSpan w:val="2"/>
            <w:shd w:val="clear" w:color="auto" w:fill="002060"/>
          </w:tcPr>
          <w:p w14:paraId="49B8E234" w14:textId="36431209" w:rsidR="00CA49BA" w:rsidRPr="004F1D15" w:rsidRDefault="00CC0A44" w:rsidP="00564F10">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Các mốc đề xuất và thời gian dự kiến</w:t>
            </w:r>
            <w:r w:rsidR="00CA49BA" w:rsidRPr="004F1D15">
              <w:rPr>
                <w:sz w:val="20"/>
                <w:szCs w:val="20"/>
                <w:vertAlign w:val="superscript"/>
              </w:rPr>
              <w:footnoteReference w:id="332"/>
            </w:r>
          </w:p>
        </w:tc>
        <w:tc>
          <w:tcPr>
            <w:tcW w:w="2317" w:type="dxa"/>
            <w:gridSpan w:val="2"/>
            <w:shd w:val="clear" w:color="auto" w:fill="002060"/>
          </w:tcPr>
          <w:p w14:paraId="54CAB42A" w14:textId="44904C9B" w:rsidR="00CA49BA" w:rsidRPr="004F1D15" w:rsidRDefault="008D5496" w:rsidP="00564F10">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Các bên chịu trách nhiệm</w:t>
            </w:r>
          </w:p>
        </w:tc>
        <w:tc>
          <w:tcPr>
            <w:tcW w:w="3760" w:type="dxa"/>
            <w:shd w:val="clear" w:color="auto" w:fill="002060"/>
          </w:tcPr>
          <w:p w14:paraId="7F6E8FD6" w14:textId="6957C3E6" w:rsidR="00CA49BA" w:rsidRPr="004F1D15" w:rsidRDefault="008D5496" w:rsidP="00564F10">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Thước đo tiến độ</w:t>
            </w:r>
          </w:p>
        </w:tc>
      </w:tr>
      <w:tr w:rsidR="00CA49BA" w:rsidRPr="004F1D15" w14:paraId="7EE70250" w14:textId="77777777" w:rsidTr="00AC0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shd w:val="clear" w:color="auto" w:fill="00B0F0"/>
          </w:tcPr>
          <w:p w14:paraId="0A3DE0AB" w14:textId="229F3F17" w:rsidR="00CA49BA" w:rsidRPr="004F1D15" w:rsidRDefault="00386038" w:rsidP="00564F10">
            <w:pPr>
              <w:spacing w:line="276" w:lineRule="auto"/>
              <w:jc w:val="center"/>
              <w:rPr>
                <w:sz w:val="20"/>
                <w:szCs w:val="20"/>
              </w:rPr>
            </w:pPr>
            <w:r>
              <w:rPr>
                <w:sz w:val="20"/>
                <w:szCs w:val="20"/>
              </w:rPr>
              <w:t>Lĩnh vực hành động chính</w:t>
            </w:r>
          </w:p>
        </w:tc>
        <w:tc>
          <w:tcPr>
            <w:tcW w:w="13620" w:type="dxa"/>
            <w:gridSpan w:val="7"/>
            <w:tcBorders>
              <w:left w:val="single" w:sz="4" w:space="0" w:color="156082"/>
            </w:tcBorders>
            <w:shd w:val="clear" w:color="auto" w:fill="00B0F0"/>
          </w:tcPr>
          <w:p w14:paraId="02E0A357" w14:textId="07784F31" w:rsidR="00CA49BA" w:rsidRPr="004F1D15" w:rsidRDefault="00763613" w:rsidP="00066D04">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b/>
                <w:bCs/>
                <w:sz w:val="20"/>
                <w:szCs w:val="20"/>
              </w:rPr>
            </w:pPr>
            <w:r>
              <w:rPr>
                <w:b/>
                <w:sz w:val="20"/>
                <w:szCs w:val="20"/>
              </w:rPr>
              <w:t xml:space="preserve">6.2.2.3 </w:t>
            </w:r>
            <w:r w:rsidR="00ED5C09">
              <w:rPr>
                <w:b/>
                <w:bCs/>
                <w:sz w:val="20"/>
                <w:szCs w:val="20"/>
              </w:rPr>
              <w:t xml:space="preserve">Tăng cường cơ sở hạ tầng số nền tảng cho Cơ chế Một cửa ASEAN </w:t>
            </w:r>
          </w:p>
        </w:tc>
      </w:tr>
      <w:tr w:rsidR="00CA49BA" w:rsidRPr="004F1D15" w14:paraId="44502526" w14:textId="77777777" w:rsidTr="00AC0AE1">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156082"/>
              <w:bottom w:val="single" w:sz="4" w:space="0" w:color="156082"/>
              <w:right w:val="single" w:sz="4" w:space="0" w:color="156082"/>
            </w:tcBorders>
            <w:shd w:val="clear" w:color="auto" w:fill="BDD6EE" w:themeFill="accent5" w:themeFillTint="66"/>
          </w:tcPr>
          <w:p w14:paraId="7F50C2BA" w14:textId="59B24085" w:rsidR="00CA49BA" w:rsidRPr="004F1D15" w:rsidRDefault="00484A6C" w:rsidP="00564F10">
            <w:pPr>
              <w:spacing w:line="276" w:lineRule="auto"/>
              <w:jc w:val="center"/>
              <w:rPr>
                <w:sz w:val="20"/>
                <w:szCs w:val="20"/>
              </w:rPr>
            </w:pPr>
            <w:r>
              <w:rPr>
                <w:sz w:val="20"/>
                <w:szCs w:val="20"/>
              </w:rPr>
              <w:t>Mục tiêu</w:t>
            </w:r>
          </w:p>
        </w:tc>
        <w:tc>
          <w:tcPr>
            <w:tcW w:w="13620" w:type="dxa"/>
            <w:gridSpan w:val="7"/>
            <w:tcBorders>
              <w:left w:val="single" w:sz="4" w:space="0" w:color="156082"/>
            </w:tcBorders>
            <w:shd w:val="clear" w:color="auto" w:fill="BDD6EE" w:themeFill="accent5" w:themeFillTint="66"/>
          </w:tcPr>
          <w:p w14:paraId="5A7C607C" w14:textId="65537D10" w:rsidR="00066D04" w:rsidRPr="00066D04" w:rsidRDefault="00484A6C" w:rsidP="00066D04">
            <w:pPr>
              <w:pStyle w:val="ListParagraph"/>
              <w:numPr>
                <w:ilvl w:val="0"/>
                <w:numId w:val="17"/>
              </w:numPr>
              <w:spacing w:after="0"/>
              <w:cnfStyle w:val="000000000000" w:firstRow="0" w:lastRow="0" w:firstColumn="0" w:lastColumn="0" w:oddVBand="0" w:evenVBand="0" w:oddHBand="0" w:evenHBand="0" w:firstRowFirstColumn="0" w:firstRowLastColumn="0" w:lastRowFirstColumn="0" w:lastRowLastColumn="0"/>
              <w:rPr>
                <w:rFonts w:ascii="Arial" w:hAnsi="Arial"/>
                <w:sz w:val="20"/>
                <w:szCs w:val="20"/>
                <w:lang w:val="en-GB"/>
              </w:rPr>
            </w:pPr>
            <w:r w:rsidRPr="00484A6C">
              <w:rPr>
                <w:rFonts w:ascii="Arial" w:eastAsia="DengXian" w:hAnsi="Arial"/>
                <w:b/>
                <w:bCs/>
                <w:sz w:val="20"/>
                <w:szCs w:val="20"/>
                <w:lang w:val="en-GB"/>
              </w:rPr>
              <w:t>Tăng cường đơn giản hóa hoạt động hải quan:</w:t>
            </w:r>
            <w:r w:rsidRPr="00484A6C">
              <w:rPr>
                <w:rFonts w:ascii="Arial" w:eastAsia="DengXian" w:hAnsi="Arial"/>
                <w:sz w:val="20"/>
                <w:szCs w:val="20"/>
                <w:lang w:val="en-GB"/>
              </w:rPr>
              <w:t xml:space="preserve"> Nâng cấp các hệ thống số nhằm hỗ trợ xử lý và chia sẻ hiệu quả chứng từ thương mại điện tử xuyên biên giới giữa các quốc gia thành viên ASEAN (AMS).</w:t>
            </w:r>
          </w:p>
          <w:p w14:paraId="5EC846C7" w14:textId="66318B6E" w:rsidR="00CA49BA" w:rsidRPr="00564F10" w:rsidRDefault="00484A6C" w:rsidP="00564F10">
            <w:pPr>
              <w:pStyle w:val="ListParagraph"/>
              <w:numPr>
                <w:ilvl w:val="0"/>
                <w:numId w:val="17"/>
              </w:numPr>
              <w:spacing w:after="0"/>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0"/>
                <w:szCs w:val="20"/>
                <w:lang w:val="en-GB"/>
              </w:rPr>
            </w:pPr>
            <w:r w:rsidRPr="00484A6C">
              <w:rPr>
                <w:rFonts w:asciiTheme="minorBidi" w:eastAsia="DengXian" w:hAnsiTheme="minorBidi" w:cstheme="minorBidi"/>
                <w:b/>
                <w:bCs/>
                <w:sz w:val="20"/>
                <w:szCs w:val="20"/>
              </w:rPr>
              <w:t>Xây dựng Khung Giải pháp Phi tập trung Vững chắc:</w:t>
            </w:r>
            <w:r w:rsidRPr="00484A6C">
              <w:rPr>
                <w:rFonts w:asciiTheme="minorBidi" w:eastAsia="DengXian" w:hAnsiTheme="minorBidi" w:cstheme="minorBidi"/>
                <w:sz w:val="20"/>
                <w:szCs w:val="20"/>
              </w:rPr>
              <w:t xml:space="preserve"> Triển khai cơ sở hạ tầng phi tập trung bảo mật cao, hỗ trợ khả năng tương tác tin cậy đối với chứng từ thương mại điện tử và thúc đẩy tính minh bạch trong quy trình hải quan.</w:t>
            </w:r>
          </w:p>
        </w:tc>
      </w:tr>
      <w:tr w:rsidR="001B5595" w:rsidRPr="004F1D15" w14:paraId="12D4085F" w14:textId="77777777" w:rsidTr="6BB67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tcPr>
          <w:p w14:paraId="51ADE903" w14:textId="60174F30" w:rsidR="00CA49BA" w:rsidRPr="004F1D15" w:rsidRDefault="001B1EE6" w:rsidP="00564F10">
            <w:pPr>
              <w:spacing w:line="276" w:lineRule="auto"/>
              <w:jc w:val="center"/>
              <w:rPr>
                <w:sz w:val="20"/>
                <w:szCs w:val="20"/>
              </w:rPr>
            </w:pPr>
            <w:r>
              <w:rPr>
                <w:sz w:val="20"/>
                <w:szCs w:val="20"/>
              </w:rPr>
              <w:t>6</w:t>
            </w:r>
            <w:r w:rsidR="00DA2C5D" w:rsidRPr="004F1D15">
              <w:rPr>
                <w:sz w:val="20"/>
                <w:szCs w:val="20"/>
              </w:rPr>
              <w:t>.</w:t>
            </w:r>
            <w:r w:rsidR="00CA49BA" w:rsidRPr="004F1D15">
              <w:rPr>
                <w:sz w:val="20"/>
                <w:szCs w:val="20"/>
              </w:rPr>
              <w:t>2.</w:t>
            </w:r>
            <w:r w:rsidR="005233A3" w:rsidRPr="00073C0D">
              <w:rPr>
                <w:sz w:val="20"/>
                <w:szCs w:val="20"/>
              </w:rPr>
              <w:t>2.3</w:t>
            </w:r>
            <w:r w:rsidR="00CC49A5" w:rsidRPr="00CC49A5">
              <w:rPr>
                <w:sz w:val="20"/>
                <w:szCs w:val="20"/>
              </w:rPr>
              <w:t xml:space="preserve"> Phát triển nâng cấp hệ thống dựa trên các khuyến nghị từ nghiên cứu về thế hệ mới của Cơ chế Một cửa ASEAN.</w:t>
            </w:r>
          </w:p>
        </w:tc>
        <w:tc>
          <w:tcPr>
            <w:tcW w:w="3764" w:type="dxa"/>
            <w:tcBorders>
              <w:left w:val="single" w:sz="4" w:space="0" w:color="156082"/>
              <w:right w:val="single" w:sz="4" w:space="0" w:color="156082"/>
            </w:tcBorders>
          </w:tcPr>
          <w:p w14:paraId="77A79B19" w14:textId="201E5DB9" w:rsidR="00C044C5" w:rsidRPr="00E1058A" w:rsidRDefault="003B30EC" w:rsidP="00C82E40">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Pr>
                <w:rFonts w:ascii="Arial" w:hAnsi="Arial"/>
                <w:b/>
                <w:sz w:val="20"/>
                <w:szCs w:val="20"/>
                <w:lang w:val="en-GB"/>
              </w:rPr>
              <w:t>Tăng cường nỗ lực để hỗ trợ Cơ chế Một cửa ASEAN</w:t>
            </w:r>
            <w:r w:rsidR="00C044C5" w:rsidRPr="00E1058A">
              <w:rPr>
                <w:rFonts w:ascii="Arial" w:hAnsi="Arial"/>
                <w:b/>
                <w:sz w:val="20"/>
                <w:szCs w:val="20"/>
                <w:lang w:val="en-GB"/>
              </w:rPr>
              <w:t xml:space="preserve">: </w:t>
            </w:r>
            <w:r w:rsidR="004A2393" w:rsidRPr="004A2393">
              <w:rPr>
                <w:rFonts w:ascii="Arial" w:hAnsi="Arial"/>
                <w:sz w:val="20"/>
                <w:szCs w:val="20"/>
                <w:lang w:val="en-GB"/>
              </w:rPr>
              <w:t>Phát triển nâng cấp hệ thống dựa trên các khuyến nghị từ nghiên cứu về thế hệ mới của Cơ chế Một cửa ASEAN.</w:t>
            </w:r>
          </w:p>
          <w:p w14:paraId="73D8FDB2" w14:textId="50A281CE" w:rsidR="00CA49BA" w:rsidRPr="001D0FE7" w:rsidRDefault="003B30EC" w:rsidP="001D0FE7">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0"/>
                <w:szCs w:val="20"/>
                <w:lang w:val="en-GB"/>
              </w:rPr>
            </w:pPr>
            <w:r>
              <w:rPr>
                <w:rFonts w:asciiTheme="minorBidi" w:eastAsia="DengXian" w:hAnsiTheme="minorBidi" w:cstheme="minorBidi"/>
                <w:b/>
                <w:sz w:val="20"/>
                <w:szCs w:val="20"/>
                <w:lang w:val="en-GB"/>
              </w:rPr>
              <w:t>Tăng cường khả năng kết nối số</w:t>
            </w:r>
            <w:r w:rsidR="15B9A3FF" w:rsidRPr="00E1058A">
              <w:rPr>
                <w:rFonts w:asciiTheme="minorBidi" w:eastAsia="DengXian" w:hAnsiTheme="minorBidi" w:cstheme="minorBidi"/>
                <w:b/>
                <w:sz w:val="20"/>
                <w:szCs w:val="20"/>
                <w:lang w:val="en-GB"/>
              </w:rPr>
              <w:t>:</w:t>
            </w:r>
            <w:r w:rsidR="15B9A3FF" w:rsidRPr="00E1058A">
              <w:rPr>
                <w:rFonts w:asciiTheme="minorBidi" w:eastAsia="DengXian" w:hAnsiTheme="minorBidi" w:cstheme="minorBidi"/>
                <w:sz w:val="20"/>
                <w:szCs w:val="20"/>
                <w:lang w:val="en-GB"/>
              </w:rPr>
              <w:t xml:space="preserve"> </w:t>
            </w:r>
            <w:r w:rsidR="004A2393" w:rsidRPr="004A2393">
              <w:rPr>
                <w:rFonts w:asciiTheme="minorBidi" w:eastAsia="DengXian" w:hAnsiTheme="minorBidi" w:cstheme="minorBidi"/>
                <w:sz w:val="20"/>
                <w:szCs w:val="20"/>
                <w:lang w:val="en-GB"/>
              </w:rPr>
              <w:t>Nâng cao kết nối số giữa các AMS nhằm hỗ trợ chia sẻ dữ liệu thời gian thực và đơn giản hóa quy trình thông quan.</w:t>
            </w:r>
            <w:r w:rsidR="00C044C5" w:rsidRPr="00516087">
              <w:rPr>
                <w:rFonts w:asciiTheme="minorBidi" w:hAnsiTheme="minorBidi" w:cstheme="minorBidi"/>
                <w:sz w:val="20"/>
                <w:szCs w:val="20"/>
                <w:vertAlign w:val="superscript"/>
                <w:lang w:val="en-GB"/>
              </w:rPr>
              <w:footnoteReference w:id="333"/>
            </w:r>
            <w:r w:rsidR="15B9A3FF" w:rsidRPr="00516087">
              <w:rPr>
                <w:rFonts w:asciiTheme="minorBidi" w:eastAsia="DengXian" w:hAnsiTheme="minorBidi" w:cstheme="minorBidi"/>
                <w:sz w:val="20"/>
                <w:szCs w:val="20"/>
                <w:lang w:val="en-GB"/>
              </w:rPr>
              <w:t xml:space="preserve"> </w:t>
            </w:r>
          </w:p>
        </w:tc>
        <w:tc>
          <w:tcPr>
            <w:tcW w:w="3764" w:type="dxa"/>
            <w:gridSpan w:val="2"/>
            <w:tcBorders>
              <w:left w:val="single" w:sz="4" w:space="0" w:color="156082"/>
              <w:right w:val="single" w:sz="4" w:space="0" w:color="156082"/>
            </w:tcBorders>
          </w:tcPr>
          <w:p w14:paraId="6956C05F" w14:textId="0696EAAF" w:rsidR="0061075B" w:rsidRPr="0061075B" w:rsidRDefault="0061075B" w:rsidP="00E02FED">
            <w:pPr>
              <w:cnfStyle w:val="000000100000" w:firstRow="0" w:lastRow="0" w:firstColumn="0" w:lastColumn="0" w:oddVBand="0" w:evenVBand="0" w:oddHBand="1" w:evenHBand="0" w:firstRowFirstColumn="0" w:firstRowLastColumn="0" w:lastRowFirstColumn="0" w:lastRowLastColumn="0"/>
            </w:pPr>
          </w:p>
          <w:p w14:paraId="5B2E9E6B" w14:textId="1B178203" w:rsidR="0061075B" w:rsidRPr="00E1058A" w:rsidRDefault="00B2058A" w:rsidP="0061075B">
            <w:pPr>
              <w:spacing w:line="276" w:lineRule="auto"/>
              <w:ind w:left="3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Trung hạn:</w:t>
            </w:r>
          </w:p>
          <w:p w14:paraId="268063E9" w14:textId="7A6957B2" w:rsidR="0061075B" w:rsidRPr="00E1058A" w:rsidRDefault="004A2393" w:rsidP="0061075B">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4A2393">
              <w:rPr>
                <w:rFonts w:ascii="Arial" w:eastAsia="DengXian" w:hAnsi="Arial"/>
                <w:sz w:val="20"/>
                <w:szCs w:val="20"/>
                <w:lang w:val="en-GB"/>
              </w:rPr>
              <w:t>Triển khai nâng cấp hệ thống dựa trên các khuyến nghị từ nghiên cứu về thế hệ mới của Cơ chế Một cửa ASEAN</w:t>
            </w:r>
            <w:r w:rsidR="0061075B" w:rsidRPr="00E1058A">
              <w:rPr>
                <w:rFonts w:ascii="Arial" w:eastAsia="DengXian" w:hAnsi="Arial"/>
                <w:sz w:val="20"/>
                <w:szCs w:val="20"/>
                <w:lang w:val="en-GB"/>
              </w:rPr>
              <w:t>.</w:t>
            </w:r>
          </w:p>
          <w:p w14:paraId="2685B0D8" w14:textId="77777777" w:rsidR="0061075B" w:rsidRPr="00E1058A" w:rsidRDefault="0061075B" w:rsidP="0061075B">
            <w:pPr>
              <w:spacing w:line="276" w:lineRule="auto"/>
              <w:ind w:left="360"/>
              <w:cnfStyle w:val="000000100000" w:firstRow="0" w:lastRow="0" w:firstColumn="0" w:lastColumn="0" w:oddVBand="0" w:evenVBand="0" w:oddHBand="1" w:evenHBand="0" w:firstRowFirstColumn="0" w:firstRowLastColumn="0" w:lastRowFirstColumn="0" w:lastRowLastColumn="0"/>
              <w:rPr>
                <w:sz w:val="20"/>
                <w:szCs w:val="20"/>
              </w:rPr>
            </w:pPr>
          </w:p>
          <w:p w14:paraId="71DE2815" w14:textId="57C36B9E" w:rsidR="0061075B" w:rsidRPr="00E1058A" w:rsidRDefault="00B2058A" w:rsidP="0061075B">
            <w:pPr>
              <w:spacing w:line="276" w:lineRule="auto"/>
              <w:ind w:left="3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Dài hạn:</w:t>
            </w:r>
          </w:p>
          <w:p w14:paraId="3C6B7627" w14:textId="5E96F141" w:rsidR="0061075B" w:rsidRPr="0061075B" w:rsidRDefault="004A2393" w:rsidP="0061075B">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4A2393">
              <w:rPr>
                <w:rFonts w:ascii="Arial" w:eastAsia="DengXian" w:hAnsi="Arial"/>
                <w:sz w:val="20"/>
                <w:szCs w:val="20"/>
                <w:lang w:val="en-GB"/>
              </w:rPr>
              <w:t>Khảo sát các giải pháp phi tập trung, như thông tin định danh có thể xác minh (verifiable credentials), để đảm bảo khả năng tương tác tin cậy, theo đề xuất của World Wide Web Consortium (W3C), nhằm kết nối chính phủ và doanh nghiệp, đảm bảo trao đổi chứng từ thương mại điện tử an toàn và hiệu quả.</w:t>
            </w:r>
          </w:p>
        </w:tc>
        <w:tc>
          <w:tcPr>
            <w:tcW w:w="2318" w:type="dxa"/>
            <w:gridSpan w:val="2"/>
            <w:tcBorders>
              <w:left w:val="single" w:sz="4" w:space="0" w:color="156082"/>
              <w:right w:val="single" w:sz="4" w:space="0" w:color="156082"/>
            </w:tcBorders>
          </w:tcPr>
          <w:p w14:paraId="01A08692" w14:textId="6FD656C9" w:rsidR="00CA49BA" w:rsidRPr="004F1D15" w:rsidRDefault="00B2058A" w:rsidP="00066D04">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Cơ quan điều phối:</w:t>
            </w:r>
          </w:p>
          <w:p w14:paraId="78E82D96" w14:textId="702ECBF3" w:rsidR="00CA49BA" w:rsidRPr="004F1D15" w:rsidRDefault="004A2393" w:rsidP="00BC3004">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Pr>
                <w:rFonts w:ascii="Arial" w:eastAsia="DengXian" w:hAnsi="Arial"/>
                <w:color w:val="auto"/>
                <w:sz w:val="20"/>
                <w:szCs w:val="20"/>
                <w:lang w:val="en-GB"/>
              </w:rPr>
              <w:t>Uỷ ban Chỉ đạo Cơ chế Một cửa ASEAN</w:t>
            </w:r>
            <w:r w:rsidR="008D3E39" w:rsidRPr="0073035A">
              <w:rPr>
                <w:rFonts w:ascii="Arial" w:eastAsia="DengXian" w:hAnsi="Arial"/>
                <w:color w:val="auto"/>
                <w:sz w:val="20"/>
                <w:szCs w:val="20"/>
                <w:lang w:val="en-GB"/>
              </w:rPr>
              <w:t xml:space="preserve"> (ASWSC)</w:t>
            </w:r>
          </w:p>
        </w:tc>
        <w:tc>
          <w:tcPr>
            <w:tcW w:w="3774" w:type="dxa"/>
            <w:gridSpan w:val="2"/>
            <w:tcBorders>
              <w:left w:val="single" w:sz="4" w:space="0" w:color="156082"/>
            </w:tcBorders>
          </w:tcPr>
          <w:p w14:paraId="7E29BC04" w14:textId="47076B1B" w:rsidR="00CA49BA" w:rsidRPr="004F1D15" w:rsidRDefault="00B2058A" w:rsidP="00066D04">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Các thước đo tiến độ chung bao gồm:</w:t>
            </w:r>
          </w:p>
          <w:p w14:paraId="17BD59F1" w14:textId="3775BF90" w:rsidR="00402647" w:rsidRPr="00E1058A" w:rsidRDefault="00402647" w:rsidP="00E34132">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b/>
                <w:sz w:val="20"/>
                <w:szCs w:val="20"/>
                <w:lang w:val="en-GB"/>
              </w:rPr>
            </w:pPr>
            <w:r w:rsidRPr="00402647">
              <w:rPr>
                <w:rFonts w:ascii="Arial" w:hAnsi="Arial"/>
                <w:b/>
                <w:sz w:val="20"/>
                <w:szCs w:val="20"/>
                <w:lang w:val="en-GB"/>
              </w:rPr>
              <w:t xml:space="preserve">Nâng cấp hệ thống: </w:t>
            </w:r>
            <w:r w:rsidRPr="00402647">
              <w:rPr>
                <w:rFonts w:ascii="Arial" w:hAnsi="Arial"/>
                <w:bCs/>
                <w:sz w:val="20"/>
                <w:szCs w:val="20"/>
                <w:lang w:val="en-GB"/>
              </w:rPr>
              <w:t>Số lượng AMS triển khai nâng cấp hệ thống dựa trên các khuyến nghị.</w:t>
            </w:r>
          </w:p>
          <w:p w14:paraId="0DC319D9" w14:textId="681647AE" w:rsidR="00C044C5" w:rsidRPr="00E1058A" w:rsidRDefault="00402647" w:rsidP="00C82E40">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b/>
                <w:sz w:val="20"/>
                <w:szCs w:val="20"/>
                <w:lang w:val="en-GB"/>
              </w:rPr>
            </w:pPr>
            <w:r w:rsidRPr="00402647">
              <w:rPr>
                <w:rFonts w:ascii="Arial" w:hAnsi="Arial"/>
                <w:b/>
                <w:bCs/>
                <w:sz w:val="20"/>
                <w:szCs w:val="20"/>
                <w:lang w:val="en-GB"/>
              </w:rPr>
              <w:t xml:space="preserve">Thời gian xử lý chứng từ: </w:t>
            </w:r>
            <w:r w:rsidRPr="00402647">
              <w:rPr>
                <w:rFonts w:ascii="Arial" w:hAnsi="Arial"/>
                <w:sz w:val="20"/>
                <w:szCs w:val="20"/>
                <w:lang w:val="en-GB"/>
              </w:rPr>
              <w:t>Giảm thời gian cần thiết cho quy trình thông quan.</w:t>
            </w:r>
          </w:p>
          <w:p w14:paraId="2ECD3E19" w14:textId="67C0B88F" w:rsidR="00CA49BA" w:rsidRPr="004F1D15" w:rsidRDefault="00CA49BA" w:rsidP="00E34132">
            <w:pPr>
              <w:pStyle w:val="ListParagraph"/>
              <w:numPr>
                <w:ilvl w:val="0"/>
                <w:numId w:val="0"/>
              </w:numPr>
              <w:ind w:left="360"/>
              <w:cnfStyle w:val="000000100000" w:firstRow="0" w:lastRow="0" w:firstColumn="0" w:lastColumn="0" w:oddVBand="0" w:evenVBand="0" w:oddHBand="1" w:evenHBand="0" w:firstRowFirstColumn="0" w:firstRowLastColumn="0" w:lastRowFirstColumn="0" w:lastRowLastColumn="0"/>
              <w:rPr>
                <w:rFonts w:ascii="Arial" w:hAnsi="Arial"/>
                <w:b/>
                <w:sz w:val="20"/>
                <w:szCs w:val="20"/>
                <w:lang w:val="en-GB"/>
              </w:rPr>
            </w:pPr>
          </w:p>
        </w:tc>
      </w:tr>
    </w:tbl>
    <w:p w14:paraId="3DA577FA" w14:textId="6CE50DF1" w:rsidR="00BC3004" w:rsidRDefault="00BC3004">
      <w:pPr>
        <w:spacing w:line="259" w:lineRule="auto"/>
        <w:jc w:val="left"/>
        <w:rPr>
          <w:rFonts w:eastAsia="Arial"/>
          <w:color w:val="657C9C" w:themeColor="text2" w:themeTint="BF"/>
          <w:szCs w:val="28"/>
        </w:rPr>
      </w:pPr>
    </w:p>
    <w:p w14:paraId="1570DFCF" w14:textId="140BDB66" w:rsidR="00964CC3" w:rsidRPr="004F1D15" w:rsidRDefault="00F30A5E" w:rsidP="00964CC3">
      <w:pPr>
        <w:pStyle w:val="Heading3"/>
        <w:rPr>
          <w:lang w:val="en-GB"/>
        </w:rPr>
      </w:pPr>
      <w:r>
        <w:rPr>
          <w:lang w:val="en-GB"/>
        </w:rPr>
        <w:lastRenderedPageBreak/>
        <w:t>Tiểu lĩnh vực</w:t>
      </w:r>
      <w:r w:rsidR="00964CC3" w:rsidRPr="004F1D15">
        <w:rPr>
          <w:lang w:val="en-GB"/>
        </w:rPr>
        <w:t xml:space="preserve">: </w:t>
      </w:r>
      <w:r>
        <w:rPr>
          <w:lang w:val="en-GB"/>
        </w:rPr>
        <w:t>Đảm bảo giao dịch</w:t>
      </w:r>
    </w:p>
    <w:p w14:paraId="2646B78E" w14:textId="4229C387" w:rsidR="00964CC3" w:rsidRPr="004F1D15" w:rsidRDefault="000B7F1E" w:rsidP="00C82E40">
      <w:pPr>
        <w:pStyle w:val="Heading4"/>
        <w:rPr>
          <w:sz w:val="20"/>
          <w:lang w:val="en-GB"/>
        </w:rPr>
      </w:pPr>
      <w:r>
        <w:rPr>
          <w:sz w:val="20"/>
          <w:lang w:val="en-GB"/>
        </w:rPr>
        <w:t>Danh</w:t>
      </w:r>
      <w:r>
        <w:rPr>
          <w:sz w:val="20"/>
          <w:lang w:val="vi-VN"/>
        </w:rPr>
        <w:t xml:space="preserve"> mục</w:t>
      </w:r>
      <w:r w:rsidRPr="004F1D15">
        <w:rPr>
          <w:sz w:val="20"/>
          <w:lang w:val="en-GB"/>
        </w:rPr>
        <w:t xml:space="preserve"> </w:t>
      </w:r>
      <w:r w:rsidR="00964CC3" w:rsidRPr="004F1D15">
        <w:rPr>
          <w:sz w:val="20"/>
          <w:lang w:val="en-GB"/>
        </w:rPr>
        <w:t xml:space="preserve">1: </w:t>
      </w:r>
      <w:r w:rsidR="00F30A5E">
        <w:rPr>
          <w:sz w:val="20"/>
          <w:lang w:val="en-GB"/>
        </w:rPr>
        <w:t>Cân đối và phối hợp chính sách</w:t>
      </w:r>
    </w:p>
    <w:tbl>
      <w:tblPr>
        <w:tblStyle w:val="ListTable3-Accent11"/>
        <w:tblW w:w="15314" w:type="dxa"/>
        <w:tblLook w:val="04A0" w:firstRow="1" w:lastRow="0" w:firstColumn="1" w:lastColumn="0" w:noHBand="0" w:noVBand="1"/>
      </w:tblPr>
      <w:tblGrid>
        <w:gridCol w:w="1694"/>
        <w:gridCol w:w="3764"/>
        <w:gridCol w:w="7"/>
        <w:gridCol w:w="3757"/>
        <w:gridCol w:w="15"/>
        <w:gridCol w:w="2303"/>
        <w:gridCol w:w="14"/>
        <w:gridCol w:w="3760"/>
      </w:tblGrid>
      <w:tr w:rsidR="00EC6DCF" w:rsidRPr="004F1D15" w14:paraId="6745F0AF" w14:textId="77777777" w:rsidTr="00AC0A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4" w:type="dxa"/>
            <w:tcBorders>
              <w:bottom w:val="single" w:sz="4" w:space="0" w:color="156082"/>
            </w:tcBorders>
            <w:shd w:val="clear" w:color="auto" w:fill="002060"/>
          </w:tcPr>
          <w:p w14:paraId="15DD0A82" w14:textId="75437792" w:rsidR="00EC6DCF" w:rsidRPr="004F1D15" w:rsidRDefault="00F30A5E" w:rsidP="00564F10">
            <w:pPr>
              <w:jc w:val="center"/>
              <w:rPr>
                <w:sz w:val="20"/>
                <w:szCs w:val="20"/>
              </w:rPr>
            </w:pPr>
            <w:r>
              <w:rPr>
                <w:sz w:val="20"/>
                <w:szCs w:val="20"/>
              </w:rPr>
              <w:t>Khu vực hành động</w:t>
            </w:r>
          </w:p>
        </w:tc>
        <w:tc>
          <w:tcPr>
            <w:tcW w:w="3771" w:type="dxa"/>
            <w:gridSpan w:val="2"/>
            <w:shd w:val="clear" w:color="auto" w:fill="002060"/>
          </w:tcPr>
          <w:p w14:paraId="5BE8C8C2" w14:textId="524104FA" w:rsidR="00EC6DCF" w:rsidRPr="004F1D15" w:rsidRDefault="00F30A5E" w:rsidP="00564F10">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Mục tiêu trọng tâm</w:t>
            </w:r>
          </w:p>
        </w:tc>
        <w:tc>
          <w:tcPr>
            <w:tcW w:w="3772" w:type="dxa"/>
            <w:gridSpan w:val="2"/>
            <w:shd w:val="clear" w:color="auto" w:fill="002060"/>
          </w:tcPr>
          <w:p w14:paraId="0C6AA8C6" w14:textId="669BD814" w:rsidR="00EC6DCF" w:rsidRPr="004F1D15" w:rsidRDefault="00F30A5E" w:rsidP="00564F10">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Mốc đề xuất và khung thời gian dự kiến</w:t>
            </w:r>
            <w:r w:rsidR="00EC6DCF" w:rsidRPr="004F1D15">
              <w:rPr>
                <w:sz w:val="20"/>
                <w:szCs w:val="20"/>
                <w:vertAlign w:val="superscript"/>
              </w:rPr>
              <w:footnoteReference w:id="334"/>
            </w:r>
          </w:p>
        </w:tc>
        <w:tc>
          <w:tcPr>
            <w:tcW w:w="2317" w:type="dxa"/>
            <w:gridSpan w:val="2"/>
            <w:shd w:val="clear" w:color="auto" w:fill="002060"/>
          </w:tcPr>
          <w:p w14:paraId="72D975CA" w14:textId="7EDF2C23" w:rsidR="00EC6DCF" w:rsidRPr="004F1D15" w:rsidRDefault="00F30A5E" w:rsidP="00564F10">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Các bên chịu trách nhiệm</w:t>
            </w:r>
          </w:p>
        </w:tc>
        <w:tc>
          <w:tcPr>
            <w:tcW w:w="3760" w:type="dxa"/>
            <w:shd w:val="clear" w:color="auto" w:fill="002060"/>
          </w:tcPr>
          <w:p w14:paraId="1B88B9A0" w14:textId="3734ACB8" w:rsidR="00EC6DCF" w:rsidRPr="004F1D15" w:rsidRDefault="00F30A5E" w:rsidP="00564F10">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Chỉ số đo lường tiến độ</w:t>
            </w:r>
          </w:p>
        </w:tc>
      </w:tr>
      <w:tr w:rsidR="00EC6DCF" w:rsidRPr="004F1D15" w14:paraId="5C8BDEBA" w14:textId="77777777" w:rsidTr="00AC0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shd w:val="clear" w:color="auto" w:fill="00B0F0"/>
          </w:tcPr>
          <w:p w14:paraId="012F674F" w14:textId="73386F04" w:rsidR="00EC6DCF" w:rsidRPr="004F1D15" w:rsidRDefault="00EC6DCF" w:rsidP="00564F10">
            <w:pPr>
              <w:jc w:val="center"/>
              <w:rPr>
                <w:sz w:val="20"/>
                <w:szCs w:val="20"/>
              </w:rPr>
            </w:pPr>
            <w:r w:rsidRPr="004F1D15">
              <w:rPr>
                <w:sz w:val="20"/>
                <w:szCs w:val="20"/>
              </w:rPr>
              <w:t>K</w:t>
            </w:r>
            <w:r w:rsidR="00F30A5E">
              <w:rPr>
                <w:sz w:val="20"/>
                <w:szCs w:val="20"/>
              </w:rPr>
              <w:t>hu vực hành động chính</w:t>
            </w:r>
          </w:p>
        </w:tc>
        <w:tc>
          <w:tcPr>
            <w:tcW w:w="13620" w:type="dxa"/>
            <w:gridSpan w:val="7"/>
            <w:tcBorders>
              <w:left w:val="single" w:sz="4" w:space="0" w:color="156082"/>
            </w:tcBorders>
            <w:shd w:val="clear" w:color="auto" w:fill="00B0F0"/>
          </w:tcPr>
          <w:p w14:paraId="129AED3C" w14:textId="1951FC33" w:rsidR="00EC6DCF" w:rsidRPr="004F1D15" w:rsidRDefault="008C6627" w:rsidP="00EC6DCF">
            <w:pPr>
              <w:cnfStyle w:val="000000100000" w:firstRow="0" w:lastRow="0" w:firstColumn="0" w:lastColumn="0" w:oddVBand="0" w:evenVBand="0" w:oddHBand="1" w:evenHBand="0" w:firstRowFirstColumn="0" w:firstRowLastColumn="0" w:lastRowFirstColumn="0" w:lastRowLastColumn="0"/>
              <w:rPr>
                <w:rFonts w:eastAsiaTheme="minorEastAsia"/>
                <w:b/>
                <w:bCs/>
                <w:sz w:val="20"/>
                <w:szCs w:val="20"/>
              </w:rPr>
            </w:pPr>
            <w:r>
              <w:rPr>
                <w:b/>
                <w:sz w:val="20"/>
                <w:szCs w:val="20"/>
              </w:rPr>
              <w:t>6.2.3</w:t>
            </w:r>
            <w:r w:rsidR="00EC6DCF" w:rsidRPr="004F1D15">
              <w:rPr>
                <w:b/>
                <w:sz w:val="20"/>
                <w:szCs w:val="20"/>
              </w:rPr>
              <w:t>.1</w:t>
            </w:r>
            <w:r w:rsidR="00EC6DCF" w:rsidRPr="004F1D15">
              <w:rPr>
                <w:sz w:val="20"/>
                <w:szCs w:val="20"/>
              </w:rPr>
              <w:t xml:space="preserve"> </w:t>
            </w:r>
            <w:r w:rsidR="00EC6DCF" w:rsidRPr="7E4A6711">
              <w:rPr>
                <w:b/>
                <w:bCs/>
                <w:sz w:val="20"/>
                <w:szCs w:val="20"/>
              </w:rPr>
              <w:t>In</w:t>
            </w:r>
            <w:r w:rsidR="45A59A21" w:rsidRPr="7E4A6711">
              <w:rPr>
                <w:b/>
                <w:bCs/>
                <w:sz w:val="20"/>
                <w:szCs w:val="20"/>
              </w:rPr>
              <w:t xml:space="preserve">crease </w:t>
            </w:r>
            <w:r w:rsidR="32D510B8" w:rsidRPr="453E52E2">
              <w:rPr>
                <w:b/>
                <w:bCs/>
                <w:sz w:val="20"/>
                <w:szCs w:val="20"/>
              </w:rPr>
              <w:t xml:space="preserve">adoption of the </w:t>
            </w:r>
            <w:r w:rsidR="00EC6DCF" w:rsidRPr="004F1D15">
              <w:rPr>
                <w:b/>
                <w:sz w:val="20"/>
                <w:szCs w:val="20"/>
              </w:rPr>
              <w:t xml:space="preserve">ISO/TC 321 standard into the Work Plan on the Implementation of the ASEAN Agreement on Electronic Commerce </w:t>
            </w:r>
          </w:p>
        </w:tc>
      </w:tr>
      <w:tr w:rsidR="00EC6DCF" w:rsidRPr="004F1D15" w14:paraId="6B875364" w14:textId="77777777" w:rsidTr="00AC0AE1">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156082"/>
              <w:bottom w:val="single" w:sz="4" w:space="0" w:color="156082"/>
              <w:right w:val="single" w:sz="4" w:space="0" w:color="156082"/>
            </w:tcBorders>
            <w:shd w:val="clear" w:color="auto" w:fill="BDD6EE" w:themeFill="accent5" w:themeFillTint="66"/>
          </w:tcPr>
          <w:p w14:paraId="7CEC794B" w14:textId="2E9A4383" w:rsidR="00EC6DCF" w:rsidRPr="004F1D15" w:rsidRDefault="0093298D" w:rsidP="00564F10">
            <w:pPr>
              <w:jc w:val="center"/>
              <w:rPr>
                <w:sz w:val="20"/>
                <w:szCs w:val="20"/>
              </w:rPr>
            </w:pPr>
            <w:r>
              <w:rPr>
                <w:sz w:val="20"/>
                <w:szCs w:val="20"/>
              </w:rPr>
              <w:t>Mục tiêu</w:t>
            </w:r>
          </w:p>
        </w:tc>
        <w:tc>
          <w:tcPr>
            <w:tcW w:w="13620" w:type="dxa"/>
            <w:gridSpan w:val="7"/>
            <w:tcBorders>
              <w:left w:val="single" w:sz="4" w:space="0" w:color="156082"/>
            </w:tcBorders>
            <w:shd w:val="clear" w:color="auto" w:fill="BDD6EE" w:themeFill="accent5" w:themeFillTint="66"/>
          </w:tcPr>
          <w:p w14:paraId="65CFD22A" w14:textId="508053A6" w:rsidR="00EC6DCF" w:rsidRPr="00516087" w:rsidRDefault="0093298D"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DengXian" w:hAnsi="Arial"/>
                <w:b/>
                <w:sz w:val="20"/>
                <w:szCs w:val="20"/>
                <w:lang w:val="en-GB"/>
              </w:rPr>
            </w:pPr>
            <w:r w:rsidRPr="0093298D">
              <w:rPr>
                <w:rFonts w:ascii="Arial" w:eastAsia="DengXian" w:hAnsi="Arial"/>
                <w:b/>
                <w:bCs/>
                <w:sz w:val="20"/>
                <w:szCs w:val="20"/>
                <w:lang w:val="en-GB"/>
              </w:rPr>
              <w:t>Điều chỉnh khung chính sách:</w:t>
            </w:r>
            <w:r w:rsidRPr="0093298D">
              <w:rPr>
                <w:rFonts w:ascii="Arial" w:eastAsia="DengXian" w:hAnsi="Arial"/>
                <w:sz w:val="20"/>
                <w:szCs w:val="20"/>
                <w:lang w:val="en-GB"/>
              </w:rPr>
              <w:t xml:space="preserve"> Việc đưa ISO/TC 321 vào khung chính sách sẽ nâng cao hiệu quả tổng thể của chiến lược thương mại số và thương mại điện tử trong các nước ASEAN (AMS).</w:t>
            </w:r>
          </w:p>
          <w:p w14:paraId="7E3C549F" w14:textId="4F23D9DA" w:rsidR="00EC6DCF" w:rsidRPr="004F1D15" w:rsidRDefault="0093298D"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hAnsi="Arial"/>
                <w:sz w:val="20"/>
                <w:szCs w:val="20"/>
                <w:lang w:val="en-GB"/>
              </w:rPr>
            </w:pPr>
            <w:r w:rsidRPr="0093298D">
              <w:rPr>
                <w:rFonts w:ascii="Arial" w:eastAsia="DengXian" w:hAnsi="Arial"/>
                <w:b/>
                <w:bCs/>
                <w:sz w:val="20"/>
                <w:szCs w:val="20"/>
                <w:lang w:val="en-GB"/>
              </w:rPr>
              <w:t>Củng cố quản trị:</w:t>
            </w:r>
            <w:r w:rsidRPr="0093298D">
              <w:rPr>
                <w:rFonts w:ascii="Arial" w:eastAsia="DengXian" w:hAnsi="Arial"/>
                <w:sz w:val="20"/>
                <w:szCs w:val="20"/>
                <w:lang w:val="en-GB"/>
              </w:rPr>
              <w:t xml:space="preserve"> Tăng cường các khung quản trị thương mại điện tử thông qua việc áp dụng các tiêu chuẩn đảm bảo giao dịch được công nhận.</w:t>
            </w:r>
          </w:p>
        </w:tc>
      </w:tr>
      <w:tr w:rsidR="00EC6DCF" w:rsidRPr="004F1D15" w14:paraId="0E7F8251" w14:textId="77777777" w:rsidTr="6BB67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tcPr>
          <w:p w14:paraId="41971871" w14:textId="6913FF52" w:rsidR="00EC6DCF" w:rsidRPr="004F1D15" w:rsidRDefault="008C6627" w:rsidP="00564F10">
            <w:pPr>
              <w:jc w:val="center"/>
              <w:rPr>
                <w:sz w:val="20"/>
                <w:szCs w:val="20"/>
              </w:rPr>
            </w:pPr>
            <w:r>
              <w:rPr>
                <w:sz w:val="20"/>
                <w:szCs w:val="20"/>
              </w:rPr>
              <w:t>6.2.3</w:t>
            </w:r>
            <w:r w:rsidR="004B44BB" w:rsidRPr="004F1D15">
              <w:rPr>
                <w:sz w:val="20"/>
                <w:szCs w:val="20"/>
              </w:rPr>
              <w:t xml:space="preserve">.1 </w:t>
            </w:r>
            <w:r w:rsidR="0093298D" w:rsidRPr="0093298D">
              <w:rPr>
                <w:sz w:val="20"/>
                <w:szCs w:val="20"/>
              </w:rPr>
              <w:t>Tăng cường áp dụng tiêu chuẩn ISO/TC 321 vào Kế hoạch thực hiện Hiệp định ASEAN về Thương mại Điện tử</w:t>
            </w:r>
          </w:p>
        </w:tc>
        <w:tc>
          <w:tcPr>
            <w:tcW w:w="3764" w:type="dxa"/>
            <w:tcBorders>
              <w:left w:val="single" w:sz="4" w:space="0" w:color="156082"/>
              <w:right w:val="single" w:sz="4" w:space="0" w:color="156082"/>
            </w:tcBorders>
          </w:tcPr>
          <w:p w14:paraId="348AF6DD" w14:textId="1F5D50EB" w:rsidR="004B44BB" w:rsidRPr="00516087" w:rsidRDefault="003A0092" w:rsidP="001D0FE7">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3A0092">
              <w:rPr>
                <w:rFonts w:ascii="Arial" w:eastAsia="DengXian" w:hAnsi="Arial"/>
                <w:b/>
                <w:bCs/>
                <w:color w:val="auto"/>
                <w:sz w:val="20"/>
                <w:szCs w:val="20"/>
                <w:lang w:val="en-GB"/>
              </w:rPr>
              <w:t>Tích hợp vào Kế hoạch:</w:t>
            </w:r>
            <w:r w:rsidRPr="003A0092">
              <w:rPr>
                <w:rFonts w:ascii="Arial" w:eastAsia="DengXian" w:hAnsi="Arial"/>
                <w:color w:val="auto"/>
                <w:sz w:val="20"/>
                <w:szCs w:val="20"/>
                <w:lang w:val="en-GB"/>
              </w:rPr>
              <w:t xml:space="preserve"> Đưa tiêu chuẩn ISO/TC 321 vào các đợt xem xét kế hoạch thực hiện Hiệp định ASEAN về Thương mại Điện tử tiếp theo.</w:t>
            </w:r>
          </w:p>
          <w:p w14:paraId="21853F76" w14:textId="2A6E6325" w:rsidR="004B44BB" w:rsidRPr="004F1D15" w:rsidRDefault="003A0092" w:rsidP="00C82E40">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b/>
                <w:sz w:val="20"/>
                <w:szCs w:val="20"/>
                <w:lang w:val="en-GB"/>
              </w:rPr>
            </w:pPr>
            <w:r w:rsidRPr="003A0092">
              <w:rPr>
                <w:rFonts w:ascii="Arial" w:hAnsi="Arial"/>
                <w:b/>
                <w:bCs/>
                <w:sz w:val="20"/>
                <w:szCs w:val="20"/>
                <w:lang w:val="en-GB"/>
              </w:rPr>
              <w:t>Điều chỉnh pháp lý:</w:t>
            </w:r>
            <w:r w:rsidRPr="003A0092">
              <w:rPr>
                <w:rFonts w:ascii="Arial" w:hAnsi="Arial"/>
                <w:sz w:val="20"/>
                <w:szCs w:val="20"/>
                <w:lang w:val="en-GB"/>
              </w:rPr>
              <w:t xml:space="preserve"> Đảm bảo chính sách quốc gia phù hợp với các tiêu chuẩn đảm bảo giao dịch khu vực.</w:t>
            </w:r>
          </w:p>
          <w:p w14:paraId="23965340" w14:textId="395B7B08" w:rsidR="004B44BB" w:rsidRPr="004F1D15" w:rsidRDefault="003A0092" w:rsidP="00C82E40">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3A0092">
              <w:rPr>
                <w:rFonts w:ascii="Arial" w:hAnsi="Arial"/>
                <w:b/>
                <w:bCs/>
                <w:sz w:val="20"/>
                <w:szCs w:val="20"/>
                <w:lang w:val="en-GB"/>
              </w:rPr>
              <w:t>Tham gia các bên liên quan:</w:t>
            </w:r>
            <w:r w:rsidRPr="003A0092">
              <w:rPr>
                <w:rFonts w:ascii="Arial" w:hAnsi="Arial"/>
                <w:sz w:val="20"/>
                <w:szCs w:val="20"/>
                <w:lang w:val="en-GB"/>
              </w:rPr>
              <w:t xml:space="preserve"> Thu hút các bên liên quan chính, bao gồm nhà hoạch định chính sách và các lãnh đạo ngành, để hỗ trợ quá trình tích hợp.</w:t>
            </w:r>
          </w:p>
          <w:p w14:paraId="548082B5" w14:textId="745F7E5A" w:rsidR="00EC6DCF" w:rsidRPr="004F1D15" w:rsidRDefault="00EC6DCF">
            <w:pPr>
              <w:cnfStyle w:val="000000100000" w:firstRow="0" w:lastRow="0" w:firstColumn="0" w:lastColumn="0" w:oddVBand="0" w:evenVBand="0" w:oddHBand="1" w:evenHBand="0" w:firstRowFirstColumn="0" w:firstRowLastColumn="0" w:lastRowFirstColumn="0" w:lastRowLastColumn="0"/>
              <w:rPr>
                <w:sz w:val="20"/>
                <w:szCs w:val="20"/>
              </w:rPr>
            </w:pPr>
          </w:p>
        </w:tc>
        <w:tc>
          <w:tcPr>
            <w:tcW w:w="3764" w:type="dxa"/>
            <w:gridSpan w:val="2"/>
            <w:tcBorders>
              <w:left w:val="single" w:sz="4" w:space="0" w:color="156082"/>
              <w:right w:val="single" w:sz="4" w:space="0" w:color="156082"/>
            </w:tcBorders>
          </w:tcPr>
          <w:p w14:paraId="1B3DF63A" w14:textId="6C90EC0E" w:rsidR="00EC6DCF" w:rsidRPr="004F1D15" w:rsidRDefault="003A009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Ngắn hạn:</w:t>
            </w:r>
          </w:p>
          <w:p w14:paraId="75C8A8BA" w14:textId="77777777" w:rsidR="00ED0B7E" w:rsidRPr="00ED0B7E" w:rsidRDefault="00ED0B7E" w:rsidP="00ED0B7E">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ED0B7E">
              <w:rPr>
                <w:rFonts w:ascii="Arial" w:eastAsia="DengXian" w:hAnsi="Arial"/>
                <w:sz w:val="20"/>
                <w:szCs w:val="20"/>
                <w:lang w:val="en-GB"/>
              </w:rPr>
              <w:t>Xem xét các kế hoạch hiện tại và xác định các khoảng trống trong đảm bảo giao dịch.</w:t>
            </w:r>
          </w:p>
          <w:p w14:paraId="2DFDE05B" w14:textId="22E46E8C" w:rsidR="00ED0B7E" w:rsidRPr="00ED0B7E" w:rsidRDefault="00ED0B7E" w:rsidP="00ED0B7E">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ED0B7E">
              <w:rPr>
                <w:rFonts w:ascii="Arial" w:eastAsia="DengXian" w:hAnsi="Arial"/>
                <w:sz w:val="20"/>
                <w:szCs w:val="20"/>
                <w:lang w:val="en-GB"/>
              </w:rPr>
              <w:t>Xây dựng chiến lược đưa các tiêu chuẩn đảm bảo giao dịch vào kế hoạch.</w:t>
            </w:r>
          </w:p>
          <w:p w14:paraId="35EB266E" w14:textId="1335E35B" w:rsidR="004B44BB" w:rsidRPr="004F1D15" w:rsidRDefault="00ED0B7E" w:rsidP="00ED0B7E">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bCs/>
                <w:sz w:val="20"/>
                <w:szCs w:val="20"/>
                <w:lang w:val="en-GB"/>
              </w:rPr>
            </w:pPr>
            <w:r w:rsidRPr="00ED0B7E">
              <w:rPr>
                <w:rFonts w:ascii="Arial" w:eastAsia="DengXian" w:hAnsi="Arial"/>
                <w:sz w:val="20"/>
                <w:szCs w:val="20"/>
                <w:lang w:val="en-GB"/>
              </w:rPr>
              <w:t>Tổ chức tham vấn các bên liên quan để thu thập ý kiến và xây dựng đồng thuận.</w:t>
            </w:r>
            <w:r w:rsidR="009163DB" w:rsidRPr="00516087">
              <w:rPr>
                <w:rFonts w:ascii="Arial" w:eastAsia="DengXian" w:hAnsi="Arial"/>
                <w:sz w:val="20"/>
                <w:szCs w:val="20"/>
                <w:lang w:val="en-GB"/>
              </w:rPr>
              <w:br/>
            </w:r>
          </w:p>
          <w:p w14:paraId="192E0A67" w14:textId="25E0E3DC" w:rsidR="00EC6DCF" w:rsidRPr="004F1D15" w:rsidRDefault="003A009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Trung hạn:</w:t>
            </w:r>
          </w:p>
          <w:p w14:paraId="5594DB2D" w14:textId="77777777" w:rsidR="00ED0B7E" w:rsidRPr="00ED0B7E" w:rsidRDefault="00ED0B7E" w:rsidP="00ED0B7E">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ED0B7E">
              <w:rPr>
                <w:rFonts w:ascii="Arial" w:eastAsia="DengXian" w:hAnsi="Arial"/>
                <w:sz w:val="20"/>
                <w:szCs w:val="20"/>
                <w:lang w:val="en-GB"/>
              </w:rPr>
              <w:t>Tích hợp tiêu chuẩn ISO/TC 321 vào kế hoạch.</w:t>
            </w:r>
          </w:p>
          <w:p w14:paraId="4AA91EF2" w14:textId="13DE093D" w:rsidR="00ED0B7E" w:rsidRPr="00ED0B7E" w:rsidRDefault="00ED0B7E" w:rsidP="00ED0B7E">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ED0B7E">
              <w:rPr>
                <w:rFonts w:ascii="Arial" w:eastAsia="DengXian" w:hAnsi="Arial"/>
                <w:sz w:val="20"/>
                <w:szCs w:val="20"/>
                <w:lang w:val="en-GB"/>
              </w:rPr>
              <w:t>Điều chỉnh chính sách quốc gia phù hợp với kế hoạch cập nhật.</w:t>
            </w:r>
          </w:p>
          <w:p w14:paraId="1FF4E1DE" w14:textId="6B6BBCBB" w:rsidR="004B44BB" w:rsidRPr="004F1D15" w:rsidRDefault="00ED0B7E" w:rsidP="00ED0B7E">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ED0B7E">
              <w:rPr>
                <w:rFonts w:ascii="Arial" w:eastAsia="DengXian" w:hAnsi="Arial"/>
                <w:sz w:val="20"/>
                <w:szCs w:val="20"/>
                <w:lang w:val="en-GB"/>
              </w:rPr>
              <w:lastRenderedPageBreak/>
              <w:t>Giám sát và đánh giá việc thực hiện các tiêu chuẩn mới.</w:t>
            </w:r>
            <w:r w:rsidR="009163DB" w:rsidRPr="00516087">
              <w:rPr>
                <w:rFonts w:ascii="Arial" w:eastAsia="DengXian" w:hAnsi="Arial"/>
                <w:sz w:val="20"/>
                <w:szCs w:val="20"/>
                <w:lang w:val="en-GB"/>
              </w:rPr>
              <w:br/>
            </w:r>
          </w:p>
          <w:p w14:paraId="1089D1FA" w14:textId="3D38E3B4" w:rsidR="00EC6DCF" w:rsidRPr="004F1D15" w:rsidRDefault="003A009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Dài hạn:</w:t>
            </w:r>
          </w:p>
          <w:p w14:paraId="61636499" w14:textId="77777777" w:rsidR="00ED0B7E" w:rsidRPr="00ED0B7E" w:rsidRDefault="00ED0B7E" w:rsidP="00ED0B7E">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ED0B7E">
              <w:rPr>
                <w:rFonts w:ascii="Arial" w:eastAsia="DengXian" w:hAnsi="Arial"/>
                <w:sz w:val="20"/>
                <w:szCs w:val="20"/>
                <w:lang w:val="en-GB"/>
              </w:rPr>
              <w:t>Liên tục xem xét và cập nhật kế hoạch để phản ánh các phát triển mới trong đảm bảo giao dịch.</w:t>
            </w:r>
          </w:p>
          <w:p w14:paraId="3D172C81" w14:textId="2F0892F1" w:rsidR="00ED0B7E" w:rsidRPr="00ED0B7E" w:rsidRDefault="00ED0B7E" w:rsidP="00ED0B7E">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ED0B7E">
              <w:rPr>
                <w:rFonts w:ascii="Arial" w:eastAsia="DengXian" w:hAnsi="Arial"/>
                <w:sz w:val="20"/>
                <w:szCs w:val="20"/>
                <w:lang w:val="en-GB"/>
              </w:rPr>
              <w:t>Thúc đẩy các tiêu chuẩn của kế hoạch ở cấp khu vực và toàn cầu.</w:t>
            </w:r>
          </w:p>
          <w:p w14:paraId="2A625F03" w14:textId="6E5F3EA8" w:rsidR="00ED0B7E" w:rsidRPr="004F1D15" w:rsidRDefault="00ED0B7E" w:rsidP="00ED0B7E">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ED0B7E">
              <w:rPr>
                <w:rFonts w:ascii="Arial" w:eastAsia="DengXian" w:hAnsi="Arial"/>
                <w:sz w:val="20"/>
                <w:szCs w:val="20"/>
                <w:lang w:val="en-GB"/>
              </w:rPr>
              <w:t>Đo lường tác động của các tiêu chuẩn tích hợp đối với tăng trưởng và an toàn thương mại điện tử.</w:t>
            </w:r>
          </w:p>
        </w:tc>
        <w:tc>
          <w:tcPr>
            <w:tcW w:w="2318" w:type="dxa"/>
            <w:gridSpan w:val="2"/>
            <w:tcBorders>
              <w:left w:val="single" w:sz="4" w:space="0" w:color="156082"/>
              <w:right w:val="single" w:sz="4" w:space="0" w:color="156082"/>
            </w:tcBorders>
          </w:tcPr>
          <w:p w14:paraId="6B66C29B" w14:textId="645390FF" w:rsidR="00EC6DCF" w:rsidRPr="004F1D15" w:rsidRDefault="0031083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Cơ quan điều phối:</w:t>
            </w:r>
          </w:p>
          <w:p w14:paraId="4E8BF06B" w14:textId="3417B00D" w:rsidR="00EC6DCF" w:rsidRDefault="0031083C" w:rsidP="00BC3004">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31083C">
              <w:rPr>
                <w:rFonts w:ascii="Arial" w:eastAsia="DengXian" w:hAnsi="Arial"/>
                <w:sz w:val="20"/>
                <w:szCs w:val="20"/>
                <w:lang w:val="en-GB"/>
              </w:rPr>
              <w:t xml:space="preserve">Nhóm Công tác Tiêu chuẩn và Tuân thủ Thương mại Điện tử </w:t>
            </w:r>
            <w:r w:rsidR="00E3767C">
              <w:rPr>
                <w:rFonts w:ascii="Arial" w:eastAsia="DengXian" w:hAnsi="Arial"/>
                <w:sz w:val="20"/>
                <w:szCs w:val="20"/>
                <w:lang w:val="en-GB"/>
              </w:rPr>
              <w:t>(DTSCWG)</w:t>
            </w:r>
          </w:p>
          <w:p w14:paraId="4EB3AC83" w14:textId="77777777" w:rsidR="00FF34F7" w:rsidRDefault="00FF34F7" w:rsidP="00AE74E2">
            <w:pPr>
              <w:cnfStyle w:val="000000100000" w:firstRow="0" w:lastRow="0" w:firstColumn="0" w:lastColumn="0" w:oddVBand="0" w:evenVBand="0" w:oddHBand="1" w:evenHBand="0" w:firstRowFirstColumn="0" w:firstRowLastColumn="0" w:lastRowFirstColumn="0" w:lastRowLastColumn="0"/>
              <w:rPr>
                <w:sz w:val="20"/>
                <w:szCs w:val="20"/>
              </w:rPr>
            </w:pPr>
          </w:p>
          <w:p w14:paraId="353FC6DF" w14:textId="1B197BF0" w:rsidR="00AE74E2" w:rsidRDefault="0031083C" w:rsidP="00AE74E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Cơ quan hỗ trợ:</w:t>
            </w:r>
          </w:p>
          <w:p w14:paraId="07551D8D" w14:textId="18EF744C" w:rsidR="00EC6DCF" w:rsidRPr="004F1D15" w:rsidRDefault="0031083C" w:rsidP="00BC3004">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31083C">
              <w:rPr>
                <w:rFonts w:ascii="Arial" w:eastAsia="DengXian" w:hAnsi="Arial"/>
                <w:sz w:val="20"/>
                <w:szCs w:val="20"/>
                <w:lang w:val="en-GB"/>
              </w:rPr>
              <w:t xml:space="preserve">Ủy ban Điều phối ASEAN về Thương mại Điện tử và Kinh tế số </w:t>
            </w:r>
            <w:r w:rsidR="00AE74E2">
              <w:rPr>
                <w:rFonts w:ascii="Arial" w:eastAsia="DengXian" w:hAnsi="Arial"/>
                <w:sz w:val="20"/>
                <w:szCs w:val="20"/>
                <w:lang w:val="en-GB"/>
              </w:rPr>
              <w:t>(ACCED</w:t>
            </w:r>
            <w:r w:rsidR="00AE74E2" w:rsidRPr="00AE74E2">
              <w:rPr>
                <w:rFonts w:ascii="Arial" w:eastAsia="DengXian" w:hAnsi="Arial"/>
                <w:sz w:val="20"/>
                <w:szCs w:val="20"/>
                <w:lang w:val="en-GB"/>
              </w:rPr>
              <w:t>)</w:t>
            </w:r>
          </w:p>
        </w:tc>
        <w:tc>
          <w:tcPr>
            <w:tcW w:w="3774" w:type="dxa"/>
            <w:gridSpan w:val="2"/>
            <w:tcBorders>
              <w:left w:val="single" w:sz="4" w:space="0" w:color="156082"/>
            </w:tcBorders>
          </w:tcPr>
          <w:p w14:paraId="41DD70BC" w14:textId="1A7FF435" w:rsidR="00EC6DCF" w:rsidRPr="004F1D15" w:rsidRDefault="0031083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Các chỉ số tiến độ chung bao gồm</w:t>
            </w:r>
            <w:r w:rsidR="00EC6DCF" w:rsidRPr="004F1D15">
              <w:rPr>
                <w:sz w:val="20"/>
                <w:szCs w:val="20"/>
              </w:rPr>
              <w:t>:</w:t>
            </w:r>
          </w:p>
          <w:p w14:paraId="673AA65D" w14:textId="577B782C" w:rsidR="004B44BB" w:rsidRPr="004F1D15" w:rsidRDefault="00160CF3" w:rsidP="00C82E40">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b/>
                <w:sz w:val="20"/>
                <w:szCs w:val="20"/>
                <w:lang w:val="en-GB"/>
              </w:rPr>
            </w:pPr>
            <w:r w:rsidRPr="00160CF3">
              <w:rPr>
                <w:rFonts w:ascii="Arial" w:hAnsi="Arial"/>
                <w:b/>
                <w:bCs/>
                <w:sz w:val="20"/>
                <w:szCs w:val="20"/>
                <w:lang w:val="en-GB"/>
              </w:rPr>
              <w:t>Áp dụng chính sách:</w:t>
            </w:r>
            <w:r w:rsidRPr="00160CF3">
              <w:rPr>
                <w:rFonts w:ascii="Arial" w:hAnsi="Arial"/>
                <w:sz w:val="20"/>
                <w:szCs w:val="20"/>
                <w:lang w:val="en-GB"/>
              </w:rPr>
              <w:t xml:space="preserve"> Số lượng cơ quan tiêu chuẩn quốc gia của các nước ASEAN (AMS) áp dụng tiêu chuẩn ISO/TC 321.</w:t>
            </w:r>
          </w:p>
          <w:p w14:paraId="500D19A6" w14:textId="3B1AACFE" w:rsidR="004B44BB" w:rsidRPr="004F1D15" w:rsidRDefault="00160CF3" w:rsidP="00C82E40">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160CF3">
              <w:rPr>
                <w:rFonts w:ascii="Arial" w:hAnsi="Arial"/>
                <w:b/>
                <w:bCs/>
                <w:sz w:val="20"/>
                <w:szCs w:val="20"/>
                <w:lang w:val="en-GB"/>
              </w:rPr>
              <w:t>Cập nhật kế hoạch:</w:t>
            </w:r>
            <w:r w:rsidRPr="00160CF3">
              <w:rPr>
                <w:rFonts w:ascii="Arial" w:hAnsi="Arial"/>
                <w:sz w:val="20"/>
                <w:szCs w:val="20"/>
                <w:lang w:val="en-GB"/>
              </w:rPr>
              <w:t xml:space="preserve"> Tần suất và chất lượng cập nhật Kế hoạch thực hiện Hiệp định ASEAN về Thương mại Điện tử.</w:t>
            </w:r>
          </w:p>
          <w:p w14:paraId="219DC34F" w14:textId="7550D073" w:rsidR="004B44BB" w:rsidRPr="004F1D15" w:rsidRDefault="00160CF3" w:rsidP="00C82E40">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b/>
                <w:sz w:val="20"/>
                <w:szCs w:val="20"/>
                <w:lang w:val="en-GB"/>
              </w:rPr>
            </w:pPr>
            <w:r w:rsidRPr="00160CF3">
              <w:rPr>
                <w:rFonts w:ascii="Arial" w:hAnsi="Arial"/>
                <w:b/>
                <w:bCs/>
                <w:sz w:val="20"/>
                <w:szCs w:val="20"/>
                <w:lang w:val="en-GB"/>
              </w:rPr>
              <w:t>Tăng trưởng thương mại điện tử:</w:t>
            </w:r>
            <w:r w:rsidRPr="00160CF3">
              <w:rPr>
                <w:rFonts w:ascii="Arial" w:hAnsi="Arial"/>
                <w:sz w:val="20"/>
                <w:szCs w:val="20"/>
                <w:lang w:val="en-GB"/>
              </w:rPr>
              <w:t xml:space="preserve"> Sự gia tăng về khối lượng và giá trị các giao dịch thương mại điện tử an toàn trong ASEAN.</w:t>
            </w:r>
          </w:p>
          <w:p w14:paraId="50A2BED3" w14:textId="0F621C1E" w:rsidR="00EC6DCF" w:rsidRPr="004F1D15" w:rsidRDefault="00EC6DCF">
            <w:pPr>
              <w:cnfStyle w:val="000000100000" w:firstRow="0" w:lastRow="0" w:firstColumn="0" w:lastColumn="0" w:oddVBand="0" w:evenVBand="0" w:oddHBand="1" w:evenHBand="0" w:firstRowFirstColumn="0" w:firstRowLastColumn="0" w:lastRowFirstColumn="0" w:lastRowLastColumn="0"/>
              <w:rPr>
                <w:sz w:val="20"/>
                <w:szCs w:val="20"/>
              </w:rPr>
            </w:pPr>
          </w:p>
        </w:tc>
      </w:tr>
    </w:tbl>
    <w:p w14:paraId="06EA1240" w14:textId="77777777" w:rsidR="00964CC3" w:rsidRPr="004F1D15" w:rsidRDefault="00964CC3" w:rsidP="00964CC3">
      <w:pPr>
        <w:rPr>
          <w:sz w:val="20"/>
          <w:szCs w:val="20"/>
        </w:rPr>
      </w:pPr>
    </w:p>
    <w:p w14:paraId="42305BC7" w14:textId="74F96BC2" w:rsidR="002467C1" w:rsidRPr="004F1D15" w:rsidRDefault="000B7F1E" w:rsidP="002467C1">
      <w:pPr>
        <w:pStyle w:val="Heading4"/>
        <w:rPr>
          <w:sz w:val="20"/>
          <w:lang w:val="en-GB"/>
        </w:rPr>
      </w:pPr>
      <w:r>
        <w:rPr>
          <w:sz w:val="20"/>
          <w:lang w:val="en-GB"/>
        </w:rPr>
        <w:t>Danh</w:t>
      </w:r>
      <w:r>
        <w:rPr>
          <w:sz w:val="20"/>
          <w:lang w:val="vi-VN"/>
        </w:rPr>
        <w:t xml:space="preserve"> mục</w:t>
      </w:r>
      <w:r w:rsidR="002467C1" w:rsidRPr="004F1D15">
        <w:rPr>
          <w:sz w:val="20"/>
          <w:lang w:val="en-GB"/>
        </w:rPr>
        <w:t xml:space="preserve"> 2: </w:t>
      </w:r>
      <w:r w:rsidR="002467C1">
        <w:rPr>
          <w:sz w:val="20"/>
          <w:lang w:val="en-GB"/>
        </w:rPr>
        <w:t>Xây dựng năng lực và Hỗ trợ kỹ thuật</w:t>
      </w:r>
    </w:p>
    <w:tbl>
      <w:tblPr>
        <w:tblStyle w:val="ListTable3-Accent11"/>
        <w:tblW w:w="15314" w:type="dxa"/>
        <w:tblLook w:val="04A0" w:firstRow="1" w:lastRow="0" w:firstColumn="1" w:lastColumn="0" w:noHBand="0" w:noVBand="1"/>
      </w:tblPr>
      <w:tblGrid>
        <w:gridCol w:w="1694"/>
        <w:gridCol w:w="3764"/>
        <w:gridCol w:w="7"/>
        <w:gridCol w:w="3757"/>
        <w:gridCol w:w="15"/>
        <w:gridCol w:w="2303"/>
        <w:gridCol w:w="14"/>
        <w:gridCol w:w="3760"/>
      </w:tblGrid>
      <w:tr w:rsidR="002467C1" w:rsidRPr="004F1D15" w14:paraId="3440D113" w14:textId="77777777" w:rsidTr="00E356B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4" w:type="dxa"/>
            <w:tcBorders>
              <w:bottom w:val="single" w:sz="4" w:space="0" w:color="156082"/>
            </w:tcBorders>
            <w:shd w:val="clear" w:color="auto" w:fill="002060"/>
          </w:tcPr>
          <w:p w14:paraId="543DB9DB" w14:textId="136CE190" w:rsidR="002467C1" w:rsidRPr="004F1D15" w:rsidRDefault="002467C1" w:rsidP="00E356BB">
            <w:pPr>
              <w:jc w:val="center"/>
              <w:rPr>
                <w:sz w:val="20"/>
                <w:szCs w:val="20"/>
              </w:rPr>
            </w:pPr>
            <w:r w:rsidRPr="002467C1">
              <w:rPr>
                <w:sz w:val="20"/>
                <w:szCs w:val="20"/>
              </w:rPr>
              <w:t>Khu vực hành động</w:t>
            </w:r>
          </w:p>
        </w:tc>
        <w:tc>
          <w:tcPr>
            <w:tcW w:w="3771" w:type="dxa"/>
            <w:gridSpan w:val="2"/>
            <w:shd w:val="clear" w:color="auto" w:fill="002060"/>
          </w:tcPr>
          <w:p w14:paraId="5F0FFB38" w14:textId="6B875536" w:rsidR="002467C1" w:rsidRPr="004F1D15" w:rsidRDefault="00AE3252" w:rsidP="00E356BB">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Lĩnh vực trọng tâm</w:t>
            </w:r>
          </w:p>
        </w:tc>
        <w:tc>
          <w:tcPr>
            <w:tcW w:w="3772" w:type="dxa"/>
            <w:gridSpan w:val="2"/>
            <w:shd w:val="clear" w:color="auto" w:fill="002060"/>
          </w:tcPr>
          <w:p w14:paraId="03258C6F" w14:textId="4641541C" w:rsidR="002467C1" w:rsidRPr="004F1D15" w:rsidRDefault="00AE3252" w:rsidP="00E356BB">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AE3252">
              <w:rPr>
                <w:sz w:val="20"/>
                <w:szCs w:val="20"/>
              </w:rPr>
              <w:t>Mốc đề xuất và khung thời gian dự kiến</w:t>
            </w:r>
            <w:r w:rsidR="002467C1" w:rsidRPr="00AA2441">
              <w:rPr>
                <w:sz w:val="20"/>
                <w:szCs w:val="20"/>
                <w:vertAlign w:val="superscript"/>
              </w:rPr>
              <w:footnoteReference w:id="335"/>
            </w:r>
          </w:p>
        </w:tc>
        <w:tc>
          <w:tcPr>
            <w:tcW w:w="2317" w:type="dxa"/>
            <w:gridSpan w:val="2"/>
            <w:shd w:val="clear" w:color="auto" w:fill="002060"/>
          </w:tcPr>
          <w:p w14:paraId="52891FD1" w14:textId="18997CB8" w:rsidR="002467C1" w:rsidRPr="004F1D15" w:rsidRDefault="00AE3252" w:rsidP="00E356BB">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Các bên chịu trách nhiệm</w:t>
            </w:r>
          </w:p>
        </w:tc>
        <w:tc>
          <w:tcPr>
            <w:tcW w:w="3760" w:type="dxa"/>
            <w:shd w:val="clear" w:color="auto" w:fill="002060"/>
          </w:tcPr>
          <w:p w14:paraId="7196762F" w14:textId="67280D00" w:rsidR="002467C1" w:rsidRPr="004F1D15" w:rsidRDefault="00AE3252" w:rsidP="00E356BB">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Chỉ số đo lường tiến độ</w:t>
            </w:r>
          </w:p>
        </w:tc>
      </w:tr>
      <w:tr w:rsidR="002467C1" w:rsidRPr="004F1D15" w14:paraId="01ED107F" w14:textId="77777777" w:rsidTr="00E35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shd w:val="clear" w:color="auto" w:fill="00B0F0"/>
          </w:tcPr>
          <w:p w14:paraId="35A1A43D" w14:textId="1BBF5204" w:rsidR="002467C1" w:rsidRPr="004F1D15" w:rsidRDefault="00AE3252" w:rsidP="00E356BB">
            <w:pPr>
              <w:jc w:val="center"/>
              <w:rPr>
                <w:sz w:val="20"/>
                <w:szCs w:val="20"/>
              </w:rPr>
            </w:pPr>
            <w:r>
              <w:rPr>
                <w:sz w:val="20"/>
                <w:szCs w:val="20"/>
              </w:rPr>
              <w:t>Khu vực hành động chính</w:t>
            </w:r>
          </w:p>
        </w:tc>
        <w:tc>
          <w:tcPr>
            <w:tcW w:w="13620" w:type="dxa"/>
            <w:gridSpan w:val="7"/>
            <w:tcBorders>
              <w:left w:val="single" w:sz="4" w:space="0" w:color="156082"/>
            </w:tcBorders>
            <w:shd w:val="clear" w:color="auto" w:fill="00B0F0"/>
          </w:tcPr>
          <w:p w14:paraId="152685F0" w14:textId="3029FC89" w:rsidR="002467C1" w:rsidRPr="004F1D15" w:rsidRDefault="002467C1" w:rsidP="00E356BB">
            <w:pPr>
              <w:cnfStyle w:val="000000100000" w:firstRow="0" w:lastRow="0" w:firstColumn="0" w:lastColumn="0" w:oddVBand="0" w:evenVBand="0" w:oddHBand="1" w:evenHBand="0" w:firstRowFirstColumn="0" w:firstRowLastColumn="0" w:lastRowFirstColumn="0" w:lastRowLastColumn="0"/>
              <w:rPr>
                <w:rFonts w:eastAsiaTheme="minorEastAsia"/>
                <w:b/>
                <w:bCs/>
                <w:sz w:val="20"/>
                <w:szCs w:val="20"/>
              </w:rPr>
            </w:pPr>
            <w:r>
              <w:rPr>
                <w:b/>
                <w:bCs/>
                <w:sz w:val="20"/>
                <w:szCs w:val="20"/>
              </w:rPr>
              <w:t>6.2.3.2</w:t>
            </w:r>
            <w:r w:rsidRPr="004F1D15">
              <w:rPr>
                <w:b/>
                <w:sz w:val="20"/>
                <w:szCs w:val="20"/>
              </w:rPr>
              <w:t xml:space="preserve"> </w:t>
            </w:r>
            <w:r w:rsidR="003018B8">
              <w:rPr>
                <w:b/>
                <w:sz w:val="20"/>
                <w:szCs w:val="20"/>
              </w:rPr>
              <w:t>T</w:t>
            </w:r>
            <w:r w:rsidR="003018B8" w:rsidRPr="003018B8">
              <w:rPr>
                <w:b/>
                <w:sz w:val="20"/>
                <w:szCs w:val="20"/>
              </w:rPr>
              <w:t>ăng cường áp dụng Tiêu chuẩn Đảm bảo Giao dịch ISO/TC 321 trong các nước ASEAN (AMS)</w:t>
            </w:r>
          </w:p>
        </w:tc>
      </w:tr>
      <w:tr w:rsidR="002467C1" w:rsidRPr="004F1D15" w14:paraId="439B6DD0" w14:textId="77777777" w:rsidTr="00E356BB">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156082"/>
              <w:bottom w:val="single" w:sz="4" w:space="0" w:color="156082"/>
              <w:right w:val="single" w:sz="4" w:space="0" w:color="156082"/>
            </w:tcBorders>
            <w:shd w:val="clear" w:color="auto" w:fill="BDD6EE" w:themeFill="accent5" w:themeFillTint="66"/>
          </w:tcPr>
          <w:p w14:paraId="7E9E9679" w14:textId="7497C5D7" w:rsidR="002467C1" w:rsidRPr="004F1D15" w:rsidRDefault="00BD0284" w:rsidP="00E356BB">
            <w:pPr>
              <w:jc w:val="center"/>
              <w:rPr>
                <w:sz w:val="20"/>
                <w:szCs w:val="20"/>
              </w:rPr>
            </w:pPr>
            <w:r>
              <w:rPr>
                <w:sz w:val="20"/>
                <w:szCs w:val="20"/>
              </w:rPr>
              <w:t>Mục tiêu</w:t>
            </w:r>
          </w:p>
        </w:tc>
        <w:tc>
          <w:tcPr>
            <w:tcW w:w="13620" w:type="dxa"/>
            <w:gridSpan w:val="7"/>
            <w:tcBorders>
              <w:left w:val="single" w:sz="4" w:space="0" w:color="156082"/>
            </w:tcBorders>
            <w:shd w:val="clear" w:color="auto" w:fill="BDD6EE" w:themeFill="accent5" w:themeFillTint="66"/>
          </w:tcPr>
          <w:p w14:paraId="24FFA4F6" w14:textId="53A33535" w:rsidR="002467C1" w:rsidRPr="00516087" w:rsidRDefault="003018B8" w:rsidP="002467C1">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DengXian" w:hAnsi="Arial"/>
                <w:sz w:val="20"/>
                <w:szCs w:val="20"/>
                <w:lang w:val="en-GB"/>
              </w:rPr>
            </w:pPr>
            <w:r>
              <w:rPr>
                <w:rFonts w:ascii="Arial" w:eastAsia="DengXian" w:hAnsi="Arial"/>
                <w:b/>
                <w:sz w:val="20"/>
                <w:szCs w:val="20"/>
                <w:lang w:val="en-GB"/>
              </w:rPr>
              <w:t xml:space="preserve">Xây </w:t>
            </w:r>
            <w:r w:rsidRPr="003018B8">
              <w:rPr>
                <w:rFonts w:ascii="Arial" w:eastAsia="DengXian" w:hAnsi="Arial"/>
                <w:b/>
                <w:bCs/>
                <w:sz w:val="20"/>
                <w:szCs w:val="20"/>
                <w:lang w:val="en-GB"/>
              </w:rPr>
              <w:t>dựng chuyên môn kỹ thuật:</w:t>
            </w:r>
            <w:r w:rsidRPr="003018B8">
              <w:rPr>
                <w:rFonts w:ascii="Arial" w:eastAsia="DengXian" w:hAnsi="Arial"/>
                <w:sz w:val="20"/>
                <w:szCs w:val="20"/>
                <w:lang w:val="en-GB"/>
              </w:rPr>
              <w:t xml:space="preserve"> Phát triển chuyên môn kỹ thuật của AMS về đảm bảo giao dịch để đảm bảo việc áp dụng và thực hiện hiệu quả tiêu chuẩn ISO/TC 321.</w:t>
            </w:r>
          </w:p>
          <w:p w14:paraId="7E68254A" w14:textId="64149BA8" w:rsidR="002467C1" w:rsidRPr="00516087" w:rsidRDefault="003018B8" w:rsidP="002467C1">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DengXian" w:hAnsi="Arial"/>
                <w:b/>
                <w:sz w:val="20"/>
                <w:szCs w:val="20"/>
                <w:lang w:val="en-GB"/>
              </w:rPr>
            </w:pPr>
            <w:r w:rsidRPr="003018B8">
              <w:rPr>
                <w:rFonts w:ascii="Arial" w:eastAsia="DengXian" w:hAnsi="Arial"/>
                <w:b/>
                <w:bCs/>
                <w:sz w:val="20"/>
                <w:szCs w:val="20"/>
                <w:lang w:val="en-GB"/>
              </w:rPr>
              <w:t>Nâng cao tuân thủ:</w:t>
            </w:r>
            <w:r w:rsidRPr="003018B8">
              <w:rPr>
                <w:rFonts w:ascii="Arial" w:eastAsia="DengXian" w:hAnsi="Arial"/>
                <w:sz w:val="20"/>
                <w:szCs w:val="20"/>
                <w:lang w:val="en-GB"/>
              </w:rPr>
              <w:t xml:space="preserve"> Hỗ trợ AMS đáp ứng các tiêu chuẩn đảm bảo giao dịch quốc tế, tăng cường tuân thủ và tạo điều kiện cho thương mại điện tử xuyên biên giới.</w:t>
            </w:r>
          </w:p>
          <w:p w14:paraId="7C6B835C" w14:textId="5FB34FEB" w:rsidR="002467C1" w:rsidRPr="00516087" w:rsidRDefault="003018B8" w:rsidP="002467C1">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hAnsi="Arial"/>
                <w:sz w:val="20"/>
                <w:szCs w:val="20"/>
                <w:lang w:val="en-GB"/>
              </w:rPr>
            </w:pPr>
            <w:r w:rsidRPr="0049505F">
              <w:rPr>
                <w:rFonts w:ascii="Arial" w:eastAsia="DengXian" w:hAnsi="Arial"/>
                <w:b/>
                <w:bCs/>
                <w:sz w:val="20"/>
                <w:szCs w:val="20"/>
                <w:lang w:val="en-GB"/>
              </w:rPr>
              <w:t>Củng cố năng lực thể chế:</w:t>
            </w:r>
            <w:r w:rsidRPr="003018B8">
              <w:rPr>
                <w:rFonts w:ascii="Arial" w:eastAsia="DengXian" w:hAnsi="Arial"/>
                <w:sz w:val="20"/>
                <w:szCs w:val="20"/>
                <w:lang w:val="en-GB"/>
              </w:rPr>
              <w:t xml:space="preserve"> Nâng cao năng lực của các cơ quan quốc gia trong việc hỗ trợ áp dụng và thực thi các tiêu chuẩn đảm bảo giao dịch.</w:t>
            </w:r>
          </w:p>
        </w:tc>
      </w:tr>
      <w:tr w:rsidR="002467C1" w:rsidRPr="004F1D15" w14:paraId="0695FB9A" w14:textId="77777777" w:rsidTr="00E35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tcPr>
          <w:p w14:paraId="3CD0951C" w14:textId="415D5301" w:rsidR="002467C1" w:rsidRPr="004F1D15" w:rsidRDefault="002467C1" w:rsidP="00E356BB">
            <w:pPr>
              <w:jc w:val="center"/>
              <w:rPr>
                <w:sz w:val="20"/>
                <w:szCs w:val="20"/>
              </w:rPr>
            </w:pPr>
            <w:r>
              <w:rPr>
                <w:sz w:val="20"/>
                <w:szCs w:val="20"/>
              </w:rPr>
              <w:t>6.2.3.2</w:t>
            </w:r>
            <w:r w:rsidRPr="004F1D15">
              <w:rPr>
                <w:sz w:val="20"/>
                <w:szCs w:val="20"/>
              </w:rPr>
              <w:t xml:space="preserve"> </w:t>
            </w:r>
            <w:r w:rsidR="003018B8">
              <w:rPr>
                <w:sz w:val="20"/>
                <w:szCs w:val="20"/>
              </w:rPr>
              <w:t>t</w:t>
            </w:r>
            <w:r w:rsidR="003018B8" w:rsidRPr="003018B8">
              <w:rPr>
                <w:sz w:val="20"/>
                <w:szCs w:val="20"/>
              </w:rPr>
              <w:t xml:space="preserve">ăng cường áp dụng Tiêu chuẩn Đảm bảo Giao dịch ISO/TC 321 trong các </w:t>
            </w:r>
            <w:r w:rsidR="003018B8" w:rsidRPr="003018B8">
              <w:rPr>
                <w:sz w:val="20"/>
                <w:szCs w:val="20"/>
              </w:rPr>
              <w:lastRenderedPageBreak/>
              <w:t>nước ASEAN (AMS)</w:t>
            </w:r>
          </w:p>
        </w:tc>
        <w:tc>
          <w:tcPr>
            <w:tcW w:w="3764" w:type="dxa"/>
            <w:tcBorders>
              <w:left w:val="single" w:sz="4" w:space="0" w:color="156082"/>
              <w:right w:val="single" w:sz="4" w:space="0" w:color="156082"/>
            </w:tcBorders>
          </w:tcPr>
          <w:p w14:paraId="28F53721" w14:textId="449A86DE" w:rsidR="002467C1" w:rsidRPr="00BC3004" w:rsidRDefault="0049505F" w:rsidP="002467C1">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49505F">
              <w:rPr>
                <w:rFonts w:ascii="Arial" w:eastAsia="DengXian" w:hAnsi="Arial"/>
                <w:b/>
                <w:bCs/>
                <w:color w:val="auto"/>
                <w:sz w:val="20"/>
                <w:szCs w:val="20"/>
                <w:lang w:val="en-GB"/>
              </w:rPr>
              <w:lastRenderedPageBreak/>
              <w:t>Chương trình đào tạo:</w:t>
            </w:r>
            <w:r w:rsidRPr="0049505F">
              <w:rPr>
                <w:rFonts w:ascii="Arial" w:eastAsia="DengXian" w:hAnsi="Arial"/>
                <w:color w:val="auto"/>
                <w:sz w:val="20"/>
                <w:szCs w:val="20"/>
                <w:lang w:val="en-GB"/>
              </w:rPr>
              <w:t xml:space="preserve"> Xây dựng các chương trình đào tạo toàn diện về tiêu chuẩn ISO/TC 321 cho các nhà quản lý và chuyên gia ngành.</w:t>
            </w:r>
          </w:p>
          <w:p w14:paraId="6250AC4D" w14:textId="43D748DC" w:rsidR="002467C1" w:rsidRPr="00516087" w:rsidRDefault="0049505F" w:rsidP="00E356BB">
            <w:pPr>
              <w:pStyle w:val="ListParagraph"/>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49505F">
              <w:rPr>
                <w:rFonts w:ascii="Arial" w:eastAsia="DengXian" w:hAnsi="Arial"/>
                <w:b/>
                <w:bCs/>
                <w:color w:val="auto"/>
                <w:sz w:val="20"/>
                <w:szCs w:val="20"/>
                <w:lang w:val="en-GB"/>
              </w:rPr>
              <w:lastRenderedPageBreak/>
              <w:t>Hỗ trợ kỹ thuật:</w:t>
            </w:r>
            <w:r w:rsidRPr="0049505F">
              <w:rPr>
                <w:rFonts w:ascii="Arial" w:eastAsia="DengXian" w:hAnsi="Arial"/>
                <w:color w:val="auto"/>
                <w:sz w:val="20"/>
                <w:szCs w:val="20"/>
                <w:lang w:val="en-GB"/>
              </w:rPr>
              <w:t xml:space="preserve"> Cung cấp hỗ trợ kỹ thuật cho AMS trong việc triển khai và giám sát tiêu chuẩn đảm bảo giao dịch.</w:t>
            </w:r>
          </w:p>
          <w:p w14:paraId="4BEEF278" w14:textId="600F7103" w:rsidR="002467C1" w:rsidRPr="00516087" w:rsidRDefault="0049505F" w:rsidP="00E356BB">
            <w:pPr>
              <w:pStyle w:val="ListParagraph"/>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49505F">
              <w:rPr>
                <w:rFonts w:ascii="Arial" w:eastAsia="DengXian" w:hAnsi="Arial"/>
                <w:b/>
                <w:bCs/>
                <w:color w:val="auto"/>
                <w:sz w:val="20"/>
                <w:szCs w:val="20"/>
                <w:lang w:val="en-GB"/>
              </w:rPr>
              <w:t>Hỗ trợ thể chế:</w:t>
            </w:r>
            <w:r w:rsidRPr="0049505F">
              <w:rPr>
                <w:rFonts w:ascii="Arial" w:eastAsia="DengXian" w:hAnsi="Arial"/>
                <w:color w:val="auto"/>
                <w:sz w:val="20"/>
                <w:szCs w:val="20"/>
                <w:lang w:val="en-GB"/>
              </w:rPr>
              <w:t xml:space="preserve"> Củng cố năng lực các cơ quan quốc gia để hỗ trợ việc áp dụng tiêu chuẩn.</w:t>
            </w:r>
          </w:p>
          <w:p w14:paraId="28D8C009" w14:textId="77777777" w:rsidR="002467C1" w:rsidRPr="004F1D15" w:rsidRDefault="002467C1" w:rsidP="00E356BB">
            <w:pPr>
              <w:cnfStyle w:val="000000100000" w:firstRow="0" w:lastRow="0" w:firstColumn="0" w:lastColumn="0" w:oddVBand="0" w:evenVBand="0" w:oddHBand="1" w:evenHBand="0" w:firstRowFirstColumn="0" w:firstRowLastColumn="0" w:lastRowFirstColumn="0" w:lastRowLastColumn="0"/>
              <w:rPr>
                <w:sz w:val="20"/>
                <w:szCs w:val="20"/>
              </w:rPr>
            </w:pPr>
          </w:p>
        </w:tc>
        <w:tc>
          <w:tcPr>
            <w:tcW w:w="3764" w:type="dxa"/>
            <w:gridSpan w:val="2"/>
            <w:tcBorders>
              <w:left w:val="single" w:sz="4" w:space="0" w:color="156082"/>
              <w:right w:val="single" w:sz="4" w:space="0" w:color="156082"/>
            </w:tcBorders>
          </w:tcPr>
          <w:p w14:paraId="1E4BD5F7" w14:textId="422DE21A" w:rsidR="002467C1" w:rsidRPr="004F1D15" w:rsidRDefault="0049505F" w:rsidP="00E356B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Ngắn hạn:</w:t>
            </w:r>
          </w:p>
          <w:p w14:paraId="544879DA" w14:textId="2F5DB711" w:rsidR="000C5021" w:rsidRPr="000C5021" w:rsidRDefault="000C5021" w:rsidP="000C5021">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0C5021">
              <w:rPr>
                <w:rFonts w:ascii="Arial" w:eastAsia="DengXian" w:hAnsi="Arial"/>
                <w:sz w:val="20"/>
                <w:szCs w:val="20"/>
                <w:lang w:val="en-GB"/>
              </w:rPr>
              <w:t>Xây dựng và triển khai các chương trình đào tạo về tiêu chuẩn đảm bảo giao dịch.</w:t>
            </w:r>
          </w:p>
          <w:p w14:paraId="7B777A8E" w14:textId="21CCAFE3" w:rsidR="000C5021" w:rsidRPr="000C5021" w:rsidRDefault="000C5021" w:rsidP="000C5021">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0C5021">
              <w:rPr>
                <w:rFonts w:ascii="Arial" w:eastAsia="DengXian" w:hAnsi="Arial"/>
                <w:sz w:val="20"/>
                <w:szCs w:val="20"/>
                <w:lang w:val="en-GB"/>
              </w:rPr>
              <w:lastRenderedPageBreak/>
              <w:t>Thành lập các nhóm hỗ trợ kỹ thuật cho AMS.</w:t>
            </w:r>
          </w:p>
          <w:p w14:paraId="70B4FC45" w14:textId="24B9F484" w:rsidR="002467C1" w:rsidRPr="004F1D15" w:rsidRDefault="000C5021" w:rsidP="000C5021">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bCs/>
                <w:sz w:val="20"/>
                <w:szCs w:val="20"/>
                <w:lang w:val="en-GB"/>
              </w:rPr>
            </w:pPr>
            <w:r w:rsidRPr="000C5021">
              <w:rPr>
                <w:rFonts w:ascii="Arial" w:eastAsia="DengXian" w:hAnsi="Arial"/>
                <w:sz w:val="20"/>
                <w:szCs w:val="20"/>
                <w:lang w:val="en-GB"/>
              </w:rPr>
              <w:t>Khởi xướng các sáng kiến xây dựng năng lực thể chế.</w:t>
            </w:r>
            <w:r w:rsidR="002467C1" w:rsidRPr="00516087">
              <w:rPr>
                <w:rFonts w:ascii="Arial" w:eastAsia="DengXian" w:hAnsi="Arial"/>
                <w:sz w:val="20"/>
                <w:szCs w:val="20"/>
                <w:lang w:val="en-GB"/>
              </w:rPr>
              <w:br/>
            </w:r>
          </w:p>
          <w:p w14:paraId="6A3ECA04" w14:textId="68459A8E" w:rsidR="002467C1" w:rsidRPr="004F1D15" w:rsidRDefault="000C5021" w:rsidP="00E356B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Trung hạn:</w:t>
            </w:r>
          </w:p>
          <w:p w14:paraId="3D2BABEC" w14:textId="3035E07A" w:rsidR="000C5021" w:rsidRPr="000C5021" w:rsidRDefault="000C5021" w:rsidP="000C5021">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eastAsia="DengXian" w:hAnsi="Arial"/>
                <w:bCs/>
                <w:sz w:val="20"/>
                <w:szCs w:val="20"/>
                <w:lang w:val="en-GB"/>
              </w:rPr>
            </w:pPr>
            <w:r w:rsidRPr="000C5021">
              <w:rPr>
                <w:rFonts w:ascii="Arial" w:eastAsia="DengXian" w:hAnsi="Arial"/>
                <w:bCs/>
                <w:sz w:val="20"/>
                <w:szCs w:val="20"/>
                <w:lang w:val="en-GB"/>
              </w:rPr>
              <w:t>Triển khai đào tạo trên toàn bộ AMS.</w:t>
            </w:r>
          </w:p>
          <w:p w14:paraId="4F6F5A05" w14:textId="5371C3B5" w:rsidR="000C5021" w:rsidRPr="000C5021" w:rsidRDefault="000C5021" w:rsidP="000C5021">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eastAsia="DengXian" w:hAnsi="Arial"/>
                <w:bCs/>
                <w:sz w:val="20"/>
                <w:szCs w:val="20"/>
                <w:lang w:val="en-GB"/>
              </w:rPr>
            </w:pPr>
            <w:r w:rsidRPr="000C5021">
              <w:rPr>
                <w:rFonts w:ascii="Arial" w:eastAsia="DengXian" w:hAnsi="Arial"/>
                <w:bCs/>
                <w:sz w:val="20"/>
                <w:szCs w:val="20"/>
                <w:lang w:val="en-GB"/>
              </w:rPr>
              <w:t>Giám sát và đánh giá hiệu quả hỗ trợ kỹ thuật.</w:t>
            </w:r>
          </w:p>
          <w:p w14:paraId="741F8752" w14:textId="65417064" w:rsidR="000C5021" w:rsidRPr="004F1D15" w:rsidRDefault="000C5021" w:rsidP="000C5021">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eastAsia="DengXian" w:hAnsi="Arial"/>
                <w:bCs/>
                <w:sz w:val="20"/>
                <w:szCs w:val="20"/>
                <w:lang w:val="en-GB"/>
              </w:rPr>
            </w:pPr>
            <w:r w:rsidRPr="000C5021">
              <w:rPr>
                <w:rFonts w:ascii="Arial" w:eastAsia="DengXian" w:hAnsi="Arial"/>
                <w:bCs/>
                <w:sz w:val="20"/>
                <w:szCs w:val="20"/>
                <w:lang w:val="en-GB"/>
              </w:rPr>
              <w:t>Nâng cao cơ chế hỗ trợ thể chế.</w:t>
            </w:r>
          </w:p>
          <w:p w14:paraId="7B19BA28" w14:textId="55379E2C" w:rsidR="002467C1" w:rsidRPr="004F1D15" w:rsidRDefault="000C5021" w:rsidP="00E356B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Dài hạn:</w:t>
            </w:r>
          </w:p>
          <w:p w14:paraId="0B1EA406" w14:textId="77777777" w:rsidR="000C5021" w:rsidRPr="000C5021" w:rsidRDefault="000C5021" w:rsidP="000C5021">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0C5021">
              <w:rPr>
                <w:rFonts w:ascii="Arial" w:eastAsia="DengXian" w:hAnsi="Arial"/>
                <w:sz w:val="20"/>
                <w:szCs w:val="20"/>
                <w:lang w:val="en-GB"/>
              </w:rPr>
              <w:t>Đảm bảo phát triển chuyên môn liên tục cho các nhà quản lý và chuyên gia ngành.</w:t>
            </w:r>
          </w:p>
          <w:p w14:paraId="31872929" w14:textId="251193B8" w:rsidR="000C5021" w:rsidRPr="000C5021" w:rsidRDefault="000C5021" w:rsidP="000C5021">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0C5021">
              <w:rPr>
                <w:rFonts w:ascii="Arial" w:eastAsia="DengXian" w:hAnsi="Arial"/>
                <w:sz w:val="20"/>
                <w:szCs w:val="20"/>
                <w:lang w:val="en-GB"/>
              </w:rPr>
              <w:t>Liên tục cập nhật các chương trình đào tạo và hỗ trợ kỹ thuật.</w:t>
            </w:r>
          </w:p>
          <w:p w14:paraId="528E4A7E" w14:textId="3540EB27" w:rsidR="000C5021" w:rsidRPr="004F1D15" w:rsidRDefault="000C5021" w:rsidP="000C5021">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0C5021">
              <w:rPr>
                <w:rFonts w:ascii="Arial" w:eastAsia="DengXian" w:hAnsi="Arial"/>
                <w:sz w:val="20"/>
                <w:szCs w:val="20"/>
                <w:lang w:val="en-GB"/>
              </w:rPr>
              <w:t>Duy trì hỗ trợ thể chế vững chắc cho việc áp dụng và thực thi tiêu chuẩn.</w:t>
            </w:r>
          </w:p>
        </w:tc>
        <w:tc>
          <w:tcPr>
            <w:tcW w:w="2318" w:type="dxa"/>
            <w:gridSpan w:val="2"/>
            <w:tcBorders>
              <w:left w:val="single" w:sz="4" w:space="0" w:color="156082"/>
              <w:right w:val="single" w:sz="4" w:space="0" w:color="156082"/>
            </w:tcBorders>
          </w:tcPr>
          <w:p w14:paraId="37CC9A2B" w14:textId="632977F9" w:rsidR="002467C1" w:rsidRPr="004F1D15" w:rsidRDefault="00043573" w:rsidP="00E356B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Cơ quan điều phối:</w:t>
            </w:r>
          </w:p>
          <w:p w14:paraId="3F4327A8" w14:textId="5FB2F64E" w:rsidR="002467C1" w:rsidRDefault="00043573" w:rsidP="002467C1">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043573">
              <w:rPr>
                <w:rFonts w:ascii="Arial" w:eastAsia="DengXian" w:hAnsi="Arial"/>
                <w:sz w:val="20"/>
                <w:szCs w:val="20"/>
                <w:lang w:val="en-GB"/>
              </w:rPr>
              <w:t>Nhóm Công tác Tiêu chuẩn và Tuân thủ Thương mại Điện tử (DTSCWG)</w:t>
            </w:r>
          </w:p>
          <w:p w14:paraId="0E552F2D" w14:textId="77777777" w:rsidR="002467C1" w:rsidRDefault="002467C1" w:rsidP="00E356BB">
            <w:pPr>
              <w:cnfStyle w:val="000000100000" w:firstRow="0" w:lastRow="0" w:firstColumn="0" w:lastColumn="0" w:oddVBand="0" w:evenVBand="0" w:oddHBand="1" w:evenHBand="0" w:firstRowFirstColumn="0" w:firstRowLastColumn="0" w:lastRowFirstColumn="0" w:lastRowLastColumn="0"/>
              <w:rPr>
                <w:sz w:val="20"/>
                <w:szCs w:val="20"/>
              </w:rPr>
            </w:pPr>
          </w:p>
          <w:p w14:paraId="74FF8E56" w14:textId="1E76AA64" w:rsidR="002467C1" w:rsidRDefault="00043573" w:rsidP="00E356B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Cơ quan hỗ trợ:</w:t>
            </w:r>
          </w:p>
          <w:p w14:paraId="0B0473E7" w14:textId="38A7710A" w:rsidR="002467C1" w:rsidRPr="00C20E01" w:rsidRDefault="00322443" w:rsidP="002467C1">
            <w:pPr>
              <w:numPr>
                <w:ilvl w:val="0"/>
                <w:numId w:val="17"/>
              </w:numPr>
              <w:cnfStyle w:val="000000100000" w:firstRow="0" w:lastRow="0" w:firstColumn="0" w:lastColumn="0" w:oddVBand="0" w:evenVBand="0" w:oddHBand="1" w:evenHBand="0" w:firstRowFirstColumn="0" w:firstRowLastColumn="0" w:lastRowFirstColumn="0" w:lastRowLastColumn="0"/>
              <w:rPr>
                <w:sz w:val="20"/>
                <w:szCs w:val="20"/>
              </w:rPr>
            </w:pPr>
            <w:r w:rsidRPr="00322443">
              <w:rPr>
                <w:sz w:val="20"/>
                <w:szCs w:val="20"/>
              </w:rPr>
              <w:t>Ủy ban Điều phối ASEAN về Thương mại Điện tử và Kinh tế số (ACCED)</w:t>
            </w:r>
          </w:p>
        </w:tc>
        <w:tc>
          <w:tcPr>
            <w:tcW w:w="3774" w:type="dxa"/>
            <w:gridSpan w:val="2"/>
            <w:tcBorders>
              <w:left w:val="single" w:sz="4" w:space="0" w:color="156082"/>
            </w:tcBorders>
          </w:tcPr>
          <w:p w14:paraId="44DF25BB" w14:textId="72D27A2B" w:rsidR="002467C1" w:rsidRPr="004F1D15" w:rsidRDefault="00322443" w:rsidP="00E356B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Các chỉ số tiến độ chung bao gồm</w:t>
            </w:r>
            <w:r w:rsidR="002467C1" w:rsidRPr="004F1D15">
              <w:rPr>
                <w:sz w:val="20"/>
                <w:szCs w:val="20"/>
              </w:rPr>
              <w:t>:</w:t>
            </w:r>
          </w:p>
          <w:p w14:paraId="2AF62A2B" w14:textId="77777777" w:rsidR="00322443" w:rsidRPr="00322443" w:rsidRDefault="00322443" w:rsidP="00322443">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bCs/>
                <w:sz w:val="20"/>
                <w:szCs w:val="20"/>
                <w:lang w:val="en-GB"/>
              </w:rPr>
            </w:pPr>
            <w:r w:rsidRPr="00322443">
              <w:rPr>
                <w:rFonts w:ascii="Arial" w:hAnsi="Arial"/>
                <w:b/>
                <w:sz w:val="20"/>
                <w:szCs w:val="20"/>
                <w:lang w:val="en-GB"/>
              </w:rPr>
              <w:t xml:space="preserve">Tham gia đào tạo: </w:t>
            </w:r>
            <w:r w:rsidRPr="00322443">
              <w:rPr>
                <w:rFonts w:ascii="Arial" w:hAnsi="Arial"/>
                <w:bCs/>
                <w:sz w:val="20"/>
                <w:szCs w:val="20"/>
                <w:lang w:val="en-GB"/>
              </w:rPr>
              <w:t>Số lượng nhà quản lý và chuyên gia ngành được đào tạo.</w:t>
            </w:r>
          </w:p>
          <w:p w14:paraId="40BC6EE4" w14:textId="75F0E57A" w:rsidR="00322443" w:rsidRPr="00322443" w:rsidRDefault="00322443" w:rsidP="00322443">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b/>
                <w:sz w:val="20"/>
                <w:szCs w:val="20"/>
                <w:lang w:val="en-GB"/>
              </w:rPr>
            </w:pPr>
            <w:r w:rsidRPr="00322443">
              <w:rPr>
                <w:rFonts w:ascii="Arial" w:hAnsi="Arial"/>
                <w:b/>
                <w:sz w:val="20"/>
                <w:szCs w:val="20"/>
                <w:lang w:val="en-GB"/>
              </w:rPr>
              <w:lastRenderedPageBreak/>
              <w:t xml:space="preserve">Hỗ trợ kỹ thuật: </w:t>
            </w:r>
            <w:r w:rsidRPr="00322443">
              <w:rPr>
                <w:rFonts w:ascii="Arial" w:hAnsi="Arial"/>
                <w:bCs/>
                <w:sz w:val="20"/>
                <w:szCs w:val="20"/>
                <w:lang w:val="en-GB"/>
              </w:rPr>
              <w:t>Số lượng các nước ASEAN (AMS) nhận được hỗ trợ kỹ thuật.</w:t>
            </w:r>
          </w:p>
          <w:p w14:paraId="17F6EE4F" w14:textId="65D0991D" w:rsidR="00322443" w:rsidRPr="00322443" w:rsidRDefault="00322443" w:rsidP="00322443">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bCs/>
                <w:sz w:val="20"/>
                <w:szCs w:val="20"/>
                <w:lang w:val="en-GB"/>
              </w:rPr>
            </w:pPr>
            <w:r w:rsidRPr="00322443">
              <w:rPr>
                <w:rFonts w:ascii="Arial" w:hAnsi="Arial"/>
                <w:b/>
                <w:sz w:val="20"/>
                <w:szCs w:val="20"/>
                <w:lang w:val="en-GB"/>
              </w:rPr>
              <w:t xml:space="preserve">Năng lực thể chế: </w:t>
            </w:r>
            <w:r w:rsidRPr="00322443">
              <w:rPr>
                <w:rFonts w:ascii="Arial" w:hAnsi="Arial"/>
                <w:bCs/>
                <w:sz w:val="20"/>
                <w:szCs w:val="20"/>
                <w:lang w:val="en-GB"/>
              </w:rPr>
              <w:t>Cải thiện năng lực của các cơ quan quốc gia trong việc hỗ trợ áp dụng tiêu chuẩn.</w:t>
            </w:r>
          </w:p>
          <w:p w14:paraId="703D9BFC" w14:textId="4078AA3A" w:rsidR="00322443" w:rsidRPr="004F1D15" w:rsidRDefault="00322443" w:rsidP="00322443">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b/>
                <w:sz w:val="20"/>
                <w:szCs w:val="20"/>
                <w:lang w:val="en-GB"/>
              </w:rPr>
            </w:pPr>
            <w:r>
              <w:rPr>
                <w:rFonts w:ascii="Arial" w:hAnsi="Arial"/>
                <w:b/>
                <w:sz w:val="20"/>
                <w:szCs w:val="20"/>
                <w:lang w:val="en-GB"/>
              </w:rPr>
              <w:t>T</w:t>
            </w:r>
            <w:r w:rsidRPr="00322443">
              <w:rPr>
                <w:rFonts w:ascii="Arial" w:hAnsi="Arial"/>
                <w:b/>
                <w:sz w:val="20"/>
                <w:szCs w:val="20"/>
                <w:lang w:val="en-GB"/>
              </w:rPr>
              <w:t xml:space="preserve">ỷ lệ tuân thủ: </w:t>
            </w:r>
            <w:r w:rsidRPr="00322443">
              <w:rPr>
                <w:rFonts w:ascii="Arial" w:hAnsi="Arial"/>
                <w:bCs/>
                <w:sz w:val="20"/>
                <w:szCs w:val="20"/>
                <w:lang w:val="en-GB"/>
              </w:rPr>
              <w:t>Sự gia tăng tuân thủ các tiêu chuẩn ISO/TC 321 trong các nước ASEAN</w:t>
            </w:r>
            <w:r>
              <w:rPr>
                <w:rFonts w:ascii="Arial" w:hAnsi="Arial"/>
                <w:b/>
                <w:bCs/>
                <w:sz w:val="20"/>
                <w:szCs w:val="20"/>
                <w:lang w:val="en-GB"/>
              </w:rPr>
              <w:t>.</w:t>
            </w:r>
          </w:p>
        </w:tc>
      </w:tr>
    </w:tbl>
    <w:p w14:paraId="5229972C" w14:textId="77777777" w:rsidR="004B44BB" w:rsidRPr="004F1D15" w:rsidRDefault="004B44BB" w:rsidP="004B44BB"/>
    <w:p w14:paraId="4FA759E9" w14:textId="6213B65B" w:rsidR="00964CC3" w:rsidRPr="004F1D15" w:rsidRDefault="000B7F1E" w:rsidP="00C82E40">
      <w:pPr>
        <w:pStyle w:val="Heading4"/>
        <w:rPr>
          <w:sz w:val="20"/>
          <w:lang w:val="en-GB"/>
        </w:rPr>
      </w:pPr>
      <w:r>
        <w:rPr>
          <w:sz w:val="20"/>
          <w:lang w:val="en-GB"/>
        </w:rPr>
        <w:t>Danh</w:t>
      </w:r>
      <w:r>
        <w:rPr>
          <w:sz w:val="20"/>
          <w:lang w:val="vi-VN"/>
        </w:rPr>
        <w:t xml:space="preserve"> mục</w:t>
      </w:r>
      <w:r w:rsidR="00CC6EE0" w:rsidRPr="004F1D15">
        <w:rPr>
          <w:sz w:val="20"/>
          <w:lang w:val="en-GB"/>
        </w:rPr>
        <w:t xml:space="preserve"> </w:t>
      </w:r>
      <w:r w:rsidR="00964CC3" w:rsidRPr="004F1D15">
        <w:rPr>
          <w:sz w:val="20"/>
          <w:lang w:val="en-GB"/>
        </w:rPr>
        <w:t xml:space="preserve">3: </w:t>
      </w:r>
      <w:r w:rsidR="004A47CA">
        <w:rPr>
          <w:sz w:val="20"/>
          <w:lang w:val="en-GB"/>
        </w:rPr>
        <w:t>Phát triển Cơ sở hạ tầng Số</w:t>
      </w:r>
    </w:p>
    <w:tbl>
      <w:tblPr>
        <w:tblStyle w:val="ListTable3-Accent11"/>
        <w:tblW w:w="15314" w:type="dxa"/>
        <w:tblLook w:val="04A0" w:firstRow="1" w:lastRow="0" w:firstColumn="1" w:lastColumn="0" w:noHBand="0" w:noVBand="1"/>
      </w:tblPr>
      <w:tblGrid>
        <w:gridCol w:w="1694"/>
        <w:gridCol w:w="3764"/>
        <w:gridCol w:w="7"/>
        <w:gridCol w:w="3757"/>
        <w:gridCol w:w="15"/>
        <w:gridCol w:w="2303"/>
        <w:gridCol w:w="14"/>
        <w:gridCol w:w="3760"/>
      </w:tblGrid>
      <w:tr w:rsidR="004B44BB" w:rsidRPr="004F1D15" w14:paraId="2E14E01E" w14:textId="77777777" w:rsidTr="00AC0A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4" w:type="dxa"/>
            <w:tcBorders>
              <w:bottom w:val="single" w:sz="4" w:space="0" w:color="156082"/>
            </w:tcBorders>
            <w:shd w:val="clear" w:color="auto" w:fill="002060"/>
          </w:tcPr>
          <w:p w14:paraId="09D16B6E" w14:textId="09FB0729" w:rsidR="004B44BB" w:rsidRPr="004F1D15" w:rsidRDefault="004A47CA" w:rsidP="00564F10">
            <w:pPr>
              <w:jc w:val="center"/>
              <w:rPr>
                <w:sz w:val="20"/>
                <w:szCs w:val="20"/>
              </w:rPr>
            </w:pPr>
            <w:r>
              <w:rPr>
                <w:sz w:val="20"/>
                <w:szCs w:val="20"/>
              </w:rPr>
              <w:t>Khu vực hành động</w:t>
            </w:r>
          </w:p>
        </w:tc>
        <w:tc>
          <w:tcPr>
            <w:tcW w:w="3771" w:type="dxa"/>
            <w:gridSpan w:val="2"/>
            <w:shd w:val="clear" w:color="auto" w:fill="002060"/>
          </w:tcPr>
          <w:p w14:paraId="42131CAC" w14:textId="1FDC2E87" w:rsidR="004B44BB" w:rsidRPr="004F1D15" w:rsidRDefault="004A47CA" w:rsidP="00564F10">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Lĩnh vực trọng tâm</w:t>
            </w:r>
          </w:p>
        </w:tc>
        <w:tc>
          <w:tcPr>
            <w:tcW w:w="3772" w:type="dxa"/>
            <w:gridSpan w:val="2"/>
            <w:shd w:val="clear" w:color="auto" w:fill="002060"/>
          </w:tcPr>
          <w:p w14:paraId="723FD7C9" w14:textId="2043A579" w:rsidR="004B44BB" w:rsidRPr="004F1D15" w:rsidRDefault="004A47CA" w:rsidP="00564F10">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bCs w:val="0"/>
                <w:sz w:val="20"/>
                <w:szCs w:val="20"/>
              </w:rPr>
              <w:t>Mốc đề xuất và khung thời gian dự kiến</w:t>
            </w:r>
            <w:r w:rsidR="004B44BB" w:rsidRPr="004F1D15">
              <w:rPr>
                <w:sz w:val="20"/>
                <w:szCs w:val="20"/>
                <w:vertAlign w:val="superscript"/>
              </w:rPr>
              <w:footnoteReference w:id="336"/>
            </w:r>
          </w:p>
        </w:tc>
        <w:tc>
          <w:tcPr>
            <w:tcW w:w="2317" w:type="dxa"/>
            <w:gridSpan w:val="2"/>
            <w:shd w:val="clear" w:color="auto" w:fill="002060"/>
          </w:tcPr>
          <w:p w14:paraId="16462A0A" w14:textId="2BF1A1E0" w:rsidR="004B44BB" w:rsidRPr="004F1D15" w:rsidRDefault="004A47CA" w:rsidP="00564F10">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Các bên chịu trách nhiệm</w:t>
            </w:r>
          </w:p>
        </w:tc>
        <w:tc>
          <w:tcPr>
            <w:tcW w:w="3760" w:type="dxa"/>
            <w:shd w:val="clear" w:color="auto" w:fill="002060"/>
          </w:tcPr>
          <w:p w14:paraId="1CC78A64" w14:textId="114ED49A" w:rsidR="004B44BB" w:rsidRPr="004F1D15" w:rsidRDefault="004A47CA" w:rsidP="00564F10">
            <w:pPr>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Chỉ số đo lường tiến độ</w:t>
            </w:r>
          </w:p>
        </w:tc>
      </w:tr>
      <w:tr w:rsidR="004B44BB" w:rsidRPr="004F1D15" w14:paraId="0B381B5B" w14:textId="77777777" w:rsidTr="00AC0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shd w:val="clear" w:color="auto" w:fill="00B0F0"/>
          </w:tcPr>
          <w:p w14:paraId="71E6A4CE" w14:textId="5E48BC7A" w:rsidR="004B44BB" w:rsidRPr="004F1D15" w:rsidRDefault="004A47CA" w:rsidP="00564F10">
            <w:pPr>
              <w:jc w:val="center"/>
              <w:rPr>
                <w:sz w:val="20"/>
                <w:szCs w:val="20"/>
              </w:rPr>
            </w:pPr>
            <w:r>
              <w:rPr>
                <w:sz w:val="20"/>
                <w:szCs w:val="20"/>
              </w:rPr>
              <w:t>Khu vực hành động chính</w:t>
            </w:r>
          </w:p>
        </w:tc>
        <w:tc>
          <w:tcPr>
            <w:tcW w:w="13620" w:type="dxa"/>
            <w:gridSpan w:val="7"/>
            <w:tcBorders>
              <w:left w:val="single" w:sz="4" w:space="0" w:color="156082"/>
            </w:tcBorders>
            <w:shd w:val="clear" w:color="auto" w:fill="00B0F0"/>
          </w:tcPr>
          <w:p w14:paraId="384D5EBC" w14:textId="0D81C9EC" w:rsidR="004B44BB" w:rsidRPr="004F1D15" w:rsidRDefault="0084483E">
            <w:pPr>
              <w:cnfStyle w:val="000000100000" w:firstRow="0" w:lastRow="0" w:firstColumn="0" w:lastColumn="0" w:oddVBand="0" w:evenVBand="0" w:oddHBand="1" w:evenHBand="0" w:firstRowFirstColumn="0" w:firstRowLastColumn="0" w:lastRowFirstColumn="0" w:lastRowLastColumn="0"/>
              <w:rPr>
                <w:rFonts w:eastAsiaTheme="minorEastAsia"/>
                <w:b/>
                <w:bCs/>
                <w:sz w:val="20"/>
                <w:szCs w:val="20"/>
              </w:rPr>
            </w:pPr>
            <w:r>
              <w:rPr>
                <w:b/>
                <w:bCs/>
                <w:sz w:val="20"/>
                <w:szCs w:val="20"/>
              </w:rPr>
              <w:t>6.2.2.3</w:t>
            </w:r>
            <w:r w:rsidR="00470C18" w:rsidRPr="004F1D15">
              <w:rPr>
                <w:b/>
                <w:sz w:val="20"/>
                <w:szCs w:val="20"/>
              </w:rPr>
              <w:t xml:space="preserve"> </w:t>
            </w:r>
            <w:r w:rsidR="001C4477" w:rsidRPr="001C4477">
              <w:rPr>
                <w:b/>
                <w:sz w:val="20"/>
                <w:szCs w:val="20"/>
              </w:rPr>
              <w:t>Tăng cường Cơ sở hạ tầng Số cho Đảm bảo Giao dịch</w:t>
            </w:r>
          </w:p>
        </w:tc>
      </w:tr>
      <w:tr w:rsidR="004B44BB" w:rsidRPr="004F1D15" w14:paraId="7416109E" w14:textId="77777777" w:rsidTr="00AC0AE1">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156082"/>
              <w:bottom w:val="single" w:sz="4" w:space="0" w:color="156082"/>
              <w:right w:val="single" w:sz="4" w:space="0" w:color="156082"/>
            </w:tcBorders>
            <w:shd w:val="clear" w:color="auto" w:fill="BDD6EE" w:themeFill="accent5" w:themeFillTint="66"/>
          </w:tcPr>
          <w:p w14:paraId="027E295C" w14:textId="3DF2F175" w:rsidR="004B44BB" w:rsidRPr="004F1D15" w:rsidRDefault="004A47CA" w:rsidP="00564F10">
            <w:pPr>
              <w:jc w:val="center"/>
              <w:rPr>
                <w:sz w:val="20"/>
                <w:szCs w:val="20"/>
              </w:rPr>
            </w:pPr>
            <w:r>
              <w:rPr>
                <w:sz w:val="20"/>
                <w:szCs w:val="20"/>
              </w:rPr>
              <w:t>Mục tiêu</w:t>
            </w:r>
          </w:p>
        </w:tc>
        <w:tc>
          <w:tcPr>
            <w:tcW w:w="13620" w:type="dxa"/>
            <w:gridSpan w:val="7"/>
            <w:tcBorders>
              <w:left w:val="single" w:sz="4" w:space="0" w:color="156082"/>
            </w:tcBorders>
            <w:shd w:val="clear" w:color="auto" w:fill="BDD6EE" w:themeFill="accent5" w:themeFillTint="66"/>
          </w:tcPr>
          <w:p w14:paraId="12D442DF" w14:textId="3CB35E23" w:rsidR="004B44BB" w:rsidRPr="004F1D15" w:rsidRDefault="001C4477"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hAnsi="Arial"/>
                <w:sz w:val="20"/>
                <w:szCs w:val="20"/>
                <w:lang w:val="en-GB"/>
              </w:rPr>
            </w:pPr>
            <w:r w:rsidRPr="001C4477">
              <w:rPr>
                <w:rFonts w:ascii="Arial" w:eastAsia="DengXian" w:hAnsi="Arial"/>
                <w:b/>
                <w:sz w:val="20"/>
                <w:szCs w:val="20"/>
                <w:lang w:val="en-GB"/>
              </w:rPr>
              <w:t xml:space="preserve">Hỗ trợ đổi mới: </w:t>
            </w:r>
            <w:r w:rsidRPr="001C4477">
              <w:rPr>
                <w:rFonts w:ascii="Arial" w:eastAsia="DengXian" w:hAnsi="Arial"/>
                <w:bCs/>
                <w:sz w:val="20"/>
                <w:szCs w:val="20"/>
                <w:lang w:val="en-GB"/>
              </w:rPr>
              <w:t>Khuyến khích đổi mới để đáp ứng nhu cầu đảm bảo giao dịch đang phát triển và thúc đẩy thương mại số.</w:t>
            </w:r>
          </w:p>
        </w:tc>
      </w:tr>
      <w:tr w:rsidR="004B44BB" w:rsidRPr="004F1D15" w14:paraId="30B453B2" w14:textId="77777777" w:rsidTr="6BB67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tcPr>
          <w:p w14:paraId="0D8872AA" w14:textId="60B2DAB2" w:rsidR="004B44BB" w:rsidRPr="004F1D15" w:rsidRDefault="0084483E" w:rsidP="00564F10">
            <w:pPr>
              <w:jc w:val="center"/>
              <w:rPr>
                <w:sz w:val="20"/>
                <w:szCs w:val="20"/>
              </w:rPr>
            </w:pPr>
            <w:r>
              <w:rPr>
                <w:sz w:val="20"/>
                <w:szCs w:val="20"/>
              </w:rPr>
              <w:lastRenderedPageBreak/>
              <w:t>6.2.3.3</w:t>
            </w:r>
            <w:r w:rsidR="00470C18" w:rsidRPr="004F1D15">
              <w:rPr>
                <w:sz w:val="20"/>
                <w:szCs w:val="20"/>
              </w:rPr>
              <w:t xml:space="preserve"> </w:t>
            </w:r>
            <w:r w:rsidR="001C4477" w:rsidRPr="001C4477">
              <w:rPr>
                <w:sz w:val="20"/>
                <w:szCs w:val="20"/>
              </w:rPr>
              <w:t>Tăng cường Cơ sở hạ tầng Số cho Đảm bảo Giao dịch</w:t>
            </w:r>
          </w:p>
        </w:tc>
        <w:tc>
          <w:tcPr>
            <w:tcW w:w="3764" w:type="dxa"/>
            <w:tcBorders>
              <w:left w:val="single" w:sz="4" w:space="0" w:color="156082"/>
              <w:right w:val="single" w:sz="4" w:space="0" w:color="156082"/>
            </w:tcBorders>
          </w:tcPr>
          <w:p w14:paraId="67D717C1" w14:textId="241FB638" w:rsidR="00470C18" w:rsidRPr="004F1D15" w:rsidRDefault="001C4477" w:rsidP="00C82E40">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1C4477">
              <w:rPr>
                <w:rFonts w:ascii="Arial" w:hAnsi="Arial"/>
                <w:b/>
                <w:bCs/>
                <w:sz w:val="20"/>
                <w:szCs w:val="20"/>
                <w:lang w:val="en-GB"/>
              </w:rPr>
              <w:t>Phần mềm dịch vụ hậu mãi tích hợp:</w:t>
            </w:r>
            <w:r w:rsidRPr="001C4477">
              <w:rPr>
                <w:rFonts w:ascii="Arial" w:hAnsi="Arial"/>
                <w:sz w:val="20"/>
                <w:szCs w:val="20"/>
                <w:lang w:val="en-GB"/>
              </w:rPr>
              <w:t xml:space="preserve"> Nâng cấp và cải thiện phần mềm dịch vụ hậu mãi số để tăng cường đảm bảo giao dịch.</w:t>
            </w:r>
          </w:p>
          <w:p w14:paraId="431D4BC1" w14:textId="7CDFA333" w:rsidR="004B44BB" w:rsidRPr="004F1D15" w:rsidRDefault="001C4477" w:rsidP="00C82E40">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1C4477">
              <w:rPr>
                <w:rFonts w:ascii="Arial" w:eastAsia="DengXian" w:hAnsi="Arial"/>
                <w:b/>
                <w:bCs/>
                <w:sz w:val="20"/>
                <w:szCs w:val="20"/>
                <w:lang w:val="en-GB"/>
              </w:rPr>
              <w:t>Trung tâm đổi mới:</w:t>
            </w:r>
            <w:r w:rsidRPr="001C4477">
              <w:rPr>
                <w:rFonts w:ascii="Arial" w:eastAsia="DengXian" w:hAnsi="Arial"/>
                <w:sz w:val="20"/>
                <w:szCs w:val="20"/>
                <w:lang w:val="en-GB"/>
              </w:rPr>
              <w:t xml:space="preserve"> Thiết lập các trung tâm đổi mới để thúc đẩy tiến bộ trong cơ sở hạ tầng số và công nghệ đảm bảo giao dịch.</w:t>
            </w:r>
          </w:p>
        </w:tc>
        <w:tc>
          <w:tcPr>
            <w:tcW w:w="3764" w:type="dxa"/>
            <w:gridSpan w:val="2"/>
            <w:tcBorders>
              <w:left w:val="single" w:sz="4" w:space="0" w:color="156082"/>
              <w:right w:val="single" w:sz="4" w:space="0" w:color="156082"/>
            </w:tcBorders>
          </w:tcPr>
          <w:p w14:paraId="55F0039A" w14:textId="3B6709B8" w:rsidR="004B44BB" w:rsidRPr="004F1D15" w:rsidRDefault="001C44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Ngắn hạn:</w:t>
            </w:r>
          </w:p>
          <w:p w14:paraId="1268FBAB" w14:textId="77777777" w:rsidR="000C5EC4" w:rsidRPr="000C5EC4" w:rsidRDefault="000C5EC4" w:rsidP="000C5EC4">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0C5EC4">
              <w:rPr>
                <w:rFonts w:ascii="Arial" w:eastAsia="DengXian" w:hAnsi="Arial"/>
                <w:color w:val="auto"/>
                <w:sz w:val="20"/>
                <w:szCs w:val="20"/>
                <w:lang w:val="en-GB"/>
              </w:rPr>
              <w:t>Thực hiện đánh giá nhu cầu để xác định yêu cầu cụ thể cho phần mềm dịch vụ hậu mãi tích hợp.</w:t>
            </w:r>
          </w:p>
          <w:p w14:paraId="1F480293" w14:textId="77777777" w:rsidR="000C5EC4" w:rsidRDefault="000C5EC4" w:rsidP="000C5EC4">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0C5EC4">
              <w:rPr>
                <w:rFonts w:ascii="Arial" w:eastAsia="DengXian" w:hAnsi="Arial"/>
                <w:color w:val="auto"/>
                <w:sz w:val="20"/>
                <w:szCs w:val="20"/>
                <w:lang w:val="en-GB"/>
              </w:rPr>
              <w:t>Khởi động các trung tâm đổi mới ban đầu tập trung vào công nghệ đảm bảo giao dịch.</w:t>
            </w:r>
          </w:p>
          <w:p w14:paraId="2FB2BD6F" w14:textId="75141A75" w:rsidR="00470C18" w:rsidRPr="000C5EC4" w:rsidRDefault="00470C18" w:rsidP="000C5EC4">
            <w:pPr>
              <w:cnfStyle w:val="000000100000" w:firstRow="0" w:lastRow="0" w:firstColumn="0" w:lastColumn="0" w:oddVBand="0" w:evenVBand="0" w:oddHBand="1" w:evenHBand="0" w:firstRowFirstColumn="0" w:firstRowLastColumn="0" w:lastRowFirstColumn="0" w:lastRowLastColumn="0"/>
              <w:rPr>
                <w:sz w:val="20"/>
                <w:szCs w:val="20"/>
              </w:rPr>
            </w:pPr>
            <w:r w:rsidRPr="000C5EC4">
              <w:rPr>
                <w:sz w:val="20"/>
                <w:szCs w:val="20"/>
              </w:rPr>
              <w:t xml:space="preserve"> </w:t>
            </w:r>
          </w:p>
          <w:p w14:paraId="75FD5A61" w14:textId="228DF732" w:rsidR="00470C18" w:rsidRPr="004F1D15" w:rsidRDefault="001C4477" w:rsidP="00470C1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Trung hạn:</w:t>
            </w:r>
          </w:p>
          <w:p w14:paraId="7D89973C" w14:textId="77777777" w:rsidR="000C5EC4" w:rsidRPr="000C5EC4" w:rsidRDefault="000C5EC4" w:rsidP="000C5EC4">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0C5EC4">
              <w:rPr>
                <w:rFonts w:ascii="Arial" w:eastAsia="DengXian" w:hAnsi="Arial"/>
                <w:sz w:val="20"/>
                <w:szCs w:val="20"/>
                <w:lang w:val="en-GB"/>
              </w:rPr>
              <w:t>Triển khai phần mềm dịch vụ hậu mãi tại một số nước ASEAN thí điểm và thu thập phản hồi từ người dùng để cải tiến.</w:t>
            </w:r>
          </w:p>
          <w:p w14:paraId="13C774BE" w14:textId="77777777" w:rsidR="000C5EC4" w:rsidRDefault="000C5EC4" w:rsidP="000C5EC4">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0C5EC4">
              <w:rPr>
                <w:rFonts w:ascii="Arial" w:eastAsia="DengXian" w:hAnsi="Arial"/>
                <w:sz w:val="20"/>
                <w:szCs w:val="20"/>
                <w:lang w:val="en-GB"/>
              </w:rPr>
              <w:t>Mở rộng các trung tâm đổi mới và hỗ trợ các dự án hợp tác.</w:t>
            </w:r>
          </w:p>
          <w:p w14:paraId="5FE64EF7" w14:textId="5F532536" w:rsidR="00470C18" w:rsidRPr="000C5EC4" w:rsidRDefault="00470C18" w:rsidP="000C5EC4">
            <w:pPr>
              <w:cnfStyle w:val="000000100000" w:firstRow="0" w:lastRow="0" w:firstColumn="0" w:lastColumn="0" w:oddVBand="0" w:evenVBand="0" w:oddHBand="1" w:evenHBand="0" w:firstRowFirstColumn="0" w:firstRowLastColumn="0" w:lastRowFirstColumn="0" w:lastRowLastColumn="0"/>
              <w:rPr>
                <w:sz w:val="20"/>
                <w:szCs w:val="20"/>
              </w:rPr>
            </w:pPr>
            <w:r w:rsidRPr="000C5EC4">
              <w:rPr>
                <w:sz w:val="20"/>
                <w:szCs w:val="20"/>
              </w:rPr>
              <w:t xml:space="preserve"> </w:t>
            </w:r>
          </w:p>
          <w:p w14:paraId="21704A93" w14:textId="2436F7DC" w:rsidR="00470C18" w:rsidRPr="004F1D15" w:rsidRDefault="001C4477" w:rsidP="00470C1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Dài hạn:</w:t>
            </w:r>
          </w:p>
          <w:p w14:paraId="5C683268" w14:textId="77777777" w:rsidR="006E5C83" w:rsidRPr="006E5C83" w:rsidRDefault="006E5C83" w:rsidP="006E5C83">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6E5C83">
              <w:rPr>
                <w:rFonts w:ascii="Arial" w:eastAsia="DengXian" w:hAnsi="Arial"/>
                <w:color w:val="auto"/>
                <w:sz w:val="20"/>
                <w:szCs w:val="20"/>
                <w:lang w:val="en-GB"/>
              </w:rPr>
              <w:t>Triển khai phần mềm trên toàn bộ các nước ASEAN, đảm bảo tích hợp liền mạch với các nền tảng hiện có.</w:t>
            </w:r>
          </w:p>
          <w:p w14:paraId="78F764E7" w14:textId="537B9AFB" w:rsidR="004B44BB" w:rsidRPr="006E5C83" w:rsidRDefault="006E5C83" w:rsidP="006E5C83">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6E5C83">
              <w:rPr>
                <w:rFonts w:ascii="Arial" w:eastAsia="DengXian" w:hAnsi="Arial"/>
                <w:color w:val="auto"/>
                <w:sz w:val="20"/>
                <w:szCs w:val="20"/>
                <w:lang w:val="en-GB"/>
              </w:rPr>
              <w:t>Thúc đẩy đổi mới liên tục và áp dụng các công nghệ mới.</w:t>
            </w:r>
            <w:r w:rsidR="00470C18" w:rsidRPr="006E5C83">
              <w:rPr>
                <w:rFonts w:eastAsia="DengXian"/>
                <w:sz w:val="20"/>
                <w:szCs w:val="20"/>
              </w:rPr>
              <w:t xml:space="preserve"> </w:t>
            </w:r>
          </w:p>
        </w:tc>
        <w:tc>
          <w:tcPr>
            <w:tcW w:w="2318" w:type="dxa"/>
            <w:gridSpan w:val="2"/>
            <w:tcBorders>
              <w:left w:val="single" w:sz="4" w:space="0" w:color="156082"/>
              <w:right w:val="single" w:sz="4" w:space="0" w:color="156082"/>
            </w:tcBorders>
          </w:tcPr>
          <w:p w14:paraId="45E6F052" w14:textId="7C2CDAEF" w:rsidR="004B44BB" w:rsidRPr="004F1D15" w:rsidRDefault="006E5C8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Cơ quan điều phối:</w:t>
            </w:r>
          </w:p>
          <w:p w14:paraId="46C50F65" w14:textId="4592BB1D" w:rsidR="004B44BB" w:rsidRPr="006A2B48" w:rsidRDefault="00DC4491" w:rsidP="009716B8">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lang w:val="en-GB"/>
              </w:rPr>
            </w:pPr>
            <w:r w:rsidRPr="00DC4491">
              <w:rPr>
                <w:rFonts w:ascii="Arial" w:eastAsia="DengXian" w:hAnsi="Arial"/>
                <w:sz w:val="20"/>
                <w:szCs w:val="20"/>
                <w:lang w:val="en-GB"/>
              </w:rPr>
              <w:t xml:space="preserve">Cuộc họp Cấp cao ASEAN về </w:t>
            </w:r>
            <w:r w:rsidR="00616696">
              <w:rPr>
                <w:rFonts w:ascii="Arial" w:eastAsia="DengXian" w:hAnsi="Arial"/>
                <w:sz w:val="20"/>
                <w:szCs w:val="20"/>
                <w:lang w:val="en-GB"/>
              </w:rPr>
              <w:t>Số</w:t>
            </w:r>
            <w:r w:rsidRPr="00DC4491">
              <w:rPr>
                <w:rFonts w:ascii="Arial" w:eastAsia="DengXian" w:hAnsi="Arial"/>
                <w:sz w:val="20"/>
                <w:szCs w:val="20"/>
                <w:lang w:val="en-GB"/>
              </w:rPr>
              <w:t xml:space="preserve"> </w:t>
            </w:r>
            <w:r w:rsidR="00295C0D" w:rsidRPr="00295C0D">
              <w:rPr>
                <w:rFonts w:ascii="Arial" w:eastAsia="DengXian" w:hAnsi="Arial"/>
                <w:sz w:val="20"/>
                <w:szCs w:val="20"/>
                <w:lang w:val="en-GB"/>
              </w:rPr>
              <w:t>(ADGSOM)</w:t>
            </w:r>
          </w:p>
          <w:p w14:paraId="05A567E7" w14:textId="77777777" w:rsidR="006A2B48" w:rsidRDefault="006A2B48" w:rsidP="006A2B48">
            <w:pPr>
              <w:cnfStyle w:val="000000100000" w:firstRow="0" w:lastRow="0" w:firstColumn="0" w:lastColumn="0" w:oddVBand="0" w:evenVBand="0" w:oddHBand="1" w:evenHBand="0" w:firstRowFirstColumn="0" w:firstRowLastColumn="0" w:lastRowFirstColumn="0" w:lastRowLastColumn="0"/>
            </w:pPr>
          </w:p>
          <w:p w14:paraId="7830EAA5" w14:textId="35102A30" w:rsidR="006A2B48" w:rsidRDefault="006E5C83" w:rsidP="006A2B4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Cơ quan hỗ trợ:</w:t>
            </w:r>
          </w:p>
          <w:p w14:paraId="22737CB6" w14:textId="2578526C" w:rsidR="004B44BB" w:rsidRPr="00516087" w:rsidRDefault="00DC4491" w:rsidP="009716B8">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lang w:val="en-GB"/>
              </w:rPr>
            </w:pPr>
            <w:r w:rsidRPr="00DC4491">
              <w:rPr>
                <w:rFonts w:ascii="Arial" w:eastAsia="DengXian" w:hAnsi="Arial"/>
                <w:sz w:val="20"/>
                <w:szCs w:val="20"/>
                <w:lang w:val="en-GB"/>
              </w:rPr>
              <w:t xml:space="preserve">y ban Điều phối ASEAN về Thương mại Điện tử và Kinh tế số </w:t>
            </w:r>
            <w:r w:rsidR="006A2B48">
              <w:rPr>
                <w:rFonts w:ascii="Arial" w:eastAsia="DengXian" w:hAnsi="Arial"/>
                <w:sz w:val="20"/>
                <w:szCs w:val="20"/>
                <w:lang w:val="en-GB"/>
              </w:rPr>
              <w:t>(ACCED</w:t>
            </w:r>
            <w:r w:rsidR="006A2B48" w:rsidRPr="006A2B48">
              <w:rPr>
                <w:rFonts w:ascii="Arial" w:eastAsia="DengXian" w:hAnsi="Arial"/>
                <w:sz w:val="20"/>
                <w:szCs w:val="20"/>
                <w:lang w:val="en-GB"/>
              </w:rPr>
              <w:t>)</w:t>
            </w:r>
          </w:p>
        </w:tc>
        <w:tc>
          <w:tcPr>
            <w:tcW w:w="3774" w:type="dxa"/>
            <w:gridSpan w:val="2"/>
            <w:tcBorders>
              <w:left w:val="single" w:sz="4" w:space="0" w:color="156082"/>
            </w:tcBorders>
          </w:tcPr>
          <w:p w14:paraId="4384133B" w14:textId="1B31E2CB" w:rsidR="004B44BB" w:rsidRPr="004F1D15" w:rsidRDefault="00DC449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Các chỉ số tiến độ chung bao gồm</w:t>
            </w:r>
            <w:r w:rsidR="004B44BB" w:rsidRPr="004F1D15">
              <w:rPr>
                <w:sz w:val="20"/>
                <w:szCs w:val="20"/>
              </w:rPr>
              <w:t>:</w:t>
            </w:r>
          </w:p>
          <w:p w14:paraId="6C7B88A3" w14:textId="73C8BF04" w:rsidR="00470C18" w:rsidRPr="004F1D15" w:rsidRDefault="00DC4491" w:rsidP="00C82E40">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DC4491">
              <w:rPr>
                <w:rFonts w:ascii="Arial" w:hAnsi="Arial"/>
                <w:b/>
                <w:bCs/>
                <w:sz w:val="20"/>
                <w:szCs w:val="20"/>
                <w:lang w:val="en-GB"/>
              </w:rPr>
              <w:t>Mức độ hài lòng của khách hàng:</w:t>
            </w:r>
            <w:r w:rsidRPr="00DC4491">
              <w:rPr>
                <w:rFonts w:ascii="Arial" w:hAnsi="Arial"/>
                <w:sz w:val="20"/>
                <w:szCs w:val="20"/>
                <w:lang w:val="en-GB"/>
              </w:rPr>
              <w:t xml:space="preserve"> Tăng xếp hạng hài lòng của khách hàng liên quan đến dịch vụ và hỗ trợ hậu mãi.</w:t>
            </w:r>
          </w:p>
          <w:p w14:paraId="52B624F3" w14:textId="5C3E4673" w:rsidR="004B44BB" w:rsidRPr="004F1D15" w:rsidRDefault="00672921" w:rsidP="00C82E40">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672921">
              <w:rPr>
                <w:rFonts w:ascii="Arial" w:hAnsi="Arial"/>
                <w:b/>
                <w:bCs/>
                <w:sz w:val="20"/>
                <w:szCs w:val="20"/>
                <w:lang w:val="en-GB"/>
              </w:rPr>
              <w:t>Dự án đổi mới:</w:t>
            </w:r>
            <w:r w:rsidRPr="00672921">
              <w:rPr>
                <w:rFonts w:ascii="Arial" w:hAnsi="Arial"/>
                <w:sz w:val="20"/>
                <w:szCs w:val="20"/>
                <w:lang w:val="en-GB"/>
              </w:rPr>
              <w:t xml:space="preserve"> Số lượng dự án đổi mới và hợp tác trong công nghệ đảm bảo giao dịch.</w:t>
            </w:r>
          </w:p>
        </w:tc>
      </w:tr>
    </w:tbl>
    <w:p w14:paraId="4EEE35A3" w14:textId="7CA17F5D" w:rsidR="005A7FFA" w:rsidRPr="0084483E" w:rsidRDefault="00784E9A" w:rsidP="0084483E">
      <w:pPr>
        <w:pStyle w:val="Heading2"/>
        <w:numPr>
          <w:ilvl w:val="0"/>
          <w:numId w:val="0"/>
        </w:numPr>
        <w:rPr>
          <w:b/>
          <w:lang w:val="en-GB"/>
        </w:rPr>
      </w:pPr>
      <w:r>
        <w:rPr>
          <w:b/>
          <w:color w:val="auto"/>
          <w:lang w:val="en-GB"/>
        </w:rPr>
        <w:t>Lộ trình dành cho Lĩnh vực Thương mại Số 2: Giao dịch Số</w:t>
      </w:r>
    </w:p>
    <w:p w14:paraId="238C8DDD" w14:textId="2BAF592C" w:rsidR="005A7FFA" w:rsidRPr="004F1D15" w:rsidRDefault="000B7F1E" w:rsidP="005A7FFA">
      <w:pPr>
        <w:pStyle w:val="Heading3"/>
        <w:rPr>
          <w:lang w:val="en-GB"/>
        </w:rPr>
      </w:pPr>
      <w:r>
        <w:rPr>
          <w:lang w:val="en-GB"/>
        </w:rPr>
        <w:t>Tiểu</w:t>
      </w:r>
      <w:r>
        <w:rPr>
          <w:lang w:val="vi-VN"/>
        </w:rPr>
        <w:t xml:space="preserve"> lĩnh vực: Thương mại điện tử xuyên biên giới </w:t>
      </w:r>
    </w:p>
    <w:p w14:paraId="622B18C5" w14:textId="4645B54F" w:rsidR="005A7FFA" w:rsidRPr="004F1D15" w:rsidRDefault="000B7F1E" w:rsidP="00C82E40">
      <w:pPr>
        <w:pStyle w:val="Heading4"/>
        <w:rPr>
          <w:sz w:val="20"/>
          <w:lang w:val="en-GB"/>
        </w:rPr>
      </w:pPr>
      <w:r>
        <w:rPr>
          <w:sz w:val="20"/>
          <w:lang w:val="en-GB"/>
        </w:rPr>
        <w:t>Danh</w:t>
      </w:r>
      <w:r>
        <w:rPr>
          <w:sz w:val="20"/>
          <w:lang w:val="vi-VN"/>
        </w:rPr>
        <w:t xml:space="preserve"> mục</w:t>
      </w:r>
      <w:r w:rsidR="00CC6EE0" w:rsidRPr="004F1D15">
        <w:rPr>
          <w:sz w:val="20"/>
          <w:lang w:val="en-GB"/>
        </w:rPr>
        <w:t xml:space="preserve"> </w:t>
      </w:r>
      <w:r>
        <w:rPr>
          <w:sz w:val="20"/>
          <w:lang w:val="vi-VN"/>
        </w:rPr>
        <w:t xml:space="preserve">1: Điều chỉnh và Phối hợp chính sách  </w:t>
      </w:r>
    </w:p>
    <w:tbl>
      <w:tblPr>
        <w:tblStyle w:val="ListTable3-Accent11"/>
        <w:tblW w:w="15314" w:type="dxa"/>
        <w:tblLook w:val="04A0" w:firstRow="1" w:lastRow="0" w:firstColumn="1" w:lastColumn="0" w:noHBand="0" w:noVBand="1"/>
      </w:tblPr>
      <w:tblGrid>
        <w:gridCol w:w="1694"/>
        <w:gridCol w:w="3764"/>
        <w:gridCol w:w="7"/>
        <w:gridCol w:w="3757"/>
        <w:gridCol w:w="15"/>
        <w:gridCol w:w="2303"/>
        <w:gridCol w:w="14"/>
        <w:gridCol w:w="3760"/>
      </w:tblGrid>
      <w:tr w:rsidR="00CD5518" w:rsidRPr="004F1D15" w14:paraId="1E3CE240" w14:textId="77777777" w:rsidTr="00AC0A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4" w:type="dxa"/>
            <w:tcBorders>
              <w:bottom w:val="single" w:sz="4" w:space="0" w:color="156082"/>
            </w:tcBorders>
            <w:shd w:val="clear" w:color="auto" w:fill="002060"/>
          </w:tcPr>
          <w:p w14:paraId="2A623454" w14:textId="3BA06E03" w:rsidR="005A7FFA" w:rsidRPr="00790F87" w:rsidRDefault="00790F87" w:rsidP="00564F10">
            <w:pPr>
              <w:jc w:val="center"/>
              <w:rPr>
                <w:sz w:val="20"/>
                <w:szCs w:val="20"/>
                <w:lang w:val="vi-VN"/>
              </w:rPr>
            </w:pPr>
            <w:r>
              <w:rPr>
                <w:sz w:val="20"/>
                <w:szCs w:val="20"/>
              </w:rPr>
              <w:t>Khu</w:t>
            </w:r>
            <w:r>
              <w:rPr>
                <w:sz w:val="20"/>
                <w:szCs w:val="20"/>
                <w:lang w:val="vi-VN"/>
              </w:rPr>
              <w:t xml:space="preserve"> vực hành động</w:t>
            </w:r>
          </w:p>
        </w:tc>
        <w:tc>
          <w:tcPr>
            <w:tcW w:w="3771" w:type="dxa"/>
            <w:gridSpan w:val="2"/>
            <w:shd w:val="clear" w:color="auto" w:fill="002060"/>
          </w:tcPr>
          <w:p w14:paraId="147E5089" w14:textId="68E56117" w:rsidR="005A7FFA" w:rsidRPr="00790F87" w:rsidRDefault="00790F87" w:rsidP="00564F10">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Lĩnh</w:t>
            </w:r>
            <w:r>
              <w:rPr>
                <w:sz w:val="20"/>
                <w:szCs w:val="20"/>
                <w:lang w:val="vi-VN"/>
              </w:rPr>
              <w:t xml:space="preserve"> vực trọng tâm </w:t>
            </w:r>
          </w:p>
        </w:tc>
        <w:tc>
          <w:tcPr>
            <w:tcW w:w="3772" w:type="dxa"/>
            <w:gridSpan w:val="2"/>
            <w:shd w:val="clear" w:color="auto" w:fill="002060"/>
          </w:tcPr>
          <w:p w14:paraId="4CE45F53" w14:textId="1EC7B1B2" w:rsidR="005A7FFA" w:rsidRPr="004F1D15" w:rsidRDefault="00790F87" w:rsidP="00564F10">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Các</w:t>
            </w:r>
            <w:r>
              <w:rPr>
                <w:sz w:val="20"/>
                <w:szCs w:val="20"/>
                <w:lang w:val="vi-VN"/>
              </w:rPr>
              <w:t xml:space="preserve"> mốc dự kiến và khung thời gian tạm tính</w:t>
            </w:r>
            <w:r w:rsidR="005A7FFA" w:rsidRPr="004F1D15">
              <w:rPr>
                <w:sz w:val="20"/>
                <w:szCs w:val="20"/>
                <w:vertAlign w:val="superscript"/>
              </w:rPr>
              <w:footnoteReference w:id="337"/>
            </w:r>
          </w:p>
        </w:tc>
        <w:tc>
          <w:tcPr>
            <w:tcW w:w="2317" w:type="dxa"/>
            <w:gridSpan w:val="2"/>
            <w:shd w:val="clear" w:color="auto" w:fill="002060"/>
          </w:tcPr>
          <w:p w14:paraId="7029DEE6" w14:textId="61B7B1A0" w:rsidR="005A7FFA" w:rsidRPr="00790F87" w:rsidRDefault="00790F87" w:rsidP="00564F10">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Các</w:t>
            </w:r>
            <w:r>
              <w:rPr>
                <w:sz w:val="20"/>
                <w:szCs w:val="20"/>
                <w:lang w:val="vi-VN"/>
              </w:rPr>
              <w:t xml:space="preserve"> bên chịu trách nhiệm</w:t>
            </w:r>
          </w:p>
        </w:tc>
        <w:tc>
          <w:tcPr>
            <w:tcW w:w="3760" w:type="dxa"/>
            <w:shd w:val="clear" w:color="auto" w:fill="002060"/>
          </w:tcPr>
          <w:p w14:paraId="1158FF0A" w14:textId="451C736D" w:rsidR="005A7FFA" w:rsidRPr="00790F87" w:rsidRDefault="00790F87" w:rsidP="00564F10">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Thước</w:t>
            </w:r>
            <w:r>
              <w:rPr>
                <w:sz w:val="20"/>
                <w:szCs w:val="20"/>
                <w:lang w:val="vi-VN"/>
              </w:rPr>
              <w:t xml:space="preserve"> đo tiến độ</w:t>
            </w:r>
          </w:p>
        </w:tc>
      </w:tr>
      <w:tr w:rsidR="005A7FFA" w:rsidRPr="004F1D15" w14:paraId="54020AFF" w14:textId="77777777" w:rsidTr="00AC0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shd w:val="clear" w:color="auto" w:fill="00B0F0"/>
          </w:tcPr>
          <w:p w14:paraId="20C06CE5" w14:textId="0EED8332" w:rsidR="005A7FFA" w:rsidRPr="00790F87" w:rsidRDefault="00790F87" w:rsidP="00564F10">
            <w:pPr>
              <w:jc w:val="center"/>
              <w:rPr>
                <w:sz w:val="20"/>
                <w:szCs w:val="20"/>
                <w:lang w:val="vi-VN"/>
              </w:rPr>
            </w:pPr>
            <w:r>
              <w:rPr>
                <w:sz w:val="20"/>
                <w:szCs w:val="20"/>
                <w:lang w:val="vi-VN"/>
              </w:rPr>
              <w:lastRenderedPageBreak/>
              <w:t>Khu vực hành động chính</w:t>
            </w:r>
          </w:p>
        </w:tc>
        <w:tc>
          <w:tcPr>
            <w:tcW w:w="13620" w:type="dxa"/>
            <w:gridSpan w:val="7"/>
            <w:tcBorders>
              <w:left w:val="single" w:sz="4" w:space="0" w:color="156082"/>
            </w:tcBorders>
            <w:shd w:val="clear" w:color="auto" w:fill="00B0F0"/>
          </w:tcPr>
          <w:p w14:paraId="111E5726" w14:textId="1F939EC4" w:rsidR="005A7FFA" w:rsidRPr="005D2768" w:rsidRDefault="0084483E" w:rsidP="007664A3">
            <w:pPr>
              <w:cnfStyle w:val="000000100000" w:firstRow="0" w:lastRow="0" w:firstColumn="0" w:lastColumn="0" w:oddVBand="0" w:evenVBand="0" w:oddHBand="1" w:evenHBand="0" w:firstRowFirstColumn="0" w:firstRowLastColumn="0" w:lastRowFirstColumn="0" w:lastRowLastColumn="0"/>
              <w:rPr>
                <w:rFonts w:eastAsiaTheme="minorEastAsia"/>
                <w:b/>
                <w:sz w:val="20"/>
                <w:szCs w:val="20"/>
                <w:lang w:val="vi-VN"/>
              </w:rPr>
            </w:pPr>
            <w:r>
              <w:rPr>
                <w:b/>
                <w:bCs/>
                <w:sz w:val="20"/>
                <w:szCs w:val="20"/>
              </w:rPr>
              <w:t>6.2.4</w:t>
            </w:r>
            <w:r w:rsidR="005A7FFA" w:rsidRPr="004F1D15">
              <w:rPr>
                <w:b/>
                <w:sz w:val="20"/>
                <w:szCs w:val="20"/>
              </w:rPr>
              <w:t xml:space="preserve">.1 </w:t>
            </w:r>
            <w:r w:rsidR="005D2768" w:rsidRPr="005D2768">
              <w:rPr>
                <w:b/>
                <w:sz w:val="20"/>
                <w:szCs w:val="20"/>
                <w:lang w:val="vi-VN"/>
              </w:rPr>
              <w:t>Tăng cường tích hợp Luật Mẫu UNCITRAL về Thương mại Điện tử (MLEC) và Thông qua Luật Mẫu về Hồ sơ Điện tử Chuyển nhượng (MLETR) vào Khung pháp lý quốc gia của các nước AMS</w:t>
            </w:r>
          </w:p>
        </w:tc>
      </w:tr>
      <w:tr w:rsidR="005A7FFA" w:rsidRPr="004F1D15" w14:paraId="24EBCF53" w14:textId="77777777" w:rsidTr="00AC0AE1">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156082"/>
              <w:bottom w:val="single" w:sz="4" w:space="0" w:color="156082"/>
              <w:right w:val="single" w:sz="4" w:space="0" w:color="156082"/>
            </w:tcBorders>
            <w:shd w:val="clear" w:color="auto" w:fill="BDD6EE" w:themeFill="accent5" w:themeFillTint="66"/>
          </w:tcPr>
          <w:p w14:paraId="6D6CA955" w14:textId="2D58CAA6" w:rsidR="005A7FFA" w:rsidRPr="005D2768" w:rsidRDefault="005D2768" w:rsidP="00564F10">
            <w:pPr>
              <w:jc w:val="center"/>
              <w:rPr>
                <w:sz w:val="20"/>
                <w:szCs w:val="20"/>
                <w:lang w:val="vi-VN"/>
              </w:rPr>
            </w:pPr>
            <w:r>
              <w:rPr>
                <w:sz w:val="20"/>
                <w:szCs w:val="20"/>
              </w:rPr>
              <w:t>Mục</w:t>
            </w:r>
            <w:r>
              <w:rPr>
                <w:sz w:val="20"/>
                <w:szCs w:val="20"/>
                <w:lang w:val="vi-VN"/>
              </w:rPr>
              <w:t xml:space="preserve"> tiêu</w:t>
            </w:r>
          </w:p>
        </w:tc>
        <w:tc>
          <w:tcPr>
            <w:tcW w:w="13620" w:type="dxa"/>
            <w:gridSpan w:val="7"/>
            <w:tcBorders>
              <w:left w:val="single" w:sz="4" w:space="0" w:color="156082"/>
            </w:tcBorders>
            <w:shd w:val="clear" w:color="auto" w:fill="BDD6EE" w:themeFill="accent5" w:themeFillTint="66"/>
          </w:tcPr>
          <w:p w14:paraId="6BFFAE5B" w14:textId="6DCBA4AC" w:rsidR="005D2768" w:rsidRPr="005D2768" w:rsidRDefault="005D2768"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DengXian" w:hAnsi="Arial"/>
                <w:bCs/>
                <w:sz w:val="20"/>
                <w:szCs w:val="20"/>
                <w:lang w:val="en-GB"/>
              </w:rPr>
            </w:pPr>
            <w:r w:rsidRPr="005D2768">
              <w:rPr>
                <w:rFonts w:ascii="Arial" w:eastAsia="DengXian" w:hAnsi="Arial"/>
                <w:b/>
                <w:sz w:val="20"/>
                <w:szCs w:val="20"/>
                <w:lang w:val="en-GB"/>
              </w:rPr>
              <w:t>Tối ưu hóa quy trình thương mại</w:t>
            </w:r>
            <w:r w:rsidRPr="005D2768">
              <w:rPr>
                <w:rFonts w:ascii="Arial" w:eastAsia="DengXian" w:hAnsi="Arial"/>
                <w:bCs/>
                <w:sz w:val="20"/>
                <w:szCs w:val="20"/>
                <w:lang w:val="en-GB"/>
              </w:rPr>
              <w:t>: Nâng cao hiệu quả các quy trình thương mại bằng cách triển khai UNCITRAL MLEC và MLETR trên toàn ASEAN.</w:t>
            </w:r>
          </w:p>
          <w:p w14:paraId="7D684A00" w14:textId="4FC1CC2B" w:rsidR="005A7FFA" w:rsidRPr="005D2768" w:rsidRDefault="005D2768" w:rsidP="005D2768">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DengXian" w:hAnsi="Arial"/>
                <w:bCs/>
                <w:sz w:val="20"/>
                <w:szCs w:val="20"/>
                <w:lang w:val="en-GB"/>
              </w:rPr>
            </w:pPr>
            <w:r w:rsidRPr="005D2768">
              <w:rPr>
                <w:rFonts w:ascii="Arial" w:eastAsia="DengXian" w:hAnsi="Arial"/>
                <w:b/>
                <w:sz w:val="20"/>
                <w:szCs w:val="20"/>
                <w:lang w:val="en-GB"/>
              </w:rPr>
              <w:t>Hài hòa với các tiêu chuẩn quốc tế:</w:t>
            </w:r>
            <w:r w:rsidRPr="005D2768">
              <w:rPr>
                <w:rFonts w:ascii="Arial" w:eastAsia="DengXian" w:hAnsi="Arial"/>
                <w:bCs/>
                <w:sz w:val="20"/>
                <w:szCs w:val="20"/>
                <w:lang w:val="en-GB"/>
              </w:rPr>
              <w:t xml:space="preserve"> Đảm bảo các biện pháp tạo thuận lợi thương mại của ASEAN phù hợp với các tiêu chuẩn quốc tế, đặc biệt là của WTO.</w:t>
            </w:r>
          </w:p>
        </w:tc>
      </w:tr>
      <w:tr w:rsidR="005A7FFA" w:rsidRPr="004F1D15" w14:paraId="66727494" w14:textId="77777777" w:rsidTr="6BB67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tcPr>
          <w:p w14:paraId="057D573B" w14:textId="11C3E398" w:rsidR="005A7FFA" w:rsidRPr="004F1D15" w:rsidRDefault="005D2768" w:rsidP="00564F10">
            <w:pPr>
              <w:jc w:val="center"/>
              <w:rPr>
                <w:sz w:val="20"/>
                <w:szCs w:val="20"/>
              </w:rPr>
            </w:pPr>
            <w:r w:rsidRPr="005D2768">
              <w:rPr>
                <w:sz w:val="20"/>
                <w:szCs w:val="20"/>
              </w:rPr>
              <w:t>6.2.4.1 Tăng cường tích hợp Luật Mẫu UNCITRAL về Thương mại Điện tử (MLEC) và Thông qua Luật Mẫu về Hồ sơ Điện tử Chuyển nhượng (MLETR) vào Khung pháp lý quốc gia của các nước AMS</w:t>
            </w:r>
          </w:p>
        </w:tc>
        <w:tc>
          <w:tcPr>
            <w:tcW w:w="3764" w:type="dxa"/>
            <w:tcBorders>
              <w:left w:val="single" w:sz="4" w:space="0" w:color="156082"/>
              <w:right w:val="single" w:sz="4" w:space="0" w:color="156082"/>
            </w:tcBorders>
          </w:tcPr>
          <w:p w14:paraId="4157FD37" w14:textId="2852F8E0" w:rsidR="00607D3E" w:rsidRPr="004F1D15" w:rsidRDefault="00607D3E" w:rsidP="00C82E40">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607D3E">
              <w:rPr>
                <w:rFonts w:ascii="Arial" w:hAnsi="Arial"/>
                <w:b/>
                <w:bCs/>
                <w:sz w:val="20"/>
                <w:szCs w:val="20"/>
                <w:lang w:val="en-GB"/>
              </w:rPr>
              <w:t>Hài hòa hóa Khung pháp lý:</w:t>
            </w:r>
            <w:r w:rsidRPr="00607D3E">
              <w:rPr>
                <w:rFonts w:ascii="Arial" w:hAnsi="Arial"/>
                <w:sz w:val="20"/>
                <w:szCs w:val="20"/>
                <w:lang w:val="en-GB"/>
              </w:rPr>
              <w:t xml:space="preserve"> Điều chỉnh các khung pháp lý quốc gia phù hợp với các tiêu chuẩn quốc tế do MLEC và MLETR đặt ra nhằm bảo đảm tính nhất quán và sự chắc chắn về pháp lý trong thương mại điện tử và hồ sơ chuyển nhượng điện tử.</w:t>
            </w:r>
          </w:p>
          <w:p w14:paraId="7B298A17" w14:textId="77777777" w:rsidR="005A7FFA" w:rsidRPr="004F1D15" w:rsidRDefault="005A7FFA" w:rsidP="006430D5">
            <w:pPr>
              <w:cnfStyle w:val="000000100000" w:firstRow="0" w:lastRow="0" w:firstColumn="0" w:lastColumn="0" w:oddVBand="0" w:evenVBand="0" w:oddHBand="1" w:evenHBand="0" w:firstRowFirstColumn="0" w:firstRowLastColumn="0" w:lastRowFirstColumn="0" w:lastRowLastColumn="0"/>
              <w:rPr>
                <w:sz w:val="20"/>
                <w:szCs w:val="20"/>
              </w:rPr>
            </w:pPr>
          </w:p>
        </w:tc>
        <w:tc>
          <w:tcPr>
            <w:tcW w:w="3764" w:type="dxa"/>
            <w:gridSpan w:val="2"/>
            <w:tcBorders>
              <w:left w:val="single" w:sz="4" w:space="0" w:color="156082"/>
              <w:right w:val="single" w:sz="4" w:space="0" w:color="156082"/>
            </w:tcBorders>
          </w:tcPr>
          <w:p w14:paraId="03A37B50" w14:textId="369536AD" w:rsidR="005A7FFA" w:rsidRPr="004F1D15" w:rsidRDefault="00607D3E" w:rsidP="007664A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Ngắn</w:t>
            </w:r>
            <w:r>
              <w:rPr>
                <w:sz w:val="20"/>
                <w:szCs w:val="20"/>
                <w:lang w:val="vi-VN"/>
              </w:rPr>
              <w:t xml:space="preserve"> hạn</w:t>
            </w:r>
            <w:r w:rsidR="005A7FFA" w:rsidRPr="004F1D15">
              <w:rPr>
                <w:sz w:val="20"/>
                <w:szCs w:val="20"/>
              </w:rPr>
              <w:t>:</w:t>
            </w:r>
          </w:p>
          <w:p w14:paraId="734924BC" w14:textId="3D35BC39" w:rsidR="00316E45" w:rsidRPr="00516087" w:rsidRDefault="00607D3E" w:rsidP="0035097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607D3E">
              <w:rPr>
                <w:rFonts w:ascii="Arial" w:eastAsia="DengXian" w:hAnsi="Arial"/>
                <w:color w:val="auto"/>
                <w:sz w:val="20"/>
                <w:szCs w:val="20"/>
                <w:lang w:val="vi-VN"/>
              </w:rPr>
              <w:t>Tiến hành rà soát toàn diện các luật quốc gia hiện hành để xác định các khoảng trống và điểm không tương thích với MLEC và MLETR.</w:t>
            </w:r>
          </w:p>
          <w:p w14:paraId="51F7E64F" w14:textId="4CBA71F2" w:rsidR="00C56B15" w:rsidRPr="004F1D15" w:rsidRDefault="00607D3E" w:rsidP="00C82E4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607D3E">
              <w:rPr>
                <w:rFonts w:ascii="Arial" w:eastAsia="DengXian" w:hAnsi="Arial"/>
                <w:sz w:val="20"/>
                <w:szCs w:val="20"/>
                <w:lang w:val="vi-VN"/>
              </w:rPr>
              <w:t>Tổ chức hội thảo, tọa đàm và các buổi cung cấp thông tin để nâng cao nhận thức của các bên liên quan về lợi ích của việc tích hợp MLEC và MLETR.</w:t>
            </w:r>
          </w:p>
          <w:p w14:paraId="24CA0928" w14:textId="7978F4DA" w:rsidR="00C56B15" w:rsidRPr="004F1D15" w:rsidRDefault="00DF61FE" w:rsidP="00ED668B">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DF61FE">
              <w:rPr>
                <w:rFonts w:ascii="Arial" w:eastAsia="DengXian" w:hAnsi="Arial"/>
                <w:sz w:val="20"/>
                <w:szCs w:val="20"/>
                <w:lang w:val="vi-VN"/>
              </w:rPr>
              <w:t>Xây dựng liên minh ủng hộ giữa các nhà lập pháp, doanh nghiệp và các tổ chức xã hội dân sự.</w:t>
            </w:r>
          </w:p>
          <w:p w14:paraId="6CF71EBD" w14:textId="6635267E" w:rsidR="005A7FFA" w:rsidRPr="004F1D15" w:rsidRDefault="00DF61FE" w:rsidP="007664A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Trung</w:t>
            </w:r>
            <w:r>
              <w:rPr>
                <w:sz w:val="20"/>
                <w:szCs w:val="20"/>
                <w:lang w:val="vi-VN"/>
              </w:rPr>
              <w:t xml:space="preserve"> hạn</w:t>
            </w:r>
            <w:r w:rsidR="005A7FFA" w:rsidRPr="004F1D15">
              <w:rPr>
                <w:sz w:val="20"/>
                <w:szCs w:val="20"/>
              </w:rPr>
              <w:t>:</w:t>
            </w:r>
          </w:p>
          <w:p w14:paraId="395345F0" w14:textId="77777777" w:rsidR="00DF61FE" w:rsidRPr="00DF61FE" w:rsidRDefault="00DF61FE" w:rsidP="00DF61FE">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DF61FE">
              <w:rPr>
                <w:rFonts w:ascii="Arial" w:eastAsia="DengXian" w:hAnsi="Arial"/>
                <w:sz w:val="20"/>
                <w:szCs w:val="20"/>
                <w:lang w:val="en-GB"/>
              </w:rPr>
              <w:t>Xây dựng dự thảo sửa đổi hoặc ban hành mới dựa trên kết quả phân tích khoảng trống và phản hồi của các bên liên quan.</w:t>
            </w:r>
          </w:p>
          <w:p w14:paraId="4AAEECF7" w14:textId="215481E7" w:rsidR="00DF61FE" w:rsidRPr="00DF61FE" w:rsidRDefault="00DF61FE" w:rsidP="00DF61FE">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DF61FE">
              <w:rPr>
                <w:rFonts w:ascii="Arial" w:eastAsia="DengXian" w:hAnsi="Arial"/>
                <w:sz w:val="20"/>
                <w:szCs w:val="20"/>
                <w:lang w:val="en-GB"/>
              </w:rPr>
              <w:t>Công bố các đề xuất dự thảo để tham vấn công khai và hoàn thiện dự thảo dựa trên phản hồi nhận được.</w:t>
            </w:r>
          </w:p>
          <w:p w14:paraId="33C5A556" w14:textId="51BFE9A5" w:rsidR="00DF61FE" w:rsidRPr="00DF61FE" w:rsidRDefault="00DF61FE" w:rsidP="00DF61FE">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DF61FE">
              <w:rPr>
                <w:rFonts w:ascii="Arial" w:eastAsia="DengXian" w:hAnsi="Arial"/>
                <w:sz w:val="20"/>
                <w:szCs w:val="20"/>
                <w:lang w:val="en-GB"/>
              </w:rPr>
              <w:t>Trình các đề xuất lập pháp đã hoàn thiện lên cơ quan lập pháp có thẩm quyền xem xét.</w:t>
            </w:r>
          </w:p>
          <w:p w14:paraId="40649368" w14:textId="403F4EDF" w:rsidR="00DF61FE" w:rsidRPr="00DF61FE" w:rsidRDefault="00DF61FE" w:rsidP="00DF61FE">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DF61FE">
              <w:rPr>
                <w:rFonts w:ascii="Arial" w:eastAsia="DengXian" w:hAnsi="Arial"/>
                <w:sz w:val="20"/>
                <w:szCs w:val="20"/>
                <w:lang w:val="en-GB"/>
              </w:rPr>
              <w:lastRenderedPageBreak/>
              <w:t>Tổ chức tập huấn và hội thảo cho giới hành nghề pháp lý, cơ quan quản lý và doanh nghiệp về các đạo luật mới và tác động thực tiễn của chúng.</w:t>
            </w:r>
          </w:p>
          <w:p w14:paraId="0297D950" w14:textId="3BB733D7" w:rsidR="00DF61FE" w:rsidRPr="004F1D15" w:rsidRDefault="00DF61FE" w:rsidP="00DF61FE">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DF61FE">
              <w:rPr>
                <w:rFonts w:ascii="Arial" w:eastAsia="DengXian" w:hAnsi="Arial"/>
                <w:sz w:val="20"/>
                <w:szCs w:val="20"/>
                <w:lang w:val="en-GB"/>
              </w:rPr>
              <w:t>Xây dựng và phổ biến hướng dẫn triển khai, bộ công cụ và sổ tay thực tiễn tốt nhất.</w:t>
            </w:r>
          </w:p>
          <w:p w14:paraId="77E33D92" w14:textId="19B0AD86" w:rsidR="005A7FFA" w:rsidRPr="004F1D15" w:rsidRDefault="00DF61FE" w:rsidP="007664A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Dài</w:t>
            </w:r>
            <w:r>
              <w:rPr>
                <w:sz w:val="20"/>
                <w:szCs w:val="20"/>
                <w:lang w:val="vi-VN"/>
              </w:rPr>
              <w:t xml:space="preserve"> hạn</w:t>
            </w:r>
            <w:r w:rsidR="005A7FFA" w:rsidRPr="004F1D15">
              <w:rPr>
                <w:sz w:val="20"/>
                <w:szCs w:val="20"/>
              </w:rPr>
              <w:t>:</w:t>
            </w:r>
          </w:p>
          <w:p w14:paraId="0345FF4F" w14:textId="77777777" w:rsidR="00DF61FE" w:rsidRPr="00DF61FE" w:rsidRDefault="00DF61FE" w:rsidP="00DF61FE">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DF61FE">
              <w:rPr>
                <w:rFonts w:ascii="Arial" w:eastAsia="DengXian" w:hAnsi="Arial"/>
                <w:sz w:val="20"/>
                <w:szCs w:val="20"/>
                <w:lang w:val="en-GB"/>
              </w:rPr>
              <w:t>Đảm bảo khung pháp lý mới được triển khai và vận hành đầy đủ trên tất cả các khu vực tài phán.</w:t>
            </w:r>
          </w:p>
          <w:p w14:paraId="2F602143" w14:textId="14B18434" w:rsidR="00DF61FE" w:rsidRPr="00DF61FE" w:rsidRDefault="00DF61FE" w:rsidP="00DF61FE">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DF61FE">
              <w:rPr>
                <w:rFonts w:ascii="Arial" w:eastAsia="DengXian" w:hAnsi="Arial"/>
                <w:sz w:val="20"/>
                <w:szCs w:val="20"/>
                <w:lang w:val="en-GB"/>
              </w:rPr>
              <w:t>Thiết lập các cơ chế giám sát và thực thi liên tục để bảo đảm tuân thủ luật mới.</w:t>
            </w:r>
          </w:p>
          <w:p w14:paraId="0A8DB5DE" w14:textId="464BEF5D" w:rsidR="00DF61FE" w:rsidRPr="004F1D15" w:rsidRDefault="00DF61FE" w:rsidP="00DF61FE">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DF61FE">
              <w:rPr>
                <w:rFonts w:ascii="Arial" w:eastAsia="DengXian" w:hAnsi="Arial"/>
                <w:sz w:val="20"/>
                <w:szCs w:val="20"/>
                <w:lang w:val="en-GB"/>
              </w:rPr>
              <w:t>Tham gia các diễn đàn và sáng kiến quốc tế nhằm điều chỉnh luật quốc gia phù hợp với các tiêu chuẩn và thực tiễn quốc tế, qua đó tăng cường thương mại xuyên biên giới và sự chắc chắn pháp lý.</w:t>
            </w:r>
          </w:p>
        </w:tc>
        <w:tc>
          <w:tcPr>
            <w:tcW w:w="2318" w:type="dxa"/>
            <w:gridSpan w:val="2"/>
            <w:tcBorders>
              <w:left w:val="single" w:sz="4" w:space="0" w:color="156082"/>
              <w:right w:val="single" w:sz="4" w:space="0" w:color="156082"/>
            </w:tcBorders>
          </w:tcPr>
          <w:p w14:paraId="73CFD72C" w14:textId="53593C65" w:rsidR="00EA3CE9" w:rsidRPr="00CF2095" w:rsidRDefault="00814A97" w:rsidP="007664A3">
            <w:pPr>
              <w:cnfStyle w:val="000000100000" w:firstRow="0" w:lastRow="0" w:firstColumn="0" w:lastColumn="0" w:oddVBand="0" w:evenVBand="0" w:oddHBand="1" w:evenHBand="0" w:firstRowFirstColumn="0" w:firstRowLastColumn="0" w:lastRowFirstColumn="0" w:lastRowLastColumn="0"/>
              <w:rPr>
                <w:sz w:val="20"/>
                <w:szCs w:val="20"/>
                <w:lang w:val="vi-VN"/>
              </w:rPr>
            </w:pPr>
            <w:r>
              <w:rPr>
                <w:sz w:val="20"/>
                <w:szCs w:val="20"/>
              </w:rPr>
              <w:lastRenderedPageBreak/>
              <w:t>Cơ</w:t>
            </w:r>
            <w:r>
              <w:rPr>
                <w:sz w:val="20"/>
                <w:szCs w:val="20"/>
                <w:lang w:val="vi-VN"/>
              </w:rPr>
              <w:t xml:space="preserve"> quan ngành đầu mối</w:t>
            </w:r>
            <w:r w:rsidR="00E2063E" w:rsidRPr="00E1058A">
              <w:rPr>
                <w:sz w:val="20"/>
                <w:szCs w:val="20"/>
              </w:rPr>
              <w:t>:</w:t>
            </w:r>
            <w:r w:rsidR="007E7CEE" w:rsidRPr="00E1058A">
              <w:rPr>
                <w:sz w:val="20"/>
                <w:szCs w:val="20"/>
              </w:rPr>
              <w:t xml:space="preserve"> </w:t>
            </w:r>
          </w:p>
          <w:p w14:paraId="7BC10319" w14:textId="273DEA81" w:rsidR="000F2DF6" w:rsidRDefault="000F2DF6" w:rsidP="000F2DF6">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Pr>
                <w:rFonts w:ascii="Arial" w:eastAsia="DengXian" w:hAnsi="Arial"/>
                <w:sz w:val="20"/>
                <w:szCs w:val="20"/>
                <w:lang w:val="en-GB"/>
              </w:rPr>
              <w:t>Hội</w:t>
            </w:r>
            <w:r>
              <w:rPr>
                <w:rFonts w:ascii="Arial" w:eastAsia="DengXian" w:hAnsi="Arial"/>
                <w:sz w:val="20"/>
                <w:szCs w:val="20"/>
                <w:lang w:val="vi-VN"/>
              </w:rPr>
              <w:t xml:space="preserve"> nghị Quan chức Pháp luật cấp cao ASEAN (ASLOM)</w:t>
            </w:r>
          </w:p>
          <w:p w14:paraId="0C033F98" w14:textId="77777777" w:rsidR="00EA3CE9" w:rsidRDefault="00EA3CE9" w:rsidP="007664A3">
            <w:pPr>
              <w:cnfStyle w:val="000000100000" w:firstRow="0" w:lastRow="0" w:firstColumn="0" w:lastColumn="0" w:oddVBand="0" w:evenVBand="0" w:oddHBand="1" w:evenHBand="0" w:firstRowFirstColumn="0" w:firstRowLastColumn="0" w:lastRowFirstColumn="0" w:lastRowLastColumn="0"/>
              <w:rPr>
                <w:sz w:val="20"/>
                <w:szCs w:val="20"/>
              </w:rPr>
            </w:pPr>
          </w:p>
          <w:p w14:paraId="7986AB8F" w14:textId="36705A65" w:rsidR="005A7FFA" w:rsidRPr="004F1D15" w:rsidRDefault="00814A97" w:rsidP="007664A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Cơ</w:t>
            </w:r>
            <w:r>
              <w:rPr>
                <w:sz w:val="20"/>
                <w:szCs w:val="20"/>
                <w:lang w:val="vi-VN"/>
              </w:rPr>
              <w:t xml:space="preserve"> quan điều phối</w:t>
            </w:r>
            <w:r w:rsidR="005A7FFA" w:rsidRPr="004F1D15">
              <w:rPr>
                <w:sz w:val="20"/>
                <w:szCs w:val="20"/>
              </w:rPr>
              <w:t>:</w:t>
            </w:r>
          </w:p>
          <w:p w14:paraId="32E03577" w14:textId="05FFB0D9" w:rsidR="00563365" w:rsidRDefault="000F2DF6" w:rsidP="00C82E4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Pr>
                <w:rFonts w:ascii="Arial" w:eastAsia="DengXian" w:hAnsi="Arial"/>
                <w:sz w:val="20"/>
                <w:szCs w:val="20"/>
                <w:lang w:val="en-GB"/>
              </w:rPr>
              <w:t>Ủy</w:t>
            </w:r>
            <w:r>
              <w:rPr>
                <w:rFonts w:ascii="Arial" w:eastAsia="DengXian" w:hAnsi="Arial"/>
                <w:sz w:val="20"/>
                <w:szCs w:val="20"/>
                <w:lang w:val="vi-VN"/>
              </w:rPr>
              <w:t xml:space="preserve"> ban Điều phối ASEAN về Thương mại Điện tử và Kinh tế </w:t>
            </w:r>
            <w:r w:rsidR="00115F7D">
              <w:rPr>
                <w:rFonts w:ascii="Arial" w:eastAsia="DengXian" w:hAnsi="Arial"/>
                <w:sz w:val="20"/>
                <w:szCs w:val="20"/>
                <w:lang w:val="vi-VN"/>
              </w:rPr>
              <w:t>Số</w:t>
            </w:r>
            <w:r w:rsidR="009D0F73">
              <w:rPr>
                <w:rFonts w:ascii="Arial" w:eastAsia="DengXian" w:hAnsi="Arial"/>
                <w:sz w:val="20"/>
                <w:szCs w:val="20"/>
                <w:lang w:val="en-GB"/>
              </w:rPr>
              <w:t xml:space="preserve"> (ACCED)</w:t>
            </w:r>
            <w:r w:rsidR="00563365" w:rsidRPr="00563365">
              <w:rPr>
                <w:rFonts w:ascii="Arial" w:eastAsia="DengXian" w:hAnsi="Arial"/>
                <w:sz w:val="20"/>
                <w:szCs w:val="20"/>
                <w:lang w:val="en-GB"/>
              </w:rPr>
              <w:t xml:space="preserve"> </w:t>
            </w:r>
          </w:p>
          <w:p w14:paraId="18D9FF9E" w14:textId="77777777" w:rsidR="00563365" w:rsidRPr="00563365" w:rsidRDefault="00563365" w:rsidP="00563365">
            <w:pPr>
              <w:cnfStyle w:val="000000100000" w:firstRow="0" w:lastRow="0" w:firstColumn="0" w:lastColumn="0" w:oddVBand="0" w:evenVBand="0" w:oddHBand="1" w:evenHBand="0" w:firstRowFirstColumn="0" w:firstRowLastColumn="0" w:lastRowFirstColumn="0" w:lastRowLastColumn="0"/>
              <w:rPr>
                <w:sz w:val="20"/>
                <w:szCs w:val="20"/>
              </w:rPr>
            </w:pPr>
          </w:p>
          <w:p w14:paraId="37539346" w14:textId="1AE6F836" w:rsidR="008F5403" w:rsidRPr="001B1AFE" w:rsidRDefault="008F5403" w:rsidP="001B1AFE">
            <w:pPr>
              <w:cnfStyle w:val="000000100000" w:firstRow="0" w:lastRow="0" w:firstColumn="0" w:lastColumn="0" w:oddVBand="0" w:evenVBand="0" w:oddHBand="1" w:evenHBand="0" w:firstRowFirstColumn="0" w:firstRowLastColumn="0" w:lastRowFirstColumn="0" w:lastRowLastColumn="0"/>
              <w:rPr>
                <w:sz w:val="20"/>
                <w:szCs w:val="20"/>
              </w:rPr>
            </w:pPr>
            <w:r w:rsidRPr="001B1AFE">
              <w:rPr>
                <w:sz w:val="20"/>
                <w:szCs w:val="20"/>
              </w:rPr>
              <w:t xml:space="preserve">                           </w:t>
            </w:r>
            <w:r w:rsidR="00A67D6C" w:rsidRPr="001B1AFE">
              <w:rPr>
                <w:sz w:val="20"/>
                <w:szCs w:val="20"/>
              </w:rPr>
              <w:t xml:space="preserve">               </w:t>
            </w:r>
          </w:p>
          <w:p w14:paraId="36DE0465" w14:textId="3866D0E5" w:rsidR="005A7FFA" w:rsidRPr="004F1D15" w:rsidRDefault="005A7FFA" w:rsidP="00475926">
            <w:pPr>
              <w:pStyle w:val="ListParagraph"/>
              <w:numPr>
                <w:ilvl w:val="0"/>
                <w:numId w:val="0"/>
              </w:numPr>
              <w:spacing w:after="0"/>
              <w:ind w:left="36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p>
        </w:tc>
        <w:tc>
          <w:tcPr>
            <w:tcW w:w="3774" w:type="dxa"/>
            <w:gridSpan w:val="2"/>
            <w:tcBorders>
              <w:left w:val="single" w:sz="4" w:space="0" w:color="156082"/>
            </w:tcBorders>
          </w:tcPr>
          <w:p w14:paraId="7E5B75EC" w14:textId="321F1D96" w:rsidR="005A7FFA" w:rsidRPr="004F1D15" w:rsidRDefault="00814A97" w:rsidP="007664A3">
            <w:pPr>
              <w:cnfStyle w:val="000000100000" w:firstRow="0" w:lastRow="0" w:firstColumn="0" w:lastColumn="0" w:oddVBand="0" w:evenVBand="0" w:oddHBand="1" w:evenHBand="0" w:firstRowFirstColumn="0" w:firstRowLastColumn="0" w:lastRowFirstColumn="0" w:lastRowLastColumn="0"/>
              <w:rPr>
                <w:sz w:val="20"/>
                <w:szCs w:val="20"/>
              </w:rPr>
            </w:pPr>
            <w:r w:rsidRPr="00814A97">
              <w:rPr>
                <w:sz w:val="20"/>
                <w:szCs w:val="20"/>
                <w:lang w:val="vi-VN"/>
              </w:rPr>
              <w:t>Các thước đo tiến độ chung bao gồm:</w:t>
            </w:r>
            <w:r w:rsidR="005A7FFA" w:rsidRPr="004F1D15">
              <w:rPr>
                <w:sz w:val="20"/>
                <w:szCs w:val="20"/>
              </w:rPr>
              <w:t>:</w:t>
            </w:r>
          </w:p>
          <w:p w14:paraId="2CE414C9" w14:textId="77777777" w:rsidR="00814A97" w:rsidRPr="00814A97" w:rsidRDefault="00814A97" w:rsidP="00814A97">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CF2095">
              <w:rPr>
                <w:rFonts w:ascii="Arial" w:hAnsi="Arial"/>
                <w:b/>
                <w:bCs/>
                <w:sz w:val="20"/>
                <w:szCs w:val="20"/>
                <w:lang w:val="en-GB"/>
              </w:rPr>
              <w:t>Tỷ lệ thông qua pháp luật:</w:t>
            </w:r>
            <w:r w:rsidRPr="00814A97">
              <w:rPr>
                <w:rFonts w:ascii="Arial" w:hAnsi="Arial"/>
                <w:sz w:val="20"/>
                <w:szCs w:val="20"/>
                <w:lang w:val="en-GB"/>
              </w:rPr>
              <w:t xml:space="preserve"> Đo lường số lượng các nước AMS đã ban hành luật điều chỉnh khung pháp lý quốc gia phù hợp với tiêu chuẩn MLEC và MLETR.</w:t>
            </w:r>
          </w:p>
          <w:p w14:paraId="44FE3A16" w14:textId="685CEFC5" w:rsidR="00814A97" w:rsidRPr="00814A97" w:rsidRDefault="00814A97" w:rsidP="00814A97">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CF2095">
              <w:rPr>
                <w:rFonts w:ascii="Arial" w:hAnsi="Arial"/>
                <w:b/>
                <w:bCs/>
                <w:sz w:val="20"/>
                <w:szCs w:val="20"/>
                <w:lang w:val="en-GB"/>
              </w:rPr>
              <w:t>Mức độ tham gia và đào tạo của các bên liên quan:</w:t>
            </w:r>
            <w:r w:rsidRPr="00814A97">
              <w:rPr>
                <w:rFonts w:ascii="Arial" w:hAnsi="Arial"/>
                <w:sz w:val="20"/>
                <w:szCs w:val="20"/>
                <w:lang w:val="en-GB"/>
              </w:rPr>
              <w:t xml:space="preserve"> Theo dõi số lượng hội thảo, tọa đàm và khóa đào tạo được tổ chức, cũng như đánh giá phản hồi của người tham gia nhằm đảm bảo mức độ hiểu biết và mức sẵn sàng cao.</w:t>
            </w:r>
          </w:p>
          <w:p w14:paraId="620B4C14" w14:textId="2507EECC" w:rsidR="00814A97" w:rsidRPr="00516087" w:rsidRDefault="00814A97" w:rsidP="00814A97">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CF2095">
              <w:rPr>
                <w:rFonts w:ascii="Arial" w:hAnsi="Arial"/>
                <w:b/>
                <w:bCs/>
                <w:sz w:val="20"/>
                <w:szCs w:val="20"/>
                <w:lang w:val="en-GB"/>
              </w:rPr>
              <w:t>Theo dõi tuân thủ và thực thi:</w:t>
            </w:r>
            <w:r w:rsidRPr="00814A97">
              <w:rPr>
                <w:rFonts w:ascii="Arial" w:hAnsi="Arial"/>
                <w:sz w:val="20"/>
                <w:szCs w:val="20"/>
                <w:lang w:val="en-GB"/>
              </w:rPr>
              <w:t xml:space="preserve"> Đánh giá mức độ tuân thủ khung pháp lý mới thông qua kiểm tra và đánh giá định kỳ, đồng thời theo dõi hiệu quả của các cơ chế thực thi nhằm đảm bảo sự chắc chắn và nhất quán về pháp lý.</w:t>
            </w:r>
          </w:p>
        </w:tc>
      </w:tr>
    </w:tbl>
    <w:p w14:paraId="4FEF3F63" w14:textId="77777777" w:rsidR="005A7FFA" w:rsidRPr="004F1D15" w:rsidRDefault="005A7FFA" w:rsidP="005A7FFA">
      <w:pPr>
        <w:rPr>
          <w:sz w:val="20"/>
          <w:szCs w:val="20"/>
        </w:rPr>
      </w:pPr>
    </w:p>
    <w:p w14:paraId="44F64B5F" w14:textId="3CE9B49B" w:rsidR="005A7FFA" w:rsidRPr="004F1D15" w:rsidRDefault="00DB28DB" w:rsidP="00C82E40">
      <w:pPr>
        <w:pStyle w:val="Heading4"/>
        <w:rPr>
          <w:sz w:val="20"/>
          <w:lang w:val="en-GB"/>
        </w:rPr>
      </w:pPr>
      <w:r>
        <w:rPr>
          <w:sz w:val="20"/>
          <w:lang w:val="en-GB"/>
        </w:rPr>
        <w:t>Danh</w:t>
      </w:r>
      <w:r>
        <w:rPr>
          <w:sz w:val="20"/>
          <w:lang w:val="vi-VN"/>
        </w:rPr>
        <w:t xml:space="preserve"> mục</w:t>
      </w:r>
      <w:r w:rsidR="00CC6EE0" w:rsidRPr="004F1D15">
        <w:rPr>
          <w:sz w:val="20"/>
          <w:lang w:val="en-GB"/>
        </w:rPr>
        <w:t xml:space="preserve"> </w:t>
      </w:r>
      <w:r w:rsidR="005A7FFA" w:rsidRPr="004F1D15">
        <w:rPr>
          <w:sz w:val="20"/>
          <w:lang w:val="en-GB"/>
        </w:rPr>
        <w:t xml:space="preserve">2: </w:t>
      </w:r>
      <w:r w:rsidR="00CF2095">
        <w:rPr>
          <w:sz w:val="20"/>
          <w:lang w:val="vi-VN"/>
        </w:rPr>
        <w:t>Nâng cao năng lực và Hỗ trợ kỹ thuật</w:t>
      </w:r>
    </w:p>
    <w:tbl>
      <w:tblPr>
        <w:tblStyle w:val="ListTable3-Accent11"/>
        <w:tblW w:w="15314" w:type="dxa"/>
        <w:tblLook w:val="04A0" w:firstRow="1" w:lastRow="0" w:firstColumn="1" w:lastColumn="0" w:noHBand="0" w:noVBand="1"/>
      </w:tblPr>
      <w:tblGrid>
        <w:gridCol w:w="1694"/>
        <w:gridCol w:w="3764"/>
        <w:gridCol w:w="7"/>
        <w:gridCol w:w="3757"/>
        <w:gridCol w:w="15"/>
        <w:gridCol w:w="2303"/>
        <w:gridCol w:w="14"/>
        <w:gridCol w:w="3760"/>
      </w:tblGrid>
      <w:tr w:rsidR="00CD5518" w:rsidRPr="004F1D15" w14:paraId="150E28D0" w14:textId="77777777" w:rsidTr="00AC0A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4" w:type="dxa"/>
            <w:tcBorders>
              <w:bottom w:val="single" w:sz="4" w:space="0" w:color="156082"/>
            </w:tcBorders>
            <w:shd w:val="clear" w:color="auto" w:fill="002060"/>
          </w:tcPr>
          <w:p w14:paraId="37B64F5B" w14:textId="22BA16EF" w:rsidR="005A7FFA" w:rsidRPr="00CF2095" w:rsidRDefault="00CF2095" w:rsidP="00564F10">
            <w:pPr>
              <w:spacing w:line="276" w:lineRule="auto"/>
              <w:jc w:val="center"/>
              <w:rPr>
                <w:sz w:val="20"/>
                <w:szCs w:val="20"/>
                <w:lang w:val="vi-VN"/>
              </w:rPr>
            </w:pPr>
            <w:r>
              <w:rPr>
                <w:sz w:val="20"/>
                <w:szCs w:val="20"/>
                <w:lang w:val="vi-VN"/>
              </w:rPr>
              <w:t>Khu vực hành động</w:t>
            </w:r>
          </w:p>
        </w:tc>
        <w:tc>
          <w:tcPr>
            <w:tcW w:w="3771" w:type="dxa"/>
            <w:gridSpan w:val="2"/>
            <w:shd w:val="clear" w:color="auto" w:fill="002060"/>
          </w:tcPr>
          <w:p w14:paraId="680F39B6" w14:textId="2D345632" w:rsidR="005A7FFA" w:rsidRPr="00CF2095" w:rsidRDefault="00CF2095" w:rsidP="00564F10">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Lĩnh</w:t>
            </w:r>
            <w:r>
              <w:rPr>
                <w:sz w:val="20"/>
                <w:szCs w:val="20"/>
                <w:lang w:val="vi-VN"/>
              </w:rPr>
              <w:t xml:space="preserve"> vực trọng tâm</w:t>
            </w:r>
          </w:p>
        </w:tc>
        <w:tc>
          <w:tcPr>
            <w:tcW w:w="3772" w:type="dxa"/>
            <w:gridSpan w:val="2"/>
            <w:shd w:val="clear" w:color="auto" w:fill="002060"/>
          </w:tcPr>
          <w:p w14:paraId="2B25EB49" w14:textId="3CC09D2E" w:rsidR="005A7FFA" w:rsidRPr="004F1D15" w:rsidRDefault="00CF2095" w:rsidP="00564F10">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Các</w:t>
            </w:r>
            <w:r>
              <w:rPr>
                <w:sz w:val="20"/>
                <w:szCs w:val="20"/>
                <w:lang w:val="vi-VN"/>
              </w:rPr>
              <w:t xml:space="preserve"> mốc dự kiến và khung thời gian tạm tính</w:t>
            </w:r>
            <w:r w:rsidR="005A7FFA" w:rsidRPr="004F1D15">
              <w:rPr>
                <w:sz w:val="20"/>
                <w:szCs w:val="20"/>
                <w:vertAlign w:val="superscript"/>
              </w:rPr>
              <w:footnoteReference w:id="338"/>
            </w:r>
          </w:p>
        </w:tc>
        <w:tc>
          <w:tcPr>
            <w:tcW w:w="2317" w:type="dxa"/>
            <w:gridSpan w:val="2"/>
            <w:shd w:val="clear" w:color="auto" w:fill="002060"/>
          </w:tcPr>
          <w:p w14:paraId="68C02622" w14:textId="1D70D3B9" w:rsidR="005A7FFA" w:rsidRPr="00CF2095" w:rsidRDefault="00CF2095" w:rsidP="00564F10">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Các</w:t>
            </w:r>
            <w:r>
              <w:rPr>
                <w:sz w:val="20"/>
                <w:szCs w:val="20"/>
                <w:lang w:val="vi-VN"/>
              </w:rPr>
              <w:t xml:space="preserve"> bên chịu trách nhiệm</w:t>
            </w:r>
          </w:p>
        </w:tc>
        <w:tc>
          <w:tcPr>
            <w:tcW w:w="3760" w:type="dxa"/>
            <w:shd w:val="clear" w:color="auto" w:fill="002060"/>
          </w:tcPr>
          <w:p w14:paraId="2E83E5A8" w14:textId="16A20530" w:rsidR="005A7FFA" w:rsidRPr="00CF2095" w:rsidRDefault="00CF2095" w:rsidP="00564F10">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Thước</w:t>
            </w:r>
            <w:r>
              <w:rPr>
                <w:sz w:val="20"/>
                <w:szCs w:val="20"/>
                <w:lang w:val="vi-VN"/>
              </w:rPr>
              <w:t xml:space="preserve"> đo tiến độ</w:t>
            </w:r>
          </w:p>
        </w:tc>
      </w:tr>
      <w:tr w:rsidR="005A7FFA" w:rsidRPr="004F1D15" w14:paraId="44FC9233" w14:textId="77777777" w:rsidTr="00AC0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shd w:val="clear" w:color="auto" w:fill="BDD6EE" w:themeFill="accent5" w:themeFillTint="66"/>
          </w:tcPr>
          <w:p w14:paraId="5B4071AD" w14:textId="38CA3AE2" w:rsidR="005A7FFA" w:rsidRPr="00CF2095" w:rsidRDefault="00CF2095" w:rsidP="00564F10">
            <w:pPr>
              <w:spacing w:line="276" w:lineRule="auto"/>
              <w:jc w:val="center"/>
              <w:rPr>
                <w:sz w:val="20"/>
                <w:szCs w:val="20"/>
                <w:lang w:val="vi-VN"/>
              </w:rPr>
            </w:pPr>
            <w:r>
              <w:rPr>
                <w:sz w:val="20"/>
                <w:szCs w:val="20"/>
              </w:rPr>
              <w:t>Khu</w:t>
            </w:r>
            <w:r>
              <w:rPr>
                <w:sz w:val="20"/>
                <w:szCs w:val="20"/>
                <w:lang w:val="vi-VN"/>
              </w:rPr>
              <w:t xml:space="preserve"> vực hành động chính </w:t>
            </w:r>
          </w:p>
        </w:tc>
        <w:tc>
          <w:tcPr>
            <w:tcW w:w="13620" w:type="dxa"/>
            <w:gridSpan w:val="7"/>
            <w:tcBorders>
              <w:left w:val="single" w:sz="4" w:space="0" w:color="156082"/>
            </w:tcBorders>
            <w:shd w:val="clear" w:color="auto" w:fill="BDD6EE" w:themeFill="accent5" w:themeFillTint="66"/>
          </w:tcPr>
          <w:p w14:paraId="5255E9F1" w14:textId="4BAA607A" w:rsidR="005A7FFA" w:rsidRPr="00CF2095" w:rsidRDefault="00ED668B" w:rsidP="00073EF9">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b/>
                <w:sz w:val="20"/>
                <w:szCs w:val="20"/>
                <w:lang w:val="vi-VN"/>
              </w:rPr>
            </w:pPr>
            <w:r>
              <w:rPr>
                <w:b/>
                <w:bCs/>
                <w:sz w:val="20"/>
                <w:szCs w:val="20"/>
              </w:rPr>
              <w:t>6.2.4.2</w:t>
            </w:r>
            <w:r w:rsidR="005A7FFA" w:rsidRPr="004F1D15">
              <w:rPr>
                <w:b/>
                <w:sz w:val="20"/>
                <w:szCs w:val="20"/>
              </w:rPr>
              <w:t xml:space="preserve"> </w:t>
            </w:r>
            <w:r w:rsidR="00CF2095" w:rsidRPr="00CF2095">
              <w:rPr>
                <w:b/>
                <w:sz w:val="20"/>
                <w:szCs w:val="20"/>
                <w:lang w:val="vi-VN"/>
              </w:rPr>
              <w:t>Hỗ trợ triển khai UNCITRAL MLEC và MLETR, đặc biệt đối với MSME</w:t>
            </w:r>
          </w:p>
        </w:tc>
      </w:tr>
      <w:tr w:rsidR="005A7FFA" w:rsidRPr="004F1D15" w14:paraId="2E89CE28" w14:textId="77777777" w:rsidTr="00AC0AE1">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156082"/>
              <w:bottom w:val="single" w:sz="4" w:space="0" w:color="156082"/>
              <w:right w:val="single" w:sz="4" w:space="0" w:color="156082"/>
            </w:tcBorders>
            <w:shd w:val="clear" w:color="auto" w:fill="BDD6EE" w:themeFill="accent5" w:themeFillTint="66"/>
          </w:tcPr>
          <w:p w14:paraId="28818B97" w14:textId="74018578" w:rsidR="005A7FFA" w:rsidRPr="00CF2095" w:rsidRDefault="00CF2095" w:rsidP="00564F10">
            <w:pPr>
              <w:spacing w:line="276" w:lineRule="auto"/>
              <w:jc w:val="center"/>
              <w:rPr>
                <w:sz w:val="20"/>
                <w:szCs w:val="20"/>
                <w:lang w:val="vi-VN"/>
              </w:rPr>
            </w:pPr>
            <w:r>
              <w:rPr>
                <w:sz w:val="20"/>
                <w:szCs w:val="20"/>
              </w:rPr>
              <w:t>Mục</w:t>
            </w:r>
            <w:r>
              <w:rPr>
                <w:sz w:val="20"/>
                <w:szCs w:val="20"/>
                <w:lang w:val="vi-VN"/>
              </w:rPr>
              <w:t xml:space="preserve"> tiêu</w:t>
            </w:r>
          </w:p>
        </w:tc>
        <w:tc>
          <w:tcPr>
            <w:tcW w:w="13620" w:type="dxa"/>
            <w:gridSpan w:val="7"/>
            <w:tcBorders>
              <w:left w:val="single" w:sz="4" w:space="0" w:color="156082"/>
            </w:tcBorders>
            <w:shd w:val="clear" w:color="auto" w:fill="BDD6EE" w:themeFill="accent5" w:themeFillTint="66"/>
          </w:tcPr>
          <w:p w14:paraId="171A1AD5" w14:textId="67687D44" w:rsidR="0022667D" w:rsidRPr="00516087" w:rsidRDefault="002812EA"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DengXian" w:hAnsi="Arial"/>
                <w:sz w:val="20"/>
                <w:szCs w:val="20"/>
                <w:lang w:val="en-GB"/>
              </w:rPr>
            </w:pPr>
            <w:r w:rsidRPr="002812EA">
              <w:rPr>
                <w:rFonts w:ascii="Arial" w:eastAsia="DengXian" w:hAnsi="Arial"/>
                <w:b/>
                <w:bCs/>
                <w:sz w:val="20"/>
                <w:szCs w:val="20"/>
                <w:lang w:val="vi-VN"/>
              </w:rPr>
              <w:t>Xây dựng năng lực:</w:t>
            </w:r>
            <w:r w:rsidRPr="002812EA">
              <w:rPr>
                <w:rFonts w:ascii="Arial" w:eastAsia="DengXian" w:hAnsi="Arial"/>
                <w:sz w:val="20"/>
                <w:szCs w:val="20"/>
                <w:lang w:val="vi-VN"/>
              </w:rPr>
              <w:t xml:space="preserve"> Nâng cao năng lực của các nước AMS trong việc triển khai và sử dụng hiệu quả UNCITRAL MLEC và MLETR.</w:t>
            </w:r>
          </w:p>
          <w:p w14:paraId="6C4A67E7" w14:textId="0A9CA4BC" w:rsidR="0022667D" w:rsidRPr="00516087" w:rsidRDefault="002812EA"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DengXian" w:hAnsi="Arial"/>
                <w:sz w:val="20"/>
                <w:szCs w:val="20"/>
                <w:lang w:val="en-GB"/>
              </w:rPr>
            </w:pPr>
            <w:r w:rsidRPr="002812EA">
              <w:rPr>
                <w:rFonts w:ascii="Arial" w:eastAsia="DengXian" w:hAnsi="Arial"/>
                <w:b/>
                <w:bCs/>
                <w:sz w:val="20"/>
                <w:szCs w:val="20"/>
                <w:lang w:val="vi-VN"/>
              </w:rPr>
              <w:lastRenderedPageBreak/>
              <w:t>Thúc đẩy chia sẻ tri thức</w:t>
            </w:r>
            <w:r w:rsidRPr="002812EA">
              <w:rPr>
                <w:rFonts w:ascii="Arial" w:eastAsia="DengXian" w:hAnsi="Arial"/>
                <w:sz w:val="20"/>
                <w:szCs w:val="20"/>
                <w:lang w:val="vi-VN"/>
              </w:rPr>
              <w:t>: Tạo điều kiện chia sẻ thực tiễn tốt và kiến thức về các tiêu chuẩn thương mại điện tử.</w:t>
            </w:r>
          </w:p>
          <w:p w14:paraId="5F2BCDFA" w14:textId="7AF56CC5" w:rsidR="005A7FFA" w:rsidRPr="00516087" w:rsidRDefault="002812EA"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hAnsi="Arial"/>
                <w:sz w:val="20"/>
                <w:szCs w:val="20"/>
                <w:lang w:val="en-GB"/>
              </w:rPr>
            </w:pPr>
            <w:r w:rsidRPr="002812EA">
              <w:rPr>
                <w:rFonts w:ascii="Arial" w:eastAsia="DengXian" w:hAnsi="Arial"/>
                <w:b/>
                <w:bCs/>
                <w:sz w:val="20"/>
                <w:szCs w:val="20"/>
                <w:lang w:val="vi-VN"/>
              </w:rPr>
              <w:t>Hỗ trợ MSME:</w:t>
            </w:r>
            <w:r w:rsidRPr="002812EA">
              <w:rPr>
                <w:rFonts w:ascii="Arial" w:eastAsia="DengXian" w:hAnsi="Arial"/>
                <w:sz w:val="20"/>
                <w:szCs w:val="20"/>
                <w:lang w:val="vi-VN"/>
              </w:rPr>
              <w:t xml:space="preserve"> Cung cấp hỗ trợ trọng tâm </w:t>
            </w:r>
            <w:r w:rsidR="006E66EC">
              <w:rPr>
                <w:rFonts w:ascii="Arial" w:eastAsia="DengXian" w:hAnsi="Arial"/>
                <w:sz w:val="20"/>
                <w:szCs w:val="20"/>
                <w:lang w:val="vi-VN"/>
              </w:rPr>
              <w:t>ch</w:t>
            </w:r>
            <w:r w:rsidRPr="002812EA">
              <w:rPr>
                <w:rFonts w:ascii="Arial" w:eastAsia="DengXian" w:hAnsi="Arial"/>
                <w:sz w:val="20"/>
                <w:szCs w:val="20"/>
                <w:lang w:val="vi-VN"/>
              </w:rPr>
              <w:t>o các MSME nhằm giúp họ tiếp cận và hưởng lợi từ việc áp dụng UNCITRAL MLEC và MLETR.</w:t>
            </w:r>
          </w:p>
        </w:tc>
      </w:tr>
      <w:tr w:rsidR="00736963" w:rsidRPr="004F1D15" w14:paraId="4280546C" w14:textId="77777777" w:rsidTr="6BB67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tcPr>
          <w:p w14:paraId="77B6A24E" w14:textId="41D3988F" w:rsidR="00736963" w:rsidRPr="004F1D15" w:rsidRDefault="00CF2095" w:rsidP="00564F10">
            <w:pPr>
              <w:spacing w:line="276" w:lineRule="auto"/>
              <w:jc w:val="center"/>
              <w:rPr>
                <w:sz w:val="20"/>
                <w:szCs w:val="20"/>
              </w:rPr>
            </w:pPr>
            <w:r w:rsidRPr="00CF2095">
              <w:rPr>
                <w:sz w:val="20"/>
                <w:szCs w:val="20"/>
              </w:rPr>
              <w:lastRenderedPageBreak/>
              <w:t>6.2.4.2 Hỗ trợ triển khai UNCITRAL MLEC và MLETR, đặc biệt đối với MSME</w:t>
            </w:r>
          </w:p>
        </w:tc>
        <w:tc>
          <w:tcPr>
            <w:tcW w:w="3764" w:type="dxa"/>
            <w:tcBorders>
              <w:left w:val="single" w:sz="4" w:space="0" w:color="156082"/>
              <w:right w:val="single" w:sz="4" w:space="0" w:color="156082"/>
            </w:tcBorders>
          </w:tcPr>
          <w:p w14:paraId="41F16E7E" w14:textId="0E4EDF44" w:rsidR="006E66EC" w:rsidRPr="006E66EC" w:rsidRDefault="006E66EC" w:rsidP="006E66EC">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vi-VN"/>
              </w:rPr>
            </w:pPr>
            <w:r w:rsidRPr="006E66EC">
              <w:rPr>
                <w:rFonts w:ascii="Arial" w:hAnsi="Arial"/>
                <w:b/>
                <w:bCs/>
                <w:sz w:val="20"/>
                <w:szCs w:val="20"/>
                <w:lang w:val="vi-VN"/>
              </w:rPr>
              <w:t>Chương trình đào tạo:</w:t>
            </w:r>
            <w:r>
              <w:rPr>
                <w:rFonts w:ascii="Arial" w:hAnsi="Arial"/>
                <w:sz w:val="20"/>
                <w:szCs w:val="20"/>
                <w:lang w:val="vi-VN"/>
              </w:rPr>
              <w:t xml:space="preserve"> </w:t>
            </w:r>
            <w:r w:rsidRPr="006E66EC">
              <w:rPr>
                <w:rFonts w:ascii="Arial" w:hAnsi="Arial"/>
                <w:sz w:val="20"/>
                <w:szCs w:val="20"/>
                <w:lang w:val="vi-VN"/>
              </w:rPr>
              <w:t>Xây dựng và triển khai các chương trình đào tạo về UNCITRAL MLEC và MLETR.</w:t>
            </w:r>
          </w:p>
          <w:p w14:paraId="6628B189" w14:textId="1D98306D" w:rsidR="006E66EC" w:rsidRPr="006E66EC" w:rsidRDefault="006E66EC" w:rsidP="006E66EC">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vi-VN"/>
              </w:rPr>
            </w:pPr>
            <w:r w:rsidRPr="006E66EC">
              <w:rPr>
                <w:rFonts w:ascii="Arial" w:hAnsi="Arial"/>
                <w:b/>
                <w:bCs/>
                <w:sz w:val="20"/>
                <w:szCs w:val="20"/>
                <w:lang w:val="vi-VN"/>
              </w:rPr>
              <w:t>Nền tảng chia sẻ tri thức</w:t>
            </w:r>
            <w:r w:rsidRPr="006E66EC">
              <w:rPr>
                <w:rFonts w:ascii="Arial" w:hAnsi="Arial"/>
                <w:sz w:val="20"/>
                <w:szCs w:val="20"/>
                <w:lang w:val="vi-VN"/>
              </w:rPr>
              <w:t>: Thiết lập các nền tảng chia sẻ thực tiễn tốt và kinh nghiệm, có thể truy cập bởi các MSME.</w:t>
            </w:r>
          </w:p>
          <w:p w14:paraId="031FDABE" w14:textId="2DB70A5E" w:rsidR="00736963" w:rsidRPr="004F1D15" w:rsidRDefault="006E66EC" w:rsidP="006E66EC">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sz w:val="20"/>
                <w:szCs w:val="20"/>
                <w:lang w:val="en-GB"/>
              </w:rPr>
            </w:pPr>
            <w:r w:rsidRPr="006E66EC">
              <w:rPr>
                <w:rFonts w:ascii="Arial" w:hAnsi="Arial"/>
                <w:b/>
                <w:bCs/>
                <w:sz w:val="20"/>
                <w:szCs w:val="20"/>
                <w:lang w:val="vi-VN"/>
              </w:rPr>
              <w:t>Sáng kiến hỗ trợ MSME:</w:t>
            </w:r>
            <w:r w:rsidRPr="006E66EC">
              <w:rPr>
                <w:rFonts w:ascii="Arial" w:hAnsi="Arial"/>
                <w:sz w:val="20"/>
                <w:szCs w:val="20"/>
                <w:lang w:val="vi-VN"/>
              </w:rPr>
              <w:t xml:space="preserve"> Xây dựng các sáng kiến hỗ trợ MSME áp dụng các giải pháp thương mại phi giấy tờ.</w:t>
            </w:r>
          </w:p>
        </w:tc>
        <w:tc>
          <w:tcPr>
            <w:tcW w:w="3764" w:type="dxa"/>
            <w:gridSpan w:val="2"/>
            <w:tcBorders>
              <w:left w:val="single" w:sz="4" w:space="0" w:color="156082"/>
              <w:right w:val="single" w:sz="4" w:space="0" w:color="156082"/>
            </w:tcBorders>
          </w:tcPr>
          <w:p w14:paraId="7817634B" w14:textId="5E1C46D4" w:rsidR="00736963" w:rsidRPr="004F1D15" w:rsidRDefault="006E66EC" w:rsidP="00073EF9">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Ngắn</w:t>
            </w:r>
            <w:r>
              <w:rPr>
                <w:sz w:val="20"/>
                <w:szCs w:val="20"/>
                <w:lang w:val="vi-VN"/>
              </w:rPr>
              <w:t xml:space="preserve"> hạn</w:t>
            </w:r>
            <w:r w:rsidR="00736963" w:rsidRPr="004F1D15">
              <w:rPr>
                <w:sz w:val="20"/>
                <w:szCs w:val="20"/>
              </w:rPr>
              <w:t>:</w:t>
            </w:r>
          </w:p>
          <w:p w14:paraId="30E7974C" w14:textId="2A65F0B8" w:rsidR="0065038F" w:rsidRPr="004F1D15" w:rsidRDefault="006E66EC" w:rsidP="00C82E4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6E66EC">
              <w:rPr>
                <w:rFonts w:ascii="Arial" w:eastAsia="DengXian" w:hAnsi="Arial"/>
                <w:sz w:val="20"/>
                <w:szCs w:val="20"/>
                <w:lang w:val="vi-VN"/>
              </w:rPr>
              <w:t>Xây dựng tài liệu đào tạo và tổ chức các hội thảo về UNCITRAL MLEC và MLETR.</w:t>
            </w:r>
          </w:p>
          <w:p w14:paraId="1E94EBF9" w14:textId="414778A9" w:rsidR="0065038F" w:rsidRPr="00516087" w:rsidRDefault="006E66EC" w:rsidP="00A12C9A">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Theme="minorBidi" w:eastAsia="DengXian" w:hAnsiTheme="minorBidi" w:cstheme="minorBidi"/>
                <w:sz w:val="20"/>
                <w:szCs w:val="20"/>
                <w:lang w:val="en-GB"/>
              </w:rPr>
            </w:pPr>
            <w:r w:rsidRPr="006E66EC">
              <w:rPr>
                <w:rFonts w:asciiTheme="minorBidi" w:eastAsia="DengXian" w:hAnsiTheme="minorBidi" w:cstheme="minorBidi"/>
                <w:sz w:val="20"/>
                <w:szCs w:val="20"/>
                <w:lang w:val="vi-VN"/>
              </w:rPr>
              <w:t>Ra mắt nền tảng trực tuyến để chia sẻ tri thức và hợp tác, với thiết kế và tài nguyên phù hợp cho MSME.</w:t>
            </w:r>
          </w:p>
          <w:p w14:paraId="34491DE6" w14:textId="1BE98B8B" w:rsidR="00736963" w:rsidRPr="004F1D15" w:rsidRDefault="006E66EC" w:rsidP="00ED668B">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6E66EC">
              <w:rPr>
                <w:rFonts w:ascii="Arial" w:eastAsia="DengXian" w:hAnsi="Arial"/>
                <w:sz w:val="20"/>
                <w:szCs w:val="20"/>
                <w:lang w:val="vi-VN"/>
              </w:rPr>
              <w:t>Khởi động các chương trình hỗ trợ dành cho MSME.</w:t>
            </w:r>
          </w:p>
          <w:p w14:paraId="740CCF74" w14:textId="5A6A7A8B" w:rsidR="00736963" w:rsidRPr="004F1D15" w:rsidRDefault="00C90E66" w:rsidP="00073EF9">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Trung</w:t>
            </w:r>
            <w:r>
              <w:rPr>
                <w:sz w:val="20"/>
                <w:szCs w:val="20"/>
                <w:lang w:val="vi-VN"/>
              </w:rPr>
              <w:t xml:space="preserve"> hạn</w:t>
            </w:r>
            <w:r w:rsidR="00736963" w:rsidRPr="004F1D15">
              <w:rPr>
                <w:sz w:val="20"/>
                <w:szCs w:val="20"/>
              </w:rPr>
              <w:t>:</w:t>
            </w:r>
          </w:p>
          <w:p w14:paraId="6840F2CF" w14:textId="3986A4D8" w:rsidR="001705D5" w:rsidRPr="004F1D15" w:rsidRDefault="00C90E66" w:rsidP="00C82E4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C90E66">
              <w:rPr>
                <w:rFonts w:ascii="Arial" w:eastAsia="DengXian" w:hAnsi="Arial"/>
                <w:sz w:val="20"/>
                <w:szCs w:val="20"/>
                <w:lang w:val="vi-VN"/>
              </w:rPr>
              <w:t>Tổ chức các phiên chia sẻ tri thức và hội thảo định kỳ.</w:t>
            </w:r>
          </w:p>
          <w:p w14:paraId="2A7F793F" w14:textId="5D3ED458" w:rsidR="00736963" w:rsidRPr="004F1D15" w:rsidRDefault="00C90E66" w:rsidP="00C82E4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C90E66">
              <w:rPr>
                <w:rFonts w:ascii="Arial" w:eastAsia="DengXian" w:hAnsi="Arial"/>
                <w:sz w:val="20"/>
                <w:szCs w:val="20"/>
                <w:lang w:val="vi-VN"/>
              </w:rPr>
              <w:t>Cung cấp hỗ trợ và tài nguyên liên tục cho MSME.</w:t>
            </w:r>
          </w:p>
          <w:p w14:paraId="775B3322" w14:textId="40EC132F" w:rsidR="00736963" w:rsidRPr="004F1D15" w:rsidRDefault="00C90E66" w:rsidP="00073EF9">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Dài</w:t>
            </w:r>
            <w:r>
              <w:rPr>
                <w:sz w:val="20"/>
                <w:szCs w:val="20"/>
                <w:lang w:val="vi-VN"/>
              </w:rPr>
              <w:t xml:space="preserve"> hạn</w:t>
            </w:r>
            <w:r w:rsidR="00736963" w:rsidRPr="004F1D15">
              <w:rPr>
                <w:sz w:val="20"/>
                <w:szCs w:val="20"/>
              </w:rPr>
              <w:t>:</w:t>
            </w:r>
          </w:p>
          <w:p w14:paraId="510C1654" w14:textId="5793B01C" w:rsidR="0096070D" w:rsidRPr="004F1D15" w:rsidRDefault="00C90E66" w:rsidP="00C82E4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C90E66">
              <w:rPr>
                <w:rFonts w:ascii="Arial" w:eastAsia="DengXian" w:hAnsi="Arial"/>
                <w:sz w:val="20"/>
                <w:szCs w:val="20"/>
                <w:lang w:val="vi-VN"/>
              </w:rPr>
              <w:t>Đảm bảo phát triển chuyên môn liên tục cho các bên liên quan.</w:t>
            </w:r>
          </w:p>
          <w:p w14:paraId="57C17E3D" w14:textId="284B97BE" w:rsidR="0096070D" w:rsidRPr="004F1D15" w:rsidRDefault="00C90E66" w:rsidP="00C82E4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C90E66">
              <w:rPr>
                <w:rFonts w:ascii="Arial" w:eastAsia="DengXian" w:hAnsi="Arial"/>
                <w:sz w:val="20"/>
                <w:szCs w:val="20"/>
                <w:lang w:val="vi-VN"/>
              </w:rPr>
              <w:t>Duy trì và nâng cấp nền tảng chia sẻ tri thức.</w:t>
            </w:r>
          </w:p>
          <w:p w14:paraId="3A166A6F" w14:textId="0E498242" w:rsidR="00736963" w:rsidRPr="004F1D15" w:rsidRDefault="00A11C2B" w:rsidP="00C82E4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A11C2B">
              <w:rPr>
                <w:rFonts w:ascii="Arial" w:eastAsia="DengXian" w:hAnsi="Arial"/>
                <w:sz w:val="20"/>
                <w:szCs w:val="20"/>
                <w:lang w:val="vi-VN"/>
              </w:rPr>
              <w:t>Theo dõi và đánh giá tác động của các sáng kiến hỗ trợ MSME.</w:t>
            </w:r>
          </w:p>
        </w:tc>
        <w:tc>
          <w:tcPr>
            <w:tcW w:w="2318" w:type="dxa"/>
            <w:gridSpan w:val="2"/>
            <w:tcBorders>
              <w:left w:val="single" w:sz="4" w:space="0" w:color="156082"/>
              <w:right w:val="single" w:sz="4" w:space="0" w:color="156082"/>
            </w:tcBorders>
          </w:tcPr>
          <w:p w14:paraId="08FDE7EA" w14:textId="7C380C92" w:rsidR="00736963" w:rsidRPr="00A11C2B" w:rsidRDefault="00A11C2B" w:rsidP="00073EF9">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vi-VN"/>
              </w:rPr>
            </w:pPr>
            <w:r w:rsidRPr="00A11C2B">
              <w:rPr>
                <w:sz w:val="20"/>
                <w:szCs w:val="20"/>
                <w:lang w:val="vi-VN"/>
              </w:rPr>
              <w:t>Cơ quan ngành điều phối:</w:t>
            </w:r>
          </w:p>
          <w:p w14:paraId="3CD4B571" w14:textId="2C7911C8" w:rsidR="000B15C3" w:rsidRDefault="000F2DF6" w:rsidP="000B15C3">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0F2DF6">
              <w:rPr>
                <w:rFonts w:ascii="Arial" w:eastAsia="DengXian" w:hAnsi="Arial"/>
                <w:sz w:val="20"/>
                <w:szCs w:val="20"/>
                <w:lang w:val="en-GB"/>
              </w:rPr>
              <w:t>Ủy ban Điều phối ASEAN về Thương mại Điện tử và Kinh tế Số</w:t>
            </w:r>
            <w:r w:rsidR="000B15C3">
              <w:rPr>
                <w:rFonts w:ascii="Arial" w:eastAsia="DengXian" w:hAnsi="Arial"/>
                <w:sz w:val="20"/>
                <w:szCs w:val="20"/>
                <w:lang w:val="en-GB"/>
              </w:rPr>
              <w:t xml:space="preserve"> (ACCED)</w:t>
            </w:r>
            <w:r w:rsidR="000B15C3" w:rsidRPr="00563365">
              <w:rPr>
                <w:rFonts w:ascii="Arial" w:eastAsia="DengXian" w:hAnsi="Arial"/>
                <w:sz w:val="20"/>
                <w:szCs w:val="20"/>
                <w:lang w:val="en-GB"/>
              </w:rPr>
              <w:t xml:space="preserve"> </w:t>
            </w:r>
          </w:p>
          <w:p w14:paraId="068966F7" w14:textId="77777777" w:rsidR="00C83019" w:rsidRDefault="00C83019" w:rsidP="00C83019">
            <w:pPr>
              <w:cnfStyle w:val="000000100000" w:firstRow="0" w:lastRow="0" w:firstColumn="0" w:lastColumn="0" w:oddVBand="0" w:evenVBand="0" w:oddHBand="1" w:evenHBand="0" w:firstRowFirstColumn="0" w:firstRowLastColumn="0" w:lastRowFirstColumn="0" w:lastRowLastColumn="0"/>
              <w:rPr>
                <w:sz w:val="20"/>
                <w:szCs w:val="20"/>
              </w:rPr>
            </w:pPr>
          </w:p>
          <w:p w14:paraId="756E2C65" w14:textId="3E7C86AC" w:rsidR="00C83019" w:rsidRPr="00A11C2B" w:rsidRDefault="00A11C2B" w:rsidP="00C83019">
            <w:pPr>
              <w:cnfStyle w:val="000000100000" w:firstRow="0" w:lastRow="0" w:firstColumn="0" w:lastColumn="0" w:oddVBand="0" w:evenVBand="0" w:oddHBand="1" w:evenHBand="0" w:firstRowFirstColumn="0" w:firstRowLastColumn="0" w:lastRowFirstColumn="0" w:lastRowLastColumn="0"/>
              <w:rPr>
                <w:sz w:val="20"/>
                <w:szCs w:val="20"/>
                <w:lang w:val="vi-VN"/>
              </w:rPr>
            </w:pPr>
            <w:r w:rsidRPr="00A11C2B">
              <w:rPr>
                <w:sz w:val="20"/>
                <w:szCs w:val="20"/>
                <w:lang w:val="vi-VN"/>
              </w:rPr>
              <w:t>Cơ quan hỗ trợ:</w:t>
            </w:r>
          </w:p>
          <w:p w14:paraId="0E954105" w14:textId="1216F387" w:rsidR="00C83019" w:rsidRDefault="000F2DF6" w:rsidP="00C83019">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0F2DF6">
              <w:rPr>
                <w:rFonts w:ascii="Arial" w:eastAsia="DengXian" w:hAnsi="Arial"/>
                <w:sz w:val="20"/>
                <w:szCs w:val="20"/>
                <w:lang w:val="en-GB"/>
              </w:rPr>
              <w:t xml:space="preserve">Ủy ban Điều phối ASEAN về Doanh nghiệp Vi mô, Nhỏ và Vừa. </w:t>
            </w:r>
            <w:r w:rsidR="00EF07E1">
              <w:rPr>
                <w:rFonts w:ascii="Arial" w:eastAsia="DengXian" w:hAnsi="Arial"/>
                <w:sz w:val="20"/>
                <w:szCs w:val="20"/>
                <w:lang w:val="en-GB"/>
              </w:rPr>
              <w:t>(ACCMSME)</w:t>
            </w:r>
          </w:p>
          <w:p w14:paraId="7ADE3F78" w14:textId="11549421" w:rsidR="00736963" w:rsidRPr="004F1D15" w:rsidRDefault="00736963" w:rsidP="00DA1DCD">
            <w:pPr>
              <w:pStyle w:val="ListParagraph"/>
              <w:numPr>
                <w:ilvl w:val="0"/>
                <w:numId w:val="0"/>
              </w:numPr>
              <w:spacing w:after="0"/>
              <w:ind w:left="36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p>
        </w:tc>
        <w:tc>
          <w:tcPr>
            <w:tcW w:w="3774" w:type="dxa"/>
            <w:gridSpan w:val="2"/>
            <w:tcBorders>
              <w:left w:val="single" w:sz="4" w:space="0" w:color="156082"/>
            </w:tcBorders>
          </w:tcPr>
          <w:p w14:paraId="3B35C76B" w14:textId="271710B4" w:rsidR="00736963" w:rsidRPr="00A11C2B" w:rsidRDefault="00A11C2B" w:rsidP="00073EF9">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vi-VN"/>
              </w:rPr>
            </w:pPr>
            <w:r w:rsidRPr="00A11C2B">
              <w:rPr>
                <w:sz w:val="20"/>
                <w:szCs w:val="20"/>
                <w:lang w:val="vi-VN"/>
              </w:rPr>
              <w:t>Các thước đo tiến độ chung bao gồm:</w:t>
            </w:r>
          </w:p>
          <w:p w14:paraId="1E11B165" w14:textId="77777777" w:rsidR="00A11C2B" w:rsidRPr="002F1682" w:rsidRDefault="00A11C2B" w:rsidP="00A11C2B">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bCs/>
                <w:sz w:val="20"/>
                <w:szCs w:val="20"/>
                <w:lang w:val="en-GB"/>
              </w:rPr>
            </w:pPr>
            <w:r w:rsidRPr="00A11C2B">
              <w:rPr>
                <w:rFonts w:ascii="Arial" w:hAnsi="Arial"/>
                <w:b/>
                <w:sz w:val="20"/>
                <w:szCs w:val="20"/>
                <w:lang w:val="en-GB"/>
              </w:rPr>
              <w:t xml:space="preserve">Tham gia đào tạo: </w:t>
            </w:r>
            <w:r w:rsidRPr="002F1682">
              <w:rPr>
                <w:rFonts w:ascii="Arial" w:hAnsi="Arial"/>
                <w:bCs/>
                <w:sz w:val="20"/>
                <w:szCs w:val="20"/>
                <w:lang w:val="en-GB"/>
              </w:rPr>
              <w:t>Số lượng người tham gia trong các chương trình đào tạo.</w:t>
            </w:r>
          </w:p>
          <w:p w14:paraId="27CF3228" w14:textId="281E939B" w:rsidR="00A11C2B" w:rsidRPr="002F1682" w:rsidRDefault="00A11C2B" w:rsidP="00A11C2B">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bCs/>
                <w:sz w:val="20"/>
                <w:szCs w:val="20"/>
                <w:lang w:val="en-GB"/>
              </w:rPr>
            </w:pPr>
            <w:r w:rsidRPr="00A11C2B">
              <w:rPr>
                <w:rFonts w:ascii="Arial" w:hAnsi="Arial"/>
                <w:b/>
                <w:sz w:val="20"/>
                <w:szCs w:val="20"/>
                <w:lang w:val="en-GB"/>
              </w:rPr>
              <w:t xml:space="preserve">Chia sẻ tri thức: </w:t>
            </w:r>
            <w:r w:rsidRPr="002F1682">
              <w:rPr>
                <w:rFonts w:ascii="Arial" w:hAnsi="Arial"/>
                <w:bCs/>
                <w:sz w:val="20"/>
                <w:szCs w:val="20"/>
                <w:lang w:val="en-GB"/>
              </w:rPr>
              <w:t>Tần suất và chất lượng của các phiên chia sẻ tri thức.</w:t>
            </w:r>
          </w:p>
          <w:p w14:paraId="52C3E06D" w14:textId="0D2D8657" w:rsidR="00A11C2B" w:rsidRPr="002F1682" w:rsidRDefault="00A11C2B" w:rsidP="00A11C2B">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bCs/>
                <w:sz w:val="20"/>
                <w:szCs w:val="20"/>
                <w:lang w:val="en-GB"/>
              </w:rPr>
            </w:pPr>
            <w:r w:rsidRPr="00A11C2B">
              <w:rPr>
                <w:rFonts w:ascii="Arial" w:hAnsi="Arial"/>
                <w:b/>
                <w:sz w:val="20"/>
                <w:szCs w:val="20"/>
                <w:lang w:val="en-GB"/>
              </w:rPr>
              <w:t xml:space="preserve">Hỗ trợ MSME: </w:t>
            </w:r>
            <w:r w:rsidRPr="002F1682">
              <w:rPr>
                <w:rFonts w:ascii="Arial" w:hAnsi="Arial"/>
                <w:bCs/>
                <w:sz w:val="20"/>
                <w:szCs w:val="20"/>
                <w:lang w:val="en-GB"/>
              </w:rPr>
              <w:t>Số lượng MSME nhận được hỗ trợ và tỷ lệ thành công của họ.</w:t>
            </w:r>
          </w:p>
          <w:p w14:paraId="72B91C51" w14:textId="0D1DC0E4" w:rsidR="00736963" w:rsidRPr="00A11C2B" w:rsidRDefault="00A11C2B" w:rsidP="00A11C2B">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b/>
                <w:sz w:val="20"/>
                <w:szCs w:val="20"/>
                <w:lang w:val="en-GB"/>
              </w:rPr>
            </w:pPr>
            <w:r w:rsidRPr="00A11C2B">
              <w:rPr>
                <w:rFonts w:ascii="Arial" w:hAnsi="Arial"/>
                <w:b/>
                <w:sz w:val="20"/>
                <w:szCs w:val="20"/>
                <w:lang w:val="en-GB"/>
              </w:rPr>
              <w:t xml:space="preserve">Năng lực của các bên liên quan: </w:t>
            </w:r>
            <w:r w:rsidRPr="00A11C2B">
              <w:rPr>
                <w:rFonts w:ascii="Arial" w:hAnsi="Arial"/>
                <w:bCs/>
                <w:sz w:val="20"/>
                <w:szCs w:val="20"/>
                <w:lang w:val="en-GB"/>
              </w:rPr>
              <w:t>Mức cải thiện về năng lực và mức độ tự tin của các bên liên quan.</w:t>
            </w:r>
          </w:p>
        </w:tc>
      </w:tr>
    </w:tbl>
    <w:p w14:paraId="7C1D7552" w14:textId="7E5462C0" w:rsidR="00A01B9B" w:rsidRPr="004F1D15" w:rsidRDefault="00A01B9B">
      <w:pPr>
        <w:spacing w:line="259" w:lineRule="auto"/>
        <w:jc w:val="left"/>
        <w:rPr>
          <w:rFonts w:eastAsia="Arial"/>
          <w:i/>
          <w:color w:val="657C9C" w:themeColor="text2" w:themeTint="BF"/>
          <w:sz w:val="20"/>
          <w:szCs w:val="20"/>
        </w:rPr>
      </w:pPr>
    </w:p>
    <w:p w14:paraId="67194828" w14:textId="786601E5" w:rsidR="005A7FFA" w:rsidRPr="004F1D15" w:rsidRDefault="00DB28DB" w:rsidP="00C82E40">
      <w:pPr>
        <w:pStyle w:val="Heading4"/>
        <w:rPr>
          <w:sz w:val="20"/>
          <w:lang w:val="en-GB"/>
        </w:rPr>
      </w:pPr>
      <w:r>
        <w:rPr>
          <w:sz w:val="20"/>
          <w:lang w:val="en-GB"/>
        </w:rPr>
        <w:lastRenderedPageBreak/>
        <w:t>Danh</w:t>
      </w:r>
      <w:r>
        <w:rPr>
          <w:sz w:val="20"/>
          <w:lang w:val="vi-VN"/>
        </w:rPr>
        <w:t xml:space="preserve"> mục</w:t>
      </w:r>
      <w:r w:rsidR="00CC6EE0" w:rsidRPr="004F1D15">
        <w:rPr>
          <w:sz w:val="20"/>
          <w:lang w:val="en-GB"/>
        </w:rPr>
        <w:t xml:space="preserve"> </w:t>
      </w:r>
      <w:r w:rsidR="005A7FFA" w:rsidRPr="004F1D15">
        <w:rPr>
          <w:sz w:val="20"/>
          <w:lang w:val="en-GB"/>
        </w:rPr>
        <w:t xml:space="preserve">3: </w:t>
      </w:r>
      <w:r>
        <w:rPr>
          <w:sz w:val="20"/>
          <w:lang w:val="en-GB"/>
        </w:rPr>
        <w:t>Phát</w:t>
      </w:r>
      <w:r>
        <w:rPr>
          <w:sz w:val="20"/>
          <w:lang w:val="vi-VN"/>
        </w:rPr>
        <w:t xml:space="preserve"> triển Hạ tầng </w:t>
      </w:r>
      <w:r w:rsidR="00616696">
        <w:rPr>
          <w:sz w:val="20"/>
          <w:lang w:val="vi-VN"/>
        </w:rPr>
        <w:t>Số</w:t>
      </w:r>
      <w:r>
        <w:rPr>
          <w:sz w:val="20"/>
          <w:lang w:val="vi-VN"/>
        </w:rPr>
        <w:t xml:space="preserve"> </w:t>
      </w:r>
    </w:p>
    <w:tbl>
      <w:tblPr>
        <w:tblStyle w:val="ListTable3-Accent11"/>
        <w:tblW w:w="15314" w:type="dxa"/>
        <w:tblLook w:val="04A0" w:firstRow="1" w:lastRow="0" w:firstColumn="1" w:lastColumn="0" w:noHBand="0" w:noVBand="1"/>
      </w:tblPr>
      <w:tblGrid>
        <w:gridCol w:w="1694"/>
        <w:gridCol w:w="3764"/>
        <w:gridCol w:w="7"/>
        <w:gridCol w:w="3757"/>
        <w:gridCol w:w="15"/>
        <w:gridCol w:w="2303"/>
        <w:gridCol w:w="14"/>
        <w:gridCol w:w="3760"/>
      </w:tblGrid>
      <w:tr w:rsidR="00CD5518" w:rsidRPr="004F1D15" w14:paraId="142ED0AA" w14:textId="77777777" w:rsidTr="00AC0A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4" w:type="dxa"/>
            <w:tcBorders>
              <w:bottom w:val="single" w:sz="4" w:space="0" w:color="156082"/>
            </w:tcBorders>
            <w:shd w:val="clear" w:color="auto" w:fill="002060"/>
          </w:tcPr>
          <w:p w14:paraId="4FF2089D" w14:textId="3F253A76" w:rsidR="005A7FFA" w:rsidRPr="00F5158A" w:rsidRDefault="00F5158A" w:rsidP="00C8144A">
            <w:pPr>
              <w:jc w:val="center"/>
              <w:rPr>
                <w:sz w:val="20"/>
                <w:szCs w:val="20"/>
                <w:lang w:val="vi-VN"/>
              </w:rPr>
            </w:pPr>
            <w:r>
              <w:rPr>
                <w:sz w:val="20"/>
                <w:szCs w:val="20"/>
              </w:rPr>
              <w:t>Khu</w:t>
            </w:r>
            <w:r>
              <w:rPr>
                <w:sz w:val="20"/>
                <w:szCs w:val="20"/>
                <w:lang w:val="vi-VN"/>
              </w:rPr>
              <w:t xml:space="preserve"> vực hành động</w:t>
            </w:r>
          </w:p>
        </w:tc>
        <w:tc>
          <w:tcPr>
            <w:tcW w:w="3771" w:type="dxa"/>
            <w:gridSpan w:val="2"/>
            <w:shd w:val="clear" w:color="auto" w:fill="002060"/>
          </w:tcPr>
          <w:p w14:paraId="13413FF6" w14:textId="19847BD3" w:rsidR="005A7FFA" w:rsidRPr="00F5158A" w:rsidRDefault="00F5158A" w:rsidP="00C8144A">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Lĩnh</w:t>
            </w:r>
            <w:r>
              <w:rPr>
                <w:sz w:val="20"/>
                <w:szCs w:val="20"/>
                <w:lang w:val="vi-VN"/>
              </w:rPr>
              <w:t xml:space="preserve"> vực trung tâm</w:t>
            </w:r>
          </w:p>
        </w:tc>
        <w:tc>
          <w:tcPr>
            <w:tcW w:w="3772" w:type="dxa"/>
            <w:gridSpan w:val="2"/>
            <w:shd w:val="clear" w:color="auto" w:fill="002060"/>
          </w:tcPr>
          <w:p w14:paraId="493F7A70" w14:textId="2253B79D" w:rsidR="005A7FFA" w:rsidRPr="004F1D15" w:rsidRDefault="00F5158A" w:rsidP="00C8144A">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Các</w:t>
            </w:r>
            <w:r>
              <w:rPr>
                <w:sz w:val="20"/>
                <w:szCs w:val="20"/>
                <w:lang w:val="vi-VN"/>
              </w:rPr>
              <w:t xml:space="preserve"> mốc dự kiến và khung thời gian tạm tính</w:t>
            </w:r>
            <w:r w:rsidR="005A7FFA" w:rsidRPr="004F1D15">
              <w:rPr>
                <w:sz w:val="20"/>
                <w:szCs w:val="20"/>
                <w:vertAlign w:val="superscript"/>
              </w:rPr>
              <w:footnoteReference w:id="339"/>
            </w:r>
          </w:p>
        </w:tc>
        <w:tc>
          <w:tcPr>
            <w:tcW w:w="2317" w:type="dxa"/>
            <w:gridSpan w:val="2"/>
            <w:shd w:val="clear" w:color="auto" w:fill="002060"/>
          </w:tcPr>
          <w:p w14:paraId="2348EBC3" w14:textId="1296B1AF" w:rsidR="005A7FFA" w:rsidRPr="002D721B" w:rsidRDefault="002D721B" w:rsidP="00C8144A">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Các</w:t>
            </w:r>
            <w:r>
              <w:rPr>
                <w:sz w:val="20"/>
                <w:szCs w:val="20"/>
                <w:lang w:val="vi-VN"/>
              </w:rPr>
              <w:t xml:space="preserve"> bên chịu trách nhiệm</w:t>
            </w:r>
          </w:p>
        </w:tc>
        <w:tc>
          <w:tcPr>
            <w:tcW w:w="3760" w:type="dxa"/>
            <w:shd w:val="clear" w:color="auto" w:fill="002060"/>
          </w:tcPr>
          <w:p w14:paraId="3F895FD9" w14:textId="5582D5C5" w:rsidR="005A7FFA" w:rsidRPr="002D721B" w:rsidRDefault="002D721B" w:rsidP="00C8144A">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Thước</w:t>
            </w:r>
            <w:r>
              <w:rPr>
                <w:sz w:val="20"/>
                <w:szCs w:val="20"/>
                <w:lang w:val="vi-VN"/>
              </w:rPr>
              <w:t xml:space="preserve"> đo tiến độ</w:t>
            </w:r>
          </w:p>
        </w:tc>
      </w:tr>
      <w:tr w:rsidR="005A7FFA" w:rsidRPr="004F1D15" w14:paraId="7F7EE5EE" w14:textId="77777777" w:rsidTr="00AC0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shd w:val="clear" w:color="auto" w:fill="00B0F0"/>
          </w:tcPr>
          <w:p w14:paraId="6307D283" w14:textId="773BE007" w:rsidR="005A7FFA" w:rsidRPr="00F5158A" w:rsidRDefault="00F5158A" w:rsidP="00C8144A">
            <w:pPr>
              <w:jc w:val="center"/>
              <w:rPr>
                <w:sz w:val="20"/>
                <w:szCs w:val="20"/>
                <w:lang w:val="vi-VN"/>
              </w:rPr>
            </w:pPr>
            <w:r>
              <w:rPr>
                <w:sz w:val="20"/>
                <w:szCs w:val="20"/>
                <w:lang w:val="vi-VN"/>
              </w:rPr>
              <w:t>Khu vực hành động chính</w:t>
            </w:r>
          </w:p>
        </w:tc>
        <w:tc>
          <w:tcPr>
            <w:tcW w:w="13620" w:type="dxa"/>
            <w:gridSpan w:val="7"/>
            <w:tcBorders>
              <w:left w:val="single" w:sz="4" w:space="0" w:color="156082"/>
            </w:tcBorders>
            <w:shd w:val="clear" w:color="auto" w:fill="00B0F0"/>
          </w:tcPr>
          <w:p w14:paraId="3E23D3BE" w14:textId="59556C68" w:rsidR="005A7FFA" w:rsidRPr="002D721B" w:rsidRDefault="00417EA6" w:rsidP="007664A3">
            <w:pPr>
              <w:cnfStyle w:val="000000100000" w:firstRow="0" w:lastRow="0" w:firstColumn="0" w:lastColumn="0" w:oddVBand="0" w:evenVBand="0" w:oddHBand="1" w:evenHBand="0" w:firstRowFirstColumn="0" w:firstRowLastColumn="0" w:lastRowFirstColumn="0" w:lastRowLastColumn="0"/>
              <w:rPr>
                <w:rFonts w:eastAsiaTheme="minorEastAsia"/>
                <w:b/>
                <w:sz w:val="20"/>
                <w:szCs w:val="20"/>
                <w:lang w:val="vi-VN"/>
              </w:rPr>
            </w:pPr>
            <w:r>
              <w:rPr>
                <w:b/>
                <w:bCs/>
                <w:sz w:val="20"/>
                <w:szCs w:val="20"/>
              </w:rPr>
              <w:t>6.2.4.3</w:t>
            </w:r>
            <w:r w:rsidR="002D721B">
              <w:rPr>
                <w:b/>
                <w:bCs/>
                <w:sz w:val="20"/>
                <w:szCs w:val="20"/>
                <w:lang w:val="vi-VN"/>
              </w:rPr>
              <w:t xml:space="preserve"> Phát triển hạ tầng số vững chắc cho Thương mại Điện tử Xuyên biên giới </w:t>
            </w:r>
          </w:p>
        </w:tc>
      </w:tr>
      <w:tr w:rsidR="005A7FFA" w:rsidRPr="004F1D15" w14:paraId="4C866EF8" w14:textId="77777777" w:rsidTr="00AC0AE1">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156082"/>
              <w:bottom w:val="single" w:sz="4" w:space="0" w:color="156082"/>
              <w:right w:val="single" w:sz="4" w:space="0" w:color="156082"/>
            </w:tcBorders>
            <w:shd w:val="clear" w:color="auto" w:fill="BDD6EE" w:themeFill="accent5" w:themeFillTint="66"/>
          </w:tcPr>
          <w:p w14:paraId="4247C75C" w14:textId="334222EE" w:rsidR="005A7FFA" w:rsidRPr="00056915" w:rsidRDefault="00056915" w:rsidP="00C8144A">
            <w:pPr>
              <w:jc w:val="center"/>
              <w:rPr>
                <w:sz w:val="20"/>
                <w:szCs w:val="20"/>
                <w:lang w:val="vi-VN"/>
              </w:rPr>
            </w:pPr>
            <w:r>
              <w:rPr>
                <w:sz w:val="20"/>
                <w:szCs w:val="20"/>
              </w:rPr>
              <w:t>Mục</w:t>
            </w:r>
            <w:r>
              <w:rPr>
                <w:sz w:val="20"/>
                <w:szCs w:val="20"/>
                <w:lang w:val="vi-VN"/>
              </w:rPr>
              <w:t xml:space="preserve"> tiêu</w:t>
            </w:r>
          </w:p>
        </w:tc>
        <w:tc>
          <w:tcPr>
            <w:tcW w:w="13620" w:type="dxa"/>
            <w:gridSpan w:val="7"/>
            <w:tcBorders>
              <w:left w:val="single" w:sz="4" w:space="0" w:color="156082"/>
            </w:tcBorders>
            <w:shd w:val="clear" w:color="auto" w:fill="BDD6EE" w:themeFill="accent5" w:themeFillTint="66"/>
          </w:tcPr>
          <w:p w14:paraId="35801123" w14:textId="7812148D" w:rsidR="00AE494D" w:rsidRPr="00516087" w:rsidRDefault="00AE494D"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DengXian" w:hAnsi="Arial"/>
                <w:sz w:val="20"/>
                <w:szCs w:val="20"/>
                <w:lang w:val="en-GB"/>
              </w:rPr>
            </w:pPr>
            <w:r w:rsidRPr="00AE494D">
              <w:rPr>
                <w:rFonts w:ascii="Arial" w:eastAsia="DengXian" w:hAnsi="Arial"/>
                <w:b/>
                <w:bCs/>
                <w:sz w:val="20"/>
                <w:szCs w:val="20"/>
                <w:lang w:val="en-GB"/>
              </w:rPr>
              <w:t>Tăng hiệu quả thương mại và thúc đẩy hội nhập kinh tế:</w:t>
            </w:r>
            <w:r w:rsidRPr="00AE494D">
              <w:rPr>
                <w:rFonts w:ascii="Arial" w:eastAsia="DengXian" w:hAnsi="Arial"/>
                <w:sz w:val="20"/>
                <w:szCs w:val="20"/>
                <w:lang w:val="en-GB"/>
              </w:rPr>
              <w:t xml:space="preserve"> Phát triển các hệ thống thanh toán số xuyên biên giới bảo mật và khả năng tương tác cao giúp đơn giản hóa giao dịch, giảm chi phí giao dịch và rút ngắn thời gian thanh toán, từ đó nâng cao hiệu quả thương mại và mức độ hội nhập kinh tế giữa các quốc gia ASEAN. Điều này góp phần hình thành một thị trường khu vực cạnh tranh hơn, thu hút đầu tư quốc tế và thúc đẩy tăng trưởng kinh tế.</w:t>
            </w:r>
          </w:p>
          <w:p w14:paraId="66B86EFB" w14:textId="064602D0" w:rsidR="00AE494D" w:rsidRPr="00516087" w:rsidRDefault="00AE494D"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hAnsi="Arial"/>
                <w:sz w:val="20"/>
                <w:szCs w:val="20"/>
                <w:lang w:val="en-GB"/>
              </w:rPr>
            </w:pPr>
            <w:r w:rsidRPr="00AE494D">
              <w:rPr>
                <w:rFonts w:ascii="Arial" w:hAnsi="Arial"/>
                <w:b/>
                <w:bCs/>
                <w:sz w:val="20"/>
                <w:szCs w:val="20"/>
                <w:lang w:val="en-GB"/>
              </w:rPr>
              <w:t>Hỗ trợ vận hành thương mại điện tử quy mô lớn và đáng tin cậy:</w:t>
            </w:r>
            <w:r w:rsidRPr="00AE494D">
              <w:rPr>
                <w:rFonts w:ascii="Arial" w:hAnsi="Arial"/>
                <w:sz w:val="20"/>
                <w:szCs w:val="20"/>
                <w:lang w:val="en-GB"/>
              </w:rPr>
              <w:t xml:space="preserve"> Việc nâng cấp các nền tảng thương mại điện tử trong khu vực và cải thiện kết nối số giúp doanh nghiệp vận hành liền mạch xuyên biên giới, quản lý hàng tồn kho hiệu quả và triển khai logistics trơn tru. Điều này tạo điều kiện cho hoạt động thương mại điện tử mở rộng quy mô, tăng cường đổi mới và nâng cao năng lực cạnh tranh của các quốc gia ASEAN trong nền kinh tế số toàn cầu.</w:t>
            </w:r>
          </w:p>
        </w:tc>
      </w:tr>
      <w:tr w:rsidR="005A7FFA" w:rsidRPr="004F1D15" w14:paraId="4CBA73D4" w14:textId="77777777" w:rsidTr="6BB67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tcPr>
          <w:p w14:paraId="5C5C0D7D" w14:textId="3D611E24" w:rsidR="005A7FFA" w:rsidRPr="004F1D15" w:rsidRDefault="00417EA6" w:rsidP="00C8144A">
            <w:pPr>
              <w:jc w:val="center"/>
              <w:rPr>
                <w:sz w:val="20"/>
                <w:szCs w:val="20"/>
              </w:rPr>
            </w:pPr>
            <w:r>
              <w:rPr>
                <w:sz w:val="20"/>
                <w:szCs w:val="20"/>
              </w:rPr>
              <w:t>6.2.4.3</w:t>
            </w:r>
            <w:r w:rsidR="00837BD1" w:rsidRPr="004F1D15">
              <w:rPr>
                <w:sz w:val="20"/>
                <w:szCs w:val="20"/>
              </w:rPr>
              <w:t xml:space="preserve"> </w:t>
            </w:r>
            <w:r w:rsidR="00D43A5D" w:rsidRPr="00D43A5D">
              <w:rPr>
                <w:sz w:val="20"/>
                <w:szCs w:val="20"/>
              </w:rPr>
              <w:t>Phát triển hạ tầng số vững chắc cho Thương mại Điện tử Xuyên biên giới</w:t>
            </w:r>
          </w:p>
        </w:tc>
        <w:tc>
          <w:tcPr>
            <w:tcW w:w="3764" w:type="dxa"/>
            <w:tcBorders>
              <w:left w:val="single" w:sz="4" w:space="0" w:color="156082"/>
              <w:right w:val="single" w:sz="4" w:space="0" w:color="156082"/>
            </w:tcBorders>
          </w:tcPr>
          <w:p w14:paraId="4A2414B7" w14:textId="50E15240" w:rsidR="00236334" w:rsidRPr="00236334" w:rsidRDefault="00236334" w:rsidP="00C82E40">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bCs/>
                <w:sz w:val="20"/>
                <w:szCs w:val="20"/>
                <w:lang w:val="en-GB"/>
              </w:rPr>
            </w:pPr>
            <w:r w:rsidRPr="00236334">
              <w:rPr>
                <w:rFonts w:ascii="Arial" w:hAnsi="Arial"/>
                <w:b/>
                <w:sz w:val="20"/>
                <w:szCs w:val="20"/>
                <w:lang w:val="en-GB"/>
              </w:rPr>
              <w:t xml:space="preserve">Nền tảng Thương mại Điện tử Xuyên biên giới: </w:t>
            </w:r>
            <w:r w:rsidRPr="00236334">
              <w:rPr>
                <w:rFonts w:ascii="Arial" w:hAnsi="Arial"/>
                <w:bCs/>
                <w:sz w:val="20"/>
                <w:szCs w:val="20"/>
                <w:lang w:val="en-GB"/>
              </w:rPr>
              <w:t>Hỗ trợ chuyển đổi các nền tảng thương mại điện tử tập trung vào thị trường nội địa thành các nền tảng thương mại điện tử khu vực, có khả năng cung cấp hỗ trợ tích hợp cho thanh toán số xuyên biên giới an toàn, cùng với chức năng hỗ trợ đa tiền tệ và đa ngôn ngữ.</w:t>
            </w:r>
          </w:p>
          <w:p w14:paraId="68561720" w14:textId="58CAA0D0" w:rsidR="005A7FFA" w:rsidRPr="004F1D15" w:rsidRDefault="005A7FFA" w:rsidP="00470C18">
            <w:pPr>
              <w:cnfStyle w:val="000000100000" w:firstRow="0" w:lastRow="0" w:firstColumn="0" w:lastColumn="0" w:oddVBand="0" w:evenVBand="0" w:oddHBand="1" w:evenHBand="0" w:firstRowFirstColumn="0" w:firstRowLastColumn="0" w:lastRowFirstColumn="0" w:lastRowLastColumn="0"/>
              <w:rPr>
                <w:sz w:val="20"/>
                <w:szCs w:val="20"/>
              </w:rPr>
            </w:pPr>
          </w:p>
        </w:tc>
        <w:tc>
          <w:tcPr>
            <w:tcW w:w="3764" w:type="dxa"/>
            <w:gridSpan w:val="2"/>
            <w:tcBorders>
              <w:left w:val="single" w:sz="4" w:space="0" w:color="156082"/>
              <w:right w:val="single" w:sz="4" w:space="0" w:color="156082"/>
            </w:tcBorders>
          </w:tcPr>
          <w:p w14:paraId="49C211D9" w14:textId="69C0BDE7" w:rsidR="005A7FFA" w:rsidRPr="004F1D15" w:rsidRDefault="00236334" w:rsidP="007664A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Ngắn</w:t>
            </w:r>
            <w:r>
              <w:rPr>
                <w:sz w:val="20"/>
                <w:szCs w:val="20"/>
                <w:lang w:val="vi-VN"/>
              </w:rPr>
              <w:t xml:space="preserve"> hạn</w:t>
            </w:r>
            <w:r w:rsidR="005A7FFA" w:rsidRPr="004F1D15">
              <w:rPr>
                <w:sz w:val="20"/>
                <w:szCs w:val="20"/>
              </w:rPr>
              <w:t>:</w:t>
            </w:r>
          </w:p>
          <w:p w14:paraId="69F16514" w14:textId="77777777" w:rsidR="00236334" w:rsidRPr="00236334" w:rsidRDefault="00236334" w:rsidP="00236334">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236334">
              <w:rPr>
                <w:rFonts w:ascii="Arial" w:eastAsia="DengXian" w:hAnsi="Arial"/>
                <w:sz w:val="20"/>
                <w:szCs w:val="20"/>
                <w:lang w:val="en-GB"/>
              </w:rPr>
              <w:t>Tiến hành đánh giá các nền tảng thương mại điện tử trong nước hiện nay để xác định các khoảng trống và cơ hội mở rộng ra khu vực.</w:t>
            </w:r>
          </w:p>
          <w:p w14:paraId="6CBF9198" w14:textId="4585E06C" w:rsidR="00236334" w:rsidRPr="00236334" w:rsidRDefault="00236334" w:rsidP="00236334">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236334">
              <w:rPr>
                <w:rFonts w:ascii="Arial" w:eastAsia="DengXian" w:hAnsi="Arial"/>
                <w:sz w:val="20"/>
                <w:szCs w:val="20"/>
                <w:lang w:val="en-GB"/>
              </w:rPr>
              <w:t>Xây dựng kế hoạch chiến lược cho quá trình chuyển đổi sang các nền tảng khu vực, bao gồm nhu cầu tích hợp thanh toán số, đa tiền tệ và đa ngôn ngữ.</w:t>
            </w:r>
          </w:p>
          <w:p w14:paraId="0C41728D" w14:textId="502412F0" w:rsidR="00236334" w:rsidRPr="00236334" w:rsidRDefault="00236334" w:rsidP="00236334">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236334">
              <w:rPr>
                <w:rFonts w:ascii="Arial" w:eastAsia="DengXian" w:hAnsi="Arial"/>
                <w:sz w:val="20"/>
                <w:szCs w:val="20"/>
                <w:lang w:val="en-GB"/>
              </w:rPr>
              <w:t>Triển khai các nâng cấp ban đầu cho các nền tảng hiện có nhằm hỗ trợ chức năng đa tiền tệ và đa ngôn ngữ.</w:t>
            </w:r>
          </w:p>
          <w:p w14:paraId="3D2B62CA" w14:textId="68E0C85D" w:rsidR="00946D9F" w:rsidRPr="00236334" w:rsidRDefault="00236334" w:rsidP="00236334">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236334">
              <w:rPr>
                <w:rFonts w:ascii="Arial" w:eastAsia="DengXian" w:hAnsi="Arial"/>
                <w:sz w:val="20"/>
                <w:szCs w:val="20"/>
                <w:lang w:val="en-GB"/>
              </w:rPr>
              <w:t xml:space="preserve">Khởi động các chương trình thí điểm với một số nền tảng thương mại </w:t>
            </w:r>
            <w:r w:rsidRPr="00236334">
              <w:rPr>
                <w:rFonts w:ascii="Arial" w:eastAsia="DengXian" w:hAnsi="Arial"/>
                <w:sz w:val="20"/>
                <w:szCs w:val="20"/>
                <w:lang w:val="en-GB"/>
              </w:rPr>
              <w:lastRenderedPageBreak/>
              <w:t>điện tử được chọn để thử nghiệm tính năng tích hợp thanh toán xuyên biên giới và các chức năng khu vực.</w:t>
            </w:r>
            <w:r w:rsidR="009163DB" w:rsidRPr="00236334">
              <w:rPr>
                <w:rFonts w:eastAsia="DengXian"/>
                <w:sz w:val="20"/>
                <w:szCs w:val="20"/>
              </w:rPr>
              <w:br/>
            </w:r>
          </w:p>
          <w:p w14:paraId="1517BBF2" w14:textId="00AB880C" w:rsidR="005A7FFA" w:rsidRPr="004F1D15" w:rsidRDefault="00236334" w:rsidP="007664A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Trung</w:t>
            </w:r>
            <w:r>
              <w:rPr>
                <w:sz w:val="20"/>
                <w:szCs w:val="20"/>
                <w:lang w:val="vi-VN"/>
              </w:rPr>
              <w:t xml:space="preserve"> hạn</w:t>
            </w:r>
            <w:r w:rsidR="005A7FFA" w:rsidRPr="004F1D15">
              <w:rPr>
                <w:sz w:val="20"/>
                <w:szCs w:val="20"/>
              </w:rPr>
              <w:t>:</w:t>
            </w:r>
          </w:p>
          <w:p w14:paraId="527337C6" w14:textId="77777777" w:rsidR="00C62782" w:rsidRPr="00C62782" w:rsidRDefault="00C62782" w:rsidP="00C62782">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C62782">
              <w:rPr>
                <w:rFonts w:ascii="Arial" w:eastAsia="DengXian" w:hAnsi="Arial"/>
                <w:sz w:val="20"/>
                <w:szCs w:val="20"/>
                <w:lang w:val="en-GB"/>
              </w:rPr>
              <w:t>Hỗ trợ quá trình chuyển đổi toàn diện từ các nền tảng nội địa sang nền tảng khu vực bằng cách mở rộng năng lực hỗ trợ đa tiền tệ và đa ngôn ngữ.</w:t>
            </w:r>
          </w:p>
          <w:p w14:paraId="292F86FD" w14:textId="7631863A" w:rsidR="00C62782" w:rsidRPr="00C62782" w:rsidRDefault="00C62782" w:rsidP="00C62782">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C62782">
              <w:rPr>
                <w:rFonts w:ascii="Arial" w:eastAsia="DengXian" w:hAnsi="Arial"/>
                <w:sz w:val="20"/>
                <w:szCs w:val="20"/>
                <w:lang w:val="en-GB"/>
              </w:rPr>
              <w:t>Tích hợp các giải pháp thanh toán số xuyên biên giới bảo mật vào nền tảng để tạo điều kiện giao dịch liền mạch trong toàn ASEAN.</w:t>
            </w:r>
          </w:p>
          <w:p w14:paraId="1F5A6C82" w14:textId="02706259" w:rsidR="00C62782" w:rsidRPr="00C62782" w:rsidRDefault="00C62782" w:rsidP="00C62782">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C62782">
              <w:rPr>
                <w:rFonts w:ascii="Arial" w:eastAsia="DengXian" w:hAnsi="Arial"/>
                <w:sz w:val="20"/>
                <w:szCs w:val="20"/>
                <w:lang w:val="en-GB"/>
              </w:rPr>
              <w:t>Thiết lập các quan hệ hợp tác với các cổng thanh toán khu vực và các tổ chức tài chính nhằm bảo đảm tính tương thích và an toàn.</w:t>
            </w:r>
          </w:p>
          <w:p w14:paraId="54CBFCB1" w14:textId="337CB730" w:rsidR="00B97EE9" w:rsidRPr="00C62782" w:rsidRDefault="00C62782" w:rsidP="00C62782">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C62782">
              <w:rPr>
                <w:rFonts w:ascii="Arial" w:eastAsia="DengXian" w:hAnsi="Arial"/>
                <w:sz w:val="20"/>
                <w:szCs w:val="20"/>
                <w:lang w:val="en-GB"/>
              </w:rPr>
              <w:t>Tiến hành thử nghiệm mở rộng để bảo đảm nền tảng vận hành hiệu quả tại nhiều quốc gia và khắc phục các vấn đề phát sinh trong giai đoạn thí điểm.</w:t>
            </w:r>
            <w:r w:rsidR="00827485" w:rsidRPr="00C62782">
              <w:rPr>
                <w:rFonts w:asciiTheme="minorBidi" w:eastAsia="DengXian" w:hAnsiTheme="minorBidi" w:cstheme="minorBidi"/>
                <w:sz w:val="20"/>
                <w:szCs w:val="20"/>
              </w:rPr>
              <w:br/>
            </w:r>
          </w:p>
          <w:p w14:paraId="5A09BE75" w14:textId="12579094" w:rsidR="005A7FFA" w:rsidRPr="004F1D15" w:rsidRDefault="00C62782" w:rsidP="007664A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Dài</w:t>
            </w:r>
            <w:r>
              <w:rPr>
                <w:sz w:val="20"/>
                <w:szCs w:val="20"/>
                <w:lang w:val="vi-VN"/>
              </w:rPr>
              <w:t xml:space="preserve"> hạn</w:t>
            </w:r>
            <w:r w:rsidR="005A7FFA" w:rsidRPr="004F1D15">
              <w:rPr>
                <w:sz w:val="20"/>
                <w:szCs w:val="20"/>
              </w:rPr>
              <w:t>:</w:t>
            </w:r>
          </w:p>
          <w:p w14:paraId="0378C0AA" w14:textId="77777777" w:rsidR="00C62782" w:rsidRPr="00C62782" w:rsidRDefault="00C62782" w:rsidP="00C62782">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C62782">
              <w:rPr>
                <w:rFonts w:ascii="Arial" w:eastAsia="DengXian" w:hAnsi="Arial"/>
                <w:sz w:val="20"/>
                <w:szCs w:val="20"/>
                <w:lang w:val="en-GB"/>
              </w:rPr>
              <w:t>Tối ưu hóa và mở rộng quy mô các nền tảng thương mại điện tử khu vực để đáp ứng lưu lượng và số lượng giao dịch tăng lên khi nhiều doanh nghiệp áp dụng năng lực xuyên biên giới.</w:t>
            </w:r>
          </w:p>
          <w:p w14:paraId="1CC6E7B4" w14:textId="6D53F8F7" w:rsidR="005A7FFA" w:rsidRPr="00C62782" w:rsidRDefault="00C62782" w:rsidP="00C62782">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C62782">
              <w:rPr>
                <w:rFonts w:ascii="Arial" w:eastAsia="DengXian" w:hAnsi="Arial"/>
                <w:sz w:val="20"/>
                <w:szCs w:val="20"/>
                <w:lang w:val="en-GB"/>
              </w:rPr>
              <w:t xml:space="preserve">Liên tục cập nhật nền tảng dựa trên phản hồi của người dùng và các tiêu </w:t>
            </w:r>
            <w:r w:rsidRPr="00C62782">
              <w:rPr>
                <w:rFonts w:ascii="Arial" w:eastAsia="DengXian" w:hAnsi="Arial"/>
                <w:sz w:val="20"/>
                <w:szCs w:val="20"/>
                <w:lang w:val="en-GB"/>
              </w:rPr>
              <w:lastRenderedPageBreak/>
              <w:t>chuẩn mới nổi ở cấp khu vực và quốc tế.</w:t>
            </w:r>
          </w:p>
        </w:tc>
        <w:tc>
          <w:tcPr>
            <w:tcW w:w="2318" w:type="dxa"/>
            <w:gridSpan w:val="2"/>
            <w:tcBorders>
              <w:left w:val="single" w:sz="4" w:space="0" w:color="156082"/>
              <w:right w:val="single" w:sz="4" w:space="0" w:color="156082"/>
            </w:tcBorders>
          </w:tcPr>
          <w:p w14:paraId="0304FA39" w14:textId="182C37E6" w:rsidR="00920646" w:rsidRPr="00E1058A" w:rsidRDefault="00C62782" w:rsidP="007664A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Cơ</w:t>
            </w:r>
            <w:r>
              <w:rPr>
                <w:sz w:val="20"/>
                <w:szCs w:val="20"/>
                <w:lang w:val="vi-VN"/>
              </w:rPr>
              <w:t xml:space="preserve"> quan điều phối</w:t>
            </w:r>
            <w:r w:rsidR="00BA47FE" w:rsidRPr="00E1058A">
              <w:rPr>
                <w:sz w:val="20"/>
                <w:szCs w:val="20"/>
              </w:rPr>
              <w:t>:</w:t>
            </w:r>
          </w:p>
          <w:p w14:paraId="7C660971" w14:textId="1717CB2A" w:rsidR="00BA47FE" w:rsidRPr="009C1137" w:rsidRDefault="009C1137" w:rsidP="009C1137">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rPr>
            </w:pPr>
            <w:r w:rsidRPr="009C1137">
              <w:rPr>
                <w:rFonts w:ascii="Arial" w:eastAsia="DengXian" w:hAnsi="Arial"/>
                <w:sz w:val="20"/>
                <w:szCs w:val="20"/>
              </w:rPr>
              <w:t>Hội</w:t>
            </w:r>
            <w:r w:rsidRPr="009C1137">
              <w:rPr>
                <w:rFonts w:ascii="Arial" w:eastAsia="DengXian" w:hAnsi="Arial"/>
                <w:sz w:val="20"/>
                <w:szCs w:val="20"/>
                <w:lang w:val="vi-VN"/>
              </w:rPr>
              <w:t xml:space="preserve"> nghị Quan chức cấp cao </w:t>
            </w:r>
            <w:r w:rsidR="00616696">
              <w:rPr>
                <w:rFonts w:ascii="Arial" w:eastAsia="DengXian" w:hAnsi="Arial"/>
                <w:sz w:val="20"/>
                <w:szCs w:val="20"/>
                <w:lang w:val="vi-VN"/>
              </w:rPr>
              <w:t>Số</w:t>
            </w:r>
            <w:r w:rsidRPr="009C1137">
              <w:rPr>
                <w:rFonts w:ascii="Arial" w:eastAsia="DengXian" w:hAnsi="Arial"/>
                <w:sz w:val="20"/>
                <w:szCs w:val="20"/>
                <w:lang w:val="vi-VN"/>
              </w:rPr>
              <w:t xml:space="preserve"> ASEAN </w:t>
            </w:r>
            <w:r w:rsidR="00E24F09" w:rsidRPr="009C1137">
              <w:rPr>
                <w:rFonts w:ascii="Arial" w:eastAsia="DengXian" w:hAnsi="Arial"/>
                <w:sz w:val="20"/>
                <w:szCs w:val="20"/>
              </w:rPr>
              <w:t>(ADGSOM)</w:t>
            </w:r>
          </w:p>
          <w:p w14:paraId="59B19A85" w14:textId="77777777" w:rsidR="00BA47FE" w:rsidRPr="00E1058A" w:rsidRDefault="00BA47FE" w:rsidP="007664A3">
            <w:pPr>
              <w:cnfStyle w:val="000000100000" w:firstRow="0" w:lastRow="0" w:firstColumn="0" w:lastColumn="0" w:oddVBand="0" w:evenVBand="0" w:oddHBand="1" w:evenHBand="0" w:firstRowFirstColumn="0" w:firstRowLastColumn="0" w:lastRowFirstColumn="0" w:lastRowLastColumn="0"/>
              <w:rPr>
                <w:sz w:val="20"/>
                <w:szCs w:val="20"/>
              </w:rPr>
            </w:pPr>
          </w:p>
          <w:p w14:paraId="44F4079C" w14:textId="6CC97CD0" w:rsidR="00C83019" w:rsidRPr="00E1058A" w:rsidRDefault="00C62782" w:rsidP="00C8301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Cơ</w:t>
            </w:r>
            <w:r>
              <w:rPr>
                <w:sz w:val="20"/>
                <w:szCs w:val="20"/>
                <w:lang w:val="vi-VN"/>
              </w:rPr>
              <w:t xml:space="preserve"> quan hỗ trợ</w:t>
            </w:r>
            <w:r w:rsidR="00C83019" w:rsidRPr="00E1058A">
              <w:rPr>
                <w:sz w:val="20"/>
                <w:szCs w:val="20"/>
              </w:rPr>
              <w:t>:</w:t>
            </w:r>
          </w:p>
          <w:p w14:paraId="0B988830" w14:textId="77777777" w:rsidR="00473033" w:rsidRPr="00473033" w:rsidRDefault="00473033" w:rsidP="00473033">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473033">
              <w:rPr>
                <w:rFonts w:ascii="Arial" w:eastAsia="DengXian" w:hAnsi="Arial"/>
                <w:sz w:val="20"/>
                <w:szCs w:val="20"/>
                <w:lang w:val="en-GB"/>
              </w:rPr>
              <w:t>Ủy ban Điều phối ASEAN về Thương mại Điện tử và Kinh tế Số (ACCED)</w:t>
            </w:r>
          </w:p>
          <w:p w14:paraId="1F97AA8E" w14:textId="5C837870" w:rsidR="00473033" w:rsidRPr="00E1058A" w:rsidRDefault="00473033" w:rsidP="00473033">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473033">
              <w:rPr>
                <w:rFonts w:ascii="Arial" w:eastAsia="DengXian" w:hAnsi="Arial"/>
                <w:sz w:val="20"/>
                <w:szCs w:val="20"/>
                <w:lang w:val="en-GB"/>
              </w:rPr>
              <w:t>Nhóm Công tác về Tiêu chuẩn và Đánh giá Sự phù hợp trong Thương mại Số (DTSCWG)</w:t>
            </w:r>
          </w:p>
          <w:p w14:paraId="21D71A12" w14:textId="70404C91" w:rsidR="005A7FFA" w:rsidRPr="004F1D15" w:rsidRDefault="00827971" w:rsidP="00C8301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br/>
            </w:r>
          </w:p>
        </w:tc>
        <w:tc>
          <w:tcPr>
            <w:tcW w:w="3774" w:type="dxa"/>
            <w:gridSpan w:val="2"/>
            <w:tcBorders>
              <w:left w:val="single" w:sz="4" w:space="0" w:color="156082"/>
            </w:tcBorders>
          </w:tcPr>
          <w:p w14:paraId="540FFB28" w14:textId="4CED7814" w:rsidR="005A7FFA" w:rsidRPr="004F1D15" w:rsidRDefault="00BF6225" w:rsidP="007664A3">
            <w:pPr>
              <w:cnfStyle w:val="000000100000" w:firstRow="0" w:lastRow="0" w:firstColumn="0" w:lastColumn="0" w:oddVBand="0" w:evenVBand="0" w:oddHBand="1" w:evenHBand="0" w:firstRowFirstColumn="0" w:firstRowLastColumn="0" w:lastRowFirstColumn="0" w:lastRowLastColumn="0"/>
              <w:rPr>
                <w:sz w:val="20"/>
                <w:szCs w:val="20"/>
              </w:rPr>
            </w:pPr>
            <w:r w:rsidRPr="00BF6225">
              <w:rPr>
                <w:sz w:val="20"/>
                <w:szCs w:val="20"/>
                <w:lang w:val="vi-VN"/>
              </w:rPr>
              <w:t>Các thước đo tiến độ chung bao gồm</w:t>
            </w:r>
            <w:r w:rsidR="005A7FFA" w:rsidRPr="004F1D15">
              <w:rPr>
                <w:sz w:val="20"/>
                <w:szCs w:val="20"/>
              </w:rPr>
              <w:t>:</w:t>
            </w:r>
          </w:p>
          <w:p w14:paraId="6A746887" w14:textId="77777777" w:rsidR="00BF6225" w:rsidRPr="00BF6225" w:rsidRDefault="00BF6225" w:rsidP="00BF6225">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BF6225">
              <w:rPr>
                <w:rFonts w:ascii="Arial" w:hAnsi="Arial"/>
                <w:sz w:val="20"/>
                <w:szCs w:val="20"/>
                <w:lang w:val="en-GB"/>
              </w:rPr>
              <w:t>Mức độ tích hợp và tỷ lệ sử dụng nền tảng: Theo dõi tỷ lệ phần trăm các nền tảng thương mại điện tử nội địa đã chuyển đổi sang nền tảng khu vực với hệ thống thanh toán xuyên biên giới tích hợp và hỗ trợ đa tiền tệ, đa ngôn ngữ.</w:t>
            </w:r>
          </w:p>
          <w:p w14:paraId="0EDAEB32" w14:textId="34D9549F" w:rsidR="00BF6225" w:rsidRPr="00BF6225" w:rsidRDefault="00BF6225" w:rsidP="00BF6225">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BF6225">
              <w:rPr>
                <w:rFonts w:ascii="Arial" w:hAnsi="Arial"/>
                <w:sz w:val="20"/>
                <w:szCs w:val="20"/>
                <w:lang w:val="en-GB"/>
              </w:rPr>
              <w:t>Khối lượng giao dịch: Đo lường khối lượng và tỷ lệ giao dịch xuyên biên giới được xử lý thành công qua các nền tảng đã nâng cấp.</w:t>
            </w:r>
          </w:p>
          <w:p w14:paraId="2857D606" w14:textId="31BE7755" w:rsidR="00BF6225" w:rsidRPr="00BF6225" w:rsidRDefault="00BF6225" w:rsidP="00BF6225">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BF6225">
              <w:rPr>
                <w:rFonts w:ascii="Arial" w:hAnsi="Arial"/>
                <w:sz w:val="20"/>
                <w:szCs w:val="20"/>
                <w:lang w:val="en-GB"/>
              </w:rPr>
              <w:t xml:space="preserve">Mức độ hài lòng và phản hồi của người dùng: Thu thập phản hồi từ doanh nghiệp và người tiêu dùng sử dụng các nền tảng thương mại điện tử khu vực để đánh giá mức độ hài </w:t>
            </w:r>
            <w:r w:rsidRPr="00BF6225">
              <w:rPr>
                <w:rFonts w:ascii="Arial" w:hAnsi="Arial"/>
                <w:sz w:val="20"/>
                <w:szCs w:val="20"/>
                <w:lang w:val="en-GB"/>
              </w:rPr>
              <w:lastRenderedPageBreak/>
              <w:t>lòng đối với các tính năng và chức năng mới.</w:t>
            </w:r>
          </w:p>
        </w:tc>
      </w:tr>
    </w:tbl>
    <w:p w14:paraId="27FA6914" w14:textId="77777777" w:rsidR="005A7FFA" w:rsidRPr="004F1D15" w:rsidRDefault="005A7FFA" w:rsidP="005A7FFA">
      <w:pPr>
        <w:rPr>
          <w:sz w:val="20"/>
          <w:szCs w:val="20"/>
        </w:rPr>
      </w:pPr>
    </w:p>
    <w:p w14:paraId="4C9DEEAB" w14:textId="7764ADBB" w:rsidR="005A7FFA" w:rsidRPr="004F1D15" w:rsidRDefault="004A2049" w:rsidP="005A7FFA">
      <w:pPr>
        <w:pStyle w:val="Heading3"/>
        <w:rPr>
          <w:szCs w:val="24"/>
          <w:lang w:val="en-GB"/>
        </w:rPr>
      </w:pPr>
      <w:r>
        <w:rPr>
          <w:szCs w:val="24"/>
          <w:lang w:val="en-GB"/>
        </w:rPr>
        <w:t>Tiểu</w:t>
      </w:r>
      <w:r>
        <w:rPr>
          <w:szCs w:val="24"/>
          <w:lang w:val="vi-VN"/>
        </w:rPr>
        <w:t xml:space="preserve"> lĩnh vực</w:t>
      </w:r>
      <w:r w:rsidR="005A7FFA" w:rsidRPr="004F1D15">
        <w:rPr>
          <w:szCs w:val="24"/>
          <w:lang w:val="en-GB"/>
        </w:rPr>
        <w:t xml:space="preserve">: </w:t>
      </w:r>
      <w:r>
        <w:rPr>
          <w:szCs w:val="24"/>
          <w:lang w:val="en-GB"/>
        </w:rPr>
        <w:t>Hóa</w:t>
      </w:r>
      <w:r>
        <w:rPr>
          <w:szCs w:val="24"/>
          <w:lang w:val="vi-VN"/>
        </w:rPr>
        <w:t xml:space="preserve"> đơn điện tử</w:t>
      </w:r>
    </w:p>
    <w:p w14:paraId="61D9FE1F" w14:textId="73BEA651" w:rsidR="005A7FFA" w:rsidRPr="004F1D15" w:rsidRDefault="004A2049" w:rsidP="00C82E40">
      <w:pPr>
        <w:pStyle w:val="Heading4"/>
        <w:rPr>
          <w:sz w:val="20"/>
          <w:lang w:val="en-GB"/>
        </w:rPr>
      </w:pPr>
      <w:r>
        <w:rPr>
          <w:sz w:val="20"/>
          <w:lang w:val="en-GB"/>
        </w:rPr>
        <w:t>Danh</w:t>
      </w:r>
      <w:r>
        <w:rPr>
          <w:sz w:val="20"/>
          <w:lang w:val="vi-VN"/>
        </w:rPr>
        <w:t xml:space="preserve"> mục </w:t>
      </w:r>
      <w:r w:rsidR="005A7FFA" w:rsidRPr="004F1D15">
        <w:rPr>
          <w:sz w:val="20"/>
          <w:lang w:val="en-GB"/>
        </w:rPr>
        <w:t xml:space="preserve">1: </w:t>
      </w:r>
      <w:r w:rsidR="00056915">
        <w:rPr>
          <w:sz w:val="20"/>
          <w:lang w:val="en-GB"/>
        </w:rPr>
        <w:t>Điều</w:t>
      </w:r>
      <w:r w:rsidR="00056915">
        <w:rPr>
          <w:sz w:val="20"/>
          <w:lang w:val="vi-VN"/>
        </w:rPr>
        <w:t xml:space="preserve"> chỉnh và Phối hợp Chính sách</w:t>
      </w:r>
    </w:p>
    <w:tbl>
      <w:tblPr>
        <w:tblStyle w:val="ListTable3-Accent11"/>
        <w:tblW w:w="15314" w:type="dxa"/>
        <w:tblLook w:val="04A0" w:firstRow="1" w:lastRow="0" w:firstColumn="1" w:lastColumn="0" w:noHBand="0" w:noVBand="1"/>
      </w:tblPr>
      <w:tblGrid>
        <w:gridCol w:w="1694"/>
        <w:gridCol w:w="3764"/>
        <w:gridCol w:w="7"/>
        <w:gridCol w:w="3757"/>
        <w:gridCol w:w="15"/>
        <w:gridCol w:w="2303"/>
        <w:gridCol w:w="14"/>
        <w:gridCol w:w="3760"/>
      </w:tblGrid>
      <w:tr w:rsidR="00CD5518" w:rsidRPr="004F1D15" w14:paraId="1CA430E6" w14:textId="77777777" w:rsidTr="00AC0A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4" w:type="dxa"/>
            <w:tcBorders>
              <w:bottom w:val="single" w:sz="4" w:space="0" w:color="156082"/>
            </w:tcBorders>
            <w:shd w:val="clear" w:color="auto" w:fill="002060"/>
          </w:tcPr>
          <w:p w14:paraId="02F6C99A" w14:textId="3DE2931B" w:rsidR="005A7FFA" w:rsidRPr="004A2049" w:rsidRDefault="004A2049" w:rsidP="00C8144A">
            <w:pPr>
              <w:jc w:val="center"/>
              <w:rPr>
                <w:sz w:val="20"/>
                <w:szCs w:val="20"/>
                <w:lang w:val="vi-VN"/>
              </w:rPr>
            </w:pPr>
            <w:r>
              <w:rPr>
                <w:sz w:val="20"/>
                <w:szCs w:val="20"/>
              </w:rPr>
              <w:t>Khu</w:t>
            </w:r>
            <w:r>
              <w:rPr>
                <w:sz w:val="20"/>
                <w:szCs w:val="20"/>
                <w:lang w:val="vi-VN"/>
              </w:rPr>
              <w:t xml:space="preserve"> vực hành động</w:t>
            </w:r>
          </w:p>
        </w:tc>
        <w:tc>
          <w:tcPr>
            <w:tcW w:w="3771" w:type="dxa"/>
            <w:gridSpan w:val="2"/>
            <w:shd w:val="clear" w:color="auto" w:fill="002060"/>
          </w:tcPr>
          <w:p w14:paraId="50A0C05B" w14:textId="514BE50C" w:rsidR="005A7FFA" w:rsidRPr="00056915" w:rsidRDefault="00056915" w:rsidP="00C8144A">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Lĩnh</w:t>
            </w:r>
            <w:r>
              <w:rPr>
                <w:sz w:val="20"/>
                <w:szCs w:val="20"/>
                <w:lang w:val="vi-VN"/>
              </w:rPr>
              <w:t xml:space="preserve"> vực trung tâm</w:t>
            </w:r>
          </w:p>
        </w:tc>
        <w:tc>
          <w:tcPr>
            <w:tcW w:w="3772" w:type="dxa"/>
            <w:gridSpan w:val="2"/>
            <w:shd w:val="clear" w:color="auto" w:fill="002060"/>
          </w:tcPr>
          <w:p w14:paraId="420051BB" w14:textId="6DE24011" w:rsidR="005A7FFA" w:rsidRPr="004F1D15" w:rsidRDefault="00056915" w:rsidP="00C8144A">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Các</w:t>
            </w:r>
            <w:r>
              <w:rPr>
                <w:sz w:val="20"/>
                <w:szCs w:val="20"/>
                <w:lang w:val="vi-VN"/>
              </w:rPr>
              <w:t xml:space="preserve"> mốc dự kiến và khung thời gian tạm tính</w:t>
            </w:r>
            <w:r w:rsidR="005A7FFA" w:rsidRPr="004F1D15">
              <w:rPr>
                <w:sz w:val="20"/>
                <w:szCs w:val="20"/>
                <w:vertAlign w:val="superscript"/>
              </w:rPr>
              <w:footnoteReference w:id="340"/>
            </w:r>
          </w:p>
        </w:tc>
        <w:tc>
          <w:tcPr>
            <w:tcW w:w="2317" w:type="dxa"/>
            <w:gridSpan w:val="2"/>
            <w:shd w:val="clear" w:color="auto" w:fill="002060"/>
          </w:tcPr>
          <w:p w14:paraId="214C4847" w14:textId="4F39D7A4" w:rsidR="005A7FFA" w:rsidRPr="00056915" w:rsidRDefault="00056915" w:rsidP="00C8144A">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Các</w:t>
            </w:r>
            <w:r>
              <w:rPr>
                <w:sz w:val="20"/>
                <w:szCs w:val="20"/>
                <w:lang w:val="vi-VN"/>
              </w:rPr>
              <w:t xml:space="preserve"> bên chịu trách nhiệm chính</w:t>
            </w:r>
          </w:p>
        </w:tc>
        <w:tc>
          <w:tcPr>
            <w:tcW w:w="3760" w:type="dxa"/>
            <w:shd w:val="clear" w:color="auto" w:fill="002060"/>
          </w:tcPr>
          <w:p w14:paraId="067DA15D" w14:textId="49684773" w:rsidR="005A7FFA" w:rsidRPr="00056915" w:rsidRDefault="00056915" w:rsidP="00C8144A">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Thước</w:t>
            </w:r>
            <w:r>
              <w:rPr>
                <w:sz w:val="20"/>
                <w:szCs w:val="20"/>
                <w:lang w:val="vi-VN"/>
              </w:rPr>
              <w:t xml:space="preserve"> đo tiến độ</w:t>
            </w:r>
          </w:p>
        </w:tc>
      </w:tr>
      <w:tr w:rsidR="00056915" w:rsidRPr="004F1D15" w14:paraId="35FCC1EC" w14:textId="77777777" w:rsidTr="00AC0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shd w:val="clear" w:color="auto" w:fill="00B0F0"/>
          </w:tcPr>
          <w:p w14:paraId="61F49F4D" w14:textId="6093736F" w:rsidR="00056915" w:rsidRPr="004A2049" w:rsidRDefault="00056915" w:rsidP="00056915">
            <w:pPr>
              <w:jc w:val="center"/>
              <w:rPr>
                <w:sz w:val="20"/>
                <w:szCs w:val="20"/>
                <w:lang w:val="vi-VN"/>
              </w:rPr>
            </w:pPr>
            <w:r>
              <w:rPr>
                <w:sz w:val="20"/>
                <w:szCs w:val="20"/>
              </w:rPr>
              <w:t>Khu</w:t>
            </w:r>
            <w:r>
              <w:rPr>
                <w:sz w:val="20"/>
                <w:szCs w:val="20"/>
                <w:lang w:val="vi-VN"/>
              </w:rPr>
              <w:t xml:space="preserve"> vực hành động chính</w:t>
            </w:r>
          </w:p>
        </w:tc>
        <w:tc>
          <w:tcPr>
            <w:tcW w:w="13620" w:type="dxa"/>
            <w:gridSpan w:val="7"/>
            <w:tcBorders>
              <w:left w:val="single" w:sz="4" w:space="0" w:color="156082"/>
            </w:tcBorders>
            <w:shd w:val="clear" w:color="auto" w:fill="00B0F0"/>
          </w:tcPr>
          <w:p w14:paraId="00902C36" w14:textId="033371A0" w:rsidR="00056915" w:rsidRPr="009B1077" w:rsidRDefault="00056915" w:rsidP="00056915">
            <w:pPr>
              <w:cnfStyle w:val="000000100000" w:firstRow="0" w:lastRow="0" w:firstColumn="0" w:lastColumn="0" w:oddVBand="0" w:evenVBand="0" w:oddHBand="1" w:evenHBand="0" w:firstRowFirstColumn="0" w:firstRowLastColumn="0" w:lastRowFirstColumn="0" w:lastRowLastColumn="0"/>
              <w:rPr>
                <w:rFonts w:eastAsiaTheme="minorEastAsia"/>
                <w:b/>
                <w:sz w:val="20"/>
                <w:szCs w:val="20"/>
                <w:lang w:val="vi-VN"/>
              </w:rPr>
            </w:pPr>
            <w:r>
              <w:rPr>
                <w:b/>
                <w:bCs/>
                <w:sz w:val="20"/>
                <w:szCs w:val="20"/>
              </w:rPr>
              <w:t>6.2.5</w:t>
            </w:r>
            <w:r w:rsidRPr="004F1D15">
              <w:rPr>
                <w:b/>
                <w:sz w:val="20"/>
                <w:szCs w:val="20"/>
              </w:rPr>
              <w:t xml:space="preserve">.1 </w:t>
            </w:r>
            <w:r w:rsidR="009B1077">
              <w:rPr>
                <w:b/>
                <w:bCs/>
                <w:sz w:val="20"/>
                <w:szCs w:val="20"/>
                <w:lang w:val="vi-VN"/>
              </w:rPr>
              <w:t>Tăng cường áp dụng các tiêu chuản hóa đơn điện tử quốc tế và/hoặc hài hòa hóa các hệ thống hóa đơn điện tử quốc gia theo các tiêu chuẩn quốc tế</w:t>
            </w:r>
          </w:p>
        </w:tc>
      </w:tr>
      <w:tr w:rsidR="00056915" w:rsidRPr="004F1D15" w14:paraId="3588BE1A" w14:textId="77777777" w:rsidTr="00AC0AE1">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156082"/>
              <w:bottom w:val="single" w:sz="4" w:space="0" w:color="156082"/>
              <w:right w:val="single" w:sz="4" w:space="0" w:color="156082"/>
            </w:tcBorders>
            <w:shd w:val="clear" w:color="auto" w:fill="BDD6EE" w:themeFill="accent5" w:themeFillTint="66"/>
          </w:tcPr>
          <w:p w14:paraId="3CA85E51" w14:textId="415A8C69" w:rsidR="00056915" w:rsidRPr="00056915" w:rsidRDefault="00056915" w:rsidP="00056915">
            <w:pPr>
              <w:jc w:val="center"/>
              <w:rPr>
                <w:sz w:val="20"/>
                <w:szCs w:val="20"/>
                <w:lang w:val="vi-VN"/>
              </w:rPr>
            </w:pPr>
            <w:r>
              <w:rPr>
                <w:sz w:val="20"/>
                <w:szCs w:val="20"/>
              </w:rPr>
              <w:t>Mục</w:t>
            </w:r>
            <w:r>
              <w:rPr>
                <w:sz w:val="20"/>
                <w:szCs w:val="20"/>
                <w:lang w:val="vi-VN"/>
              </w:rPr>
              <w:t xml:space="preserve"> tiêu</w:t>
            </w:r>
          </w:p>
        </w:tc>
        <w:tc>
          <w:tcPr>
            <w:tcW w:w="13620" w:type="dxa"/>
            <w:gridSpan w:val="7"/>
            <w:tcBorders>
              <w:left w:val="single" w:sz="4" w:space="0" w:color="156082"/>
            </w:tcBorders>
            <w:shd w:val="clear" w:color="auto" w:fill="BDD6EE" w:themeFill="accent5" w:themeFillTint="66"/>
          </w:tcPr>
          <w:p w14:paraId="34227F51" w14:textId="247F4933" w:rsidR="00056915" w:rsidRPr="00516087" w:rsidRDefault="009B1077" w:rsidP="00056915">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DengXian" w:hAnsi="Arial"/>
                <w:sz w:val="20"/>
                <w:szCs w:val="20"/>
                <w:lang w:val="en-GB"/>
              </w:rPr>
            </w:pPr>
            <w:r w:rsidRPr="009B1077">
              <w:rPr>
                <w:rFonts w:ascii="Arial" w:eastAsia="DengXian" w:hAnsi="Arial"/>
                <w:b/>
                <w:bCs/>
                <w:sz w:val="20"/>
                <w:szCs w:val="20"/>
                <w:lang w:val="vi-VN"/>
              </w:rPr>
              <w:t xml:space="preserve">Tăng cường khả năng tương tác và hiệu quả: </w:t>
            </w:r>
            <w:r w:rsidRPr="009B1077">
              <w:rPr>
                <w:rFonts w:ascii="Arial" w:eastAsia="DengXian" w:hAnsi="Arial"/>
                <w:sz w:val="20"/>
                <w:szCs w:val="20"/>
                <w:lang w:val="vi-VN"/>
              </w:rPr>
              <w:t>Việc rà soát và đánh giá các tiêu chuẩn hóa đơn điện tử giúp thúc đẩy khả năng tương tác liền mạch giữa các hệ thống ở các quốc gia và lĩnh vực khác nhau, qua đó đơn giản hóa quy trình lập hóa đơn, giảm thiểu sai sót, thời gian xử lý và chi phí hành chính cho doanh nghiệp và cơ quan nhà nước.</w:t>
            </w:r>
          </w:p>
          <w:p w14:paraId="2A7B1361" w14:textId="7AFDC00E" w:rsidR="00056915" w:rsidRPr="00516087" w:rsidRDefault="009B1077" w:rsidP="00056915">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DengXian" w:hAnsi="Arial"/>
                <w:sz w:val="20"/>
                <w:szCs w:val="20"/>
                <w:lang w:val="en-GB"/>
              </w:rPr>
            </w:pPr>
            <w:r w:rsidRPr="009B1077">
              <w:rPr>
                <w:rFonts w:ascii="Arial" w:eastAsia="DengXian" w:hAnsi="Arial"/>
                <w:b/>
                <w:bCs/>
                <w:sz w:val="20"/>
                <w:szCs w:val="20"/>
                <w:lang w:val="vi-VN"/>
              </w:rPr>
              <w:t>Tạo thuận lợi cho thương mại xuyên biên giới:</w:t>
            </w:r>
            <w:r w:rsidRPr="009B1077">
              <w:rPr>
                <w:rFonts w:ascii="Arial" w:eastAsia="DengXian" w:hAnsi="Arial"/>
                <w:sz w:val="20"/>
                <w:szCs w:val="20"/>
                <w:lang w:val="vi-VN"/>
              </w:rPr>
              <w:t xml:space="preserve"> Việc hài hòa hóa các hệ thống hóa đơn điện tử quốc gia góp phần thúc đẩy thương mại xuyên biên giới thông qua việc thiết lập một khuôn khổ thống nhất và tiêu chuẩn hóa cho hóa đơn điện tử. Điều này giúp đơn giản hóa yêu cầu tuân thủ và giảm rào cản thương mại giữa các quốc gia và doanh nghiệp.</w:t>
            </w:r>
          </w:p>
          <w:p w14:paraId="36960D4B" w14:textId="631B45D3" w:rsidR="00056915" w:rsidRPr="00516087" w:rsidRDefault="009B1077" w:rsidP="00056915">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hAnsi="Arial"/>
                <w:sz w:val="20"/>
                <w:szCs w:val="20"/>
                <w:lang w:val="en-GB"/>
              </w:rPr>
            </w:pPr>
            <w:r w:rsidRPr="009B1077">
              <w:rPr>
                <w:rFonts w:ascii="Arial" w:eastAsia="DengXian" w:hAnsi="Arial"/>
                <w:b/>
                <w:bCs/>
                <w:sz w:val="20"/>
                <w:szCs w:val="20"/>
                <w:lang w:val="vi-VN"/>
              </w:rPr>
              <w:t>Triển khai đồng bộ và nhất quán:</w:t>
            </w:r>
            <w:r w:rsidRPr="009B1077">
              <w:rPr>
                <w:rFonts w:ascii="Arial" w:eastAsia="DengXian" w:hAnsi="Arial"/>
                <w:sz w:val="20"/>
                <w:szCs w:val="20"/>
                <w:lang w:val="vi-VN"/>
              </w:rPr>
              <w:t xml:space="preserve"> Một lực lượng đặc nhiệm khu vực tiến hành nghiên cứu khả thi để rà soát các tiêu chuẩn hóa đơn điện tử, từ đó cung cấp thông tin cho các quốc gia thành viên về bức tranh tổng thể của </w:t>
            </w:r>
            <w:r w:rsidR="006F703C">
              <w:rPr>
                <w:rFonts w:ascii="Arial" w:eastAsia="DengXian" w:hAnsi="Arial"/>
                <w:sz w:val="20"/>
                <w:szCs w:val="20"/>
                <w:lang w:val="vi-VN"/>
              </w:rPr>
              <w:t>hóa đơn điện tử</w:t>
            </w:r>
            <w:r w:rsidRPr="009B1077">
              <w:rPr>
                <w:rFonts w:ascii="Arial" w:eastAsia="DengXian" w:hAnsi="Arial"/>
                <w:sz w:val="20"/>
                <w:szCs w:val="20"/>
                <w:lang w:val="vi-VN"/>
              </w:rPr>
              <w:t>. Điều này hỗ trợ đưa ra quyết định trong tương lai về tiêu chuẩn hóa và hài hòa hóa quy trình hóa đơn điện tử, qua đó thúc đẩy tích hợp và khả năng tương tác giữa các hệ thống quốc gia.</w:t>
            </w:r>
          </w:p>
        </w:tc>
      </w:tr>
      <w:tr w:rsidR="005A7FFA" w:rsidRPr="004F1D15" w14:paraId="4CDC5830" w14:textId="77777777" w:rsidTr="6BB67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tcPr>
          <w:p w14:paraId="59F1CCB3" w14:textId="46D603ED" w:rsidR="005A7FFA" w:rsidRPr="004F1D15" w:rsidRDefault="000937A5" w:rsidP="00C8144A">
            <w:pPr>
              <w:jc w:val="center"/>
              <w:rPr>
                <w:sz w:val="20"/>
                <w:szCs w:val="20"/>
              </w:rPr>
            </w:pPr>
            <w:r>
              <w:rPr>
                <w:sz w:val="20"/>
                <w:szCs w:val="20"/>
              </w:rPr>
              <w:t>6.2.5</w:t>
            </w:r>
            <w:r w:rsidR="00F96333" w:rsidRPr="004F1D15">
              <w:rPr>
                <w:sz w:val="20"/>
                <w:szCs w:val="20"/>
              </w:rPr>
              <w:t xml:space="preserve">.1 </w:t>
            </w:r>
            <w:r w:rsidR="009B1077" w:rsidRPr="009B1077">
              <w:rPr>
                <w:sz w:val="20"/>
                <w:szCs w:val="20"/>
              </w:rPr>
              <w:t xml:space="preserve">Tăng cường áp dụng các tiêu chuản hóa đơn điện tử quốc tế và/hoặc hài hòa hóa các hệ thống hóa đơn điện tử quốc gia theo các </w:t>
            </w:r>
            <w:r w:rsidR="009B1077" w:rsidRPr="009B1077">
              <w:rPr>
                <w:sz w:val="20"/>
                <w:szCs w:val="20"/>
              </w:rPr>
              <w:lastRenderedPageBreak/>
              <w:t>tiêu chuẩn quốc tế</w:t>
            </w:r>
          </w:p>
        </w:tc>
        <w:tc>
          <w:tcPr>
            <w:tcW w:w="3764" w:type="dxa"/>
            <w:tcBorders>
              <w:left w:val="single" w:sz="4" w:space="0" w:color="156082"/>
              <w:right w:val="single" w:sz="4" w:space="0" w:color="156082"/>
            </w:tcBorders>
          </w:tcPr>
          <w:p w14:paraId="533491F5" w14:textId="072FB857" w:rsidR="00414785" w:rsidRPr="00414785" w:rsidRDefault="00414785" w:rsidP="00414785">
            <w:pPr>
              <w:pStyle w:val="ListParagraph"/>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414785">
              <w:rPr>
                <w:rFonts w:ascii="Arial" w:eastAsia="DengXian" w:hAnsi="Arial"/>
                <w:b/>
                <w:bCs/>
                <w:sz w:val="20"/>
                <w:szCs w:val="20"/>
                <w:lang w:val="en-GB"/>
              </w:rPr>
              <w:lastRenderedPageBreak/>
              <w:t>Phối hợp và Hỗ trợ ở Cấp độ Khu vực:</w:t>
            </w:r>
            <w:r w:rsidRPr="00414785">
              <w:rPr>
                <w:rFonts w:ascii="Arial" w:eastAsia="DengXian" w:hAnsi="Arial"/>
                <w:sz w:val="20"/>
                <w:szCs w:val="20"/>
                <w:lang w:val="en-GB"/>
              </w:rPr>
              <w:t xml:space="preserve"> Thành lập một lực lượng đặc nhiệm hoặc nhóm công tác khu vực để điều phối các nỗ lực hài hòa hóa.</w:t>
            </w:r>
          </w:p>
          <w:p w14:paraId="2C2E9EA1" w14:textId="5EF5BFC9" w:rsidR="00414785" w:rsidRPr="00414785" w:rsidRDefault="00414785" w:rsidP="00414785">
            <w:pPr>
              <w:pStyle w:val="ListParagraph"/>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414785">
              <w:rPr>
                <w:rFonts w:ascii="Arial" w:eastAsia="DengXian" w:hAnsi="Arial"/>
                <w:b/>
                <w:bCs/>
                <w:sz w:val="20"/>
                <w:szCs w:val="20"/>
                <w:lang w:val="en-GB"/>
              </w:rPr>
              <w:t>Tiến hành Nghiên cứu Khả thi:</w:t>
            </w:r>
            <w:r w:rsidRPr="00414785">
              <w:rPr>
                <w:rFonts w:ascii="Arial" w:eastAsia="DengXian" w:hAnsi="Arial"/>
                <w:sz w:val="20"/>
                <w:szCs w:val="20"/>
                <w:lang w:val="en-GB"/>
              </w:rPr>
              <w:t xml:space="preserve"> Thực hiện nghiên cứu khả thi, bao gồm phân tích khoảng cách, để đánh </w:t>
            </w:r>
            <w:r w:rsidRPr="00414785">
              <w:rPr>
                <w:rFonts w:ascii="Arial" w:eastAsia="DengXian" w:hAnsi="Arial"/>
                <w:sz w:val="20"/>
                <w:szCs w:val="20"/>
                <w:lang w:val="en-GB"/>
              </w:rPr>
              <w:lastRenderedPageBreak/>
              <w:t>giá các tiêu chuẩn hóa đơn điện tử quốc tế có thể được áp dụng.</w:t>
            </w:r>
          </w:p>
          <w:p w14:paraId="6830ACFE" w14:textId="6B0F4C16" w:rsidR="00414785" w:rsidRPr="00516087" w:rsidRDefault="00414785" w:rsidP="00414785">
            <w:pPr>
              <w:pStyle w:val="ListParagraph"/>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414785">
              <w:rPr>
                <w:rFonts w:ascii="Arial" w:eastAsia="DengXian" w:hAnsi="Arial"/>
                <w:b/>
                <w:bCs/>
                <w:sz w:val="20"/>
                <w:szCs w:val="20"/>
                <w:lang w:val="en-GB"/>
              </w:rPr>
              <w:t>Hướng dẫn Khu vực:</w:t>
            </w:r>
            <w:r w:rsidRPr="00414785">
              <w:rPr>
                <w:rFonts w:ascii="Arial" w:eastAsia="DengXian" w:hAnsi="Arial"/>
                <w:sz w:val="20"/>
                <w:szCs w:val="20"/>
                <w:lang w:val="en-GB"/>
              </w:rPr>
              <w:t xml:space="preserve"> Xây dựng và phổ biến các hướng dẫn và thực tiễn tốt nhất ở cấp khu vực nhằm điều chỉnh các hệ thống hóa đơn điện tử quốc gia.</w:t>
            </w:r>
          </w:p>
          <w:p w14:paraId="0AEA07D4" w14:textId="77777777" w:rsidR="005419AB" w:rsidRPr="004F1D15" w:rsidRDefault="005419AB" w:rsidP="00470C18">
            <w:pPr>
              <w:cnfStyle w:val="000000100000" w:firstRow="0" w:lastRow="0" w:firstColumn="0" w:lastColumn="0" w:oddVBand="0" w:evenVBand="0" w:oddHBand="1" w:evenHBand="0" w:firstRowFirstColumn="0" w:firstRowLastColumn="0" w:lastRowFirstColumn="0" w:lastRowLastColumn="0"/>
              <w:rPr>
                <w:sz w:val="20"/>
                <w:szCs w:val="20"/>
              </w:rPr>
            </w:pPr>
          </w:p>
        </w:tc>
        <w:tc>
          <w:tcPr>
            <w:tcW w:w="3764" w:type="dxa"/>
            <w:gridSpan w:val="2"/>
            <w:tcBorders>
              <w:left w:val="single" w:sz="4" w:space="0" w:color="156082"/>
              <w:right w:val="single" w:sz="4" w:space="0" w:color="156082"/>
            </w:tcBorders>
          </w:tcPr>
          <w:p w14:paraId="4F3B1553" w14:textId="5DC61354" w:rsidR="005A7FFA" w:rsidRPr="004F1D15" w:rsidRDefault="00E80D3F" w:rsidP="007664A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Ngắn</w:t>
            </w:r>
            <w:r>
              <w:rPr>
                <w:sz w:val="20"/>
                <w:szCs w:val="20"/>
                <w:lang w:val="vi-VN"/>
              </w:rPr>
              <w:t xml:space="preserve"> hạn</w:t>
            </w:r>
            <w:r w:rsidR="005A7FFA" w:rsidRPr="004F1D15">
              <w:rPr>
                <w:sz w:val="20"/>
                <w:szCs w:val="20"/>
              </w:rPr>
              <w:t>:</w:t>
            </w:r>
          </w:p>
          <w:p w14:paraId="545C6F30" w14:textId="77777777" w:rsidR="00E80D3F" w:rsidRPr="00E80D3F" w:rsidRDefault="00E80D3F" w:rsidP="00E80D3F">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E80D3F">
              <w:rPr>
                <w:rFonts w:ascii="Arial" w:eastAsia="DengXian" w:hAnsi="Arial"/>
                <w:sz w:val="20"/>
                <w:szCs w:val="20"/>
                <w:lang w:val="en-GB"/>
              </w:rPr>
              <w:t>Thành lập lực lượng đặc nhiệm hoặc nhóm công tác khu vực với đại diện từ mỗi quốc gia thành viên ASEAN, bao gồm các nhà hoạch định chính sách, chuyên gia kỹ thuật và các bên liên quan trong ngành.</w:t>
            </w:r>
          </w:p>
          <w:p w14:paraId="6BBE9987" w14:textId="7F492DA9" w:rsidR="00E80D3F" w:rsidRPr="00E80D3F" w:rsidRDefault="00E80D3F" w:rsidP="00E80D3F">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E80D3F">
              <w:rPr>
                <w:rFonts w:ascii="Arial" w:eastAsia="DengXian" w:hAnsi="Arial"/>
                <w:sz w:val="20"/>
                <w:szCs w:val="20"/>
                <w:lang w:val="en-GB"/>
              </w:rPr>
              <w:t xml:space="preserve">Xây dựng một khuôn khổ phác thảo cơ chế điều phối, kênh thông tin liên </w:t>
            </w:r>
            <w:r w:rsidRPr="00E80D3F">
              <w:rPr>
                <w:rFonts w:ascii="Arial" w:eastAsia="DengXian" w:hAnsi="Arial"/>
                <w:sz w:val="20"/>
                <w:szCs w:val="20"/>
                <w:lang w:val="en-GB"/>
              </w:rPr>
              <w:lastRenderedPageBreak/>
              <w:t>lạc và quy trình ra quyết định cho lực lượng đặc nhiệm.</w:t>
            </w:r>
          </w:p>
          <w:p w14:paraId="1A144CCD" w14:textId="24896461" w:rsidR="001F2AAC" w:rsidRPr="00E80D3F" w:rsidRDefault="00E80D3F" w:rsidP="00E80D3F">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E80D3F">
              <w:rPr>
                <w:rFonts w:ascii="Arial" w:eastAsia="DengXian" w:hAnsi="Arial"/>
                <w:sz w:val="20"/>
                <w:szCs w:val="20"/>
                <w:lang w:val="en-GB"/>
              </w:rPr>
              <w:t>Đánh giá hiện trạng các hệ thống hóa đơn điện tử và tiêu chuẩn hóa đơn điện tử tại từng quốc gia thành viên ASEAN thông qua việc thực hiện nghiên cứu khả thi để thiết lập đường cơ sở cho các nỗ lực hài hòa hóa.</w:t>
            </w:r>
            <w:r w:rsidR="001D01FB" w:rsidRPr="00E80D3F">
              <w:rPr>
                <w:rFonts w:asciiTheme="minorBidi" w:eastAsia="DengXian" w:hAnsiTheme="minorBidi" w:cstheme="minorBidi"/>
                <w:sz w:val="20"/>
                <w:szCs w:val="20"/>
              </w:rPr>
              <w:br/>
            </w:r>
          </w:p>
          <w:p w14:paraId="3336C2C8" w14:textId="378874A2" w:rsidR="005A7FFA" w:rsidRPr="004F1D15" w:rsidRDefault="00A5336B" w:rsidP="007664A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Trung</w:t>
            </w:r>
            <w:r>
              <w:rPr>
                <w:sz w:val="20"/>
                <w:szCs w:val="20"/>
                <w:lang w:val="vi-VN"/>
              </w:rPr>
              <w:t xml:space="preserve"> hạn</w:t>
            </w:r>
            <w:r w:rsidR="005A7FFA" w:rsidRPr="004F1D15">
              <w:rPr>
                <w:sz w:val="20"/>
                <w:szCs w:val="20"/>
              </w:rPr>
              <w:t>:</w:t>
            </w:r>
          </w:p>
          <w:p w14:paraId="475E9136" w14:textId="1CBC6309" w:rsidR="00A5336B" w:rsidRPr="00A5336B" w:rsidRDefault="00A5336B" w:rsidP="00A5336B">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A5336B">
              <w:rPr>
                <w:rFonts w:ascii="Arial" w:eastAsia="DengXian" w:hAnsi="Arial"/>
                <w:sz w:val="20"/>
                <w:szCs w:val="20"/>
                <w:lang w:val="en-GB"/>
              </w:rPr>
              <w:t>Xây dựng và phổ biến các hướng dẫn và thực tiễn tốt nhất ở cấp khu vực để điều chỉnh các hệ thống hóa đơn điện tử quốc gia.</w:t>
            </w:r>
          </w:p>
          <w:p w14:paraId="181FF0EB" w14:textId="075CDB77" w:rsidR="00A5336B" w:rsidRPr="00A5336B" w:rsidRDefault="00A5336B" w:rsidP="00A5336B">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A5336B">
              <w:rPr>
                <w:rFonts w:ascii="Arial" w:eastAsia="DengXian" w:hAnsi="Arial"/>
                <w:sz w:val="20"/>
                <w:szCs w:val="20"/>
                <w:lang w:val="en-GB"/>
              </w:rPr>
              <w:t>Khởi động các dự án thí điểm tại một số quốc gia thành viên ASEAN được lựa chọn nhằm kiểm nghiệm và hoàn thiện các chiến lược hài hòa hóa và cơ chế hỗ trợ.</w:t>
            </w:r>
          </w:p>
          <w:p w14:paraId="0D594FE1" w14:textId="12333903" w:rsidR="000322D7" w:rsidRPr="00A5336B" w:rsidRDefault="00A5336B" w:rsidP="00A5336B">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A5336B">
              <w:rPr>
                <w:rFonts w:ascii="Arial" w:eastAsia="DengXian" w:hAnsi="Arial"/>
                <w:sz w:val="20"/>
                <w:szCs w:val="20"/>
                <w:lang w:val="en-GB"/>
              </w:rPr>
              <w:t>Xây dựng và công bố các nghiên cứu tình huống nêu bật những triển khai thành công và các bài học kinh nghiệm.</w:t>
            </w:r>
            <w:r w:rsidR="001D01FB" w:rsidRPr="00A5336B">
              <w:rPr>
                <w:rFonts w:eastAsia="DengXian"/>
                <w:sz w:val="20"/>
                <w:szCs w:val="20"/>
              </w:rPr>
              <w:br/>
            </w:r>
          </w:p>
          <w:p w14:paraId="36321463" w14:textId="6D48E76E" w:rsidR="005A7FFA" w:rsidRPr="004F1D15" w:rsidRDefault="00A5336B" w:rsidP="007664A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Dài</w:t>
            </w:r>
            <w:r>
              <w:rPr>
                <w:sz w:val="20"/>
                <w:szCs w:val="20"/>
                <w:lang w:val="vi-VN"/>
              </w:rPr>
              <w:t xml:space="preserve"> hạn</w:t>
            </w:r>
            <w:r w:rsidR="005A7FFA" w:rsidRPr="004F1D15">
              <w:rPr>
                <w:sz w:val="20"/>
                <w:szCs w:val="20"/>
              </w:rPr>
              <w:t>:</w:t>
            </w:r>
          </w:p>
          <w:p w14:paraId="3C9A2473" w14:textId="5A4759F8" w:rsidR="00A5336B" w:rsidRPr="00A5336B" w:rsidRDefault="00A5336B" w:rsidP="00A5336B">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A5336B">
              <w:rPr>
                <w:rFonts w:ascii="Arial" w:eastAsia="DengXian" w:hAnsi="Arial"/>
                <w:sz w:val="20"/>
                <w:szCs w:val="20"/>
                <w:lang w:val="en-GB"/>
              </w:rPr>
              <w:t>Mở rộng vai trò của lực lượng đặc nhiệm, bao gồm hỗ trợ liên tục, giám sát và cập nhật các nỗ lực hài hòa hóa.</w:t>
            </w:r>
          </w:p>
          <w:p w14:paraId="2B851028" w14:textId="7F9C7455" w:rsidR="00A5336B" w:rsidRPr="00A5336B" w:rsidRDefault="00A5336B" w:rsidP="00A5336B">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A5336B">
              <w:rPr>
                <w:rFonts w:ascii="Arial" w:eastAsia="DengXian" w:hAnsi="Arial"/>
                <w:sz w:val="20"/>
                <w:szCs w:val="20"/>
                <w:lang w:val="en-GB"/>
              </w:rPr>
              <w:t xml:space="preserve">Tiến hành đánh giá toàn diện về tác động của lực lượng đặc nhiệm đối với việc áp dụng tiêu chuẩn hóa đơn </w:t>
            </w:r>
            <w:r w:rsidRPr="00A5336B">
              <w:rPr>
                <w:rFonts w:ascii="Arial" w:eastAsia="DengXian" w:hAnsi="Arial"/>
                <w:sz w:val="20"/>
                <w:szCs w:val="20"/>
                <w:lang w:val="en-GB"/>
              </w:rPr>
              <w:lastRenderedPageBreak/>
              <w:t>điện tử và các nỗ lực hài hòa hóa trong toàn khối ASEAN.</w:t>
            </w:r>
          </w:p>
          <w:p w14:paraId="012D6451" w14:textId="0D979DAE" w:rsidR="005A7FFA" w:rsidRPr="00A5336B" w:rsidRDefault="00A5336B" w:rsidP="00A5336B">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A5336B">
              <w:rPr>
                <w:rFonts w:ascii="Arial" w:eastAsia="DengXian" w:hAnsi="Arial"/>
                <w:sz w:val="20"/>
                <w:szCs w:val="20"/>
                <w:lang w:val="en-GB"/>
              </w:rPr>
              <w:t>Khám phá cơ hội mở rộng hợp tác khu vực để bao gồm thêm các bên liên quan khác hoặc giải quyết các thách thức mới trong quá trình hài hòa hóa hóa đơn điện tử.</w:t>
            </w:r>
          </w:p>
        </w:tc>
        <w:tc>
          <w:tcPr>
            <w:tcW w:w="2318" w:type="dxa"/>
            <w:gridSpan w:val="2"/>
            <w:tcBorders>
              <w:left w:val="single" w:sz="4" w:space="0" w:color="156082"/>
              <w:right w:val="single" w:sz="4" w:space="0" w:color="156082"/>
            </w:tcBorders>
          </w:tcPr>
          <w:p w14:paraId="0B77FB32" w14:textId="1F706DB2" w:rsidR="001A3860" w:rsidRPr="001A3860" w:rsidRDefault="00E86961" w:rsidP="001A386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Cơ</w:t>
            </w:r>
            <w:r>
              <w:rPr>
                <w:sz w:val="20"/>
                <w:szCs w:val="20"/>
                <w:lang w:val="vi-VN"/>
              </w:rPr>
              <w:t xml:space="preserve"> quan điều phối ngành</w:t>
            </w:r>
            <w:r w:rsidR="001A3860">
              <w:rPr>
                <w:sz w:val="20"/>
                <w:szCs w:val="20"/>
              </w:rPr>
              <w:t>:</w:t>
            </w:r>
          </w:p>
          <w:p w14:paraId="7BFA83D5" w14:textId="4765E7E2" w:rsidR="00D9769D" w:rsidRDefault="00031FD1" w:rsidP="00B63B5F">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Pr>
                <w:rFonts w:ascii="Arial" w:eastAsia="DengXian" w:hAnsi="Arial"/>
                <w:sz w:val="20"/>
                <w:szCs w:val="20"/>
                <w:lang w:val="en-GB"/>
              </w:rPr>
              <w:t>N</w:t>
            </w:r>
            <w:r w:rsidR="00E86961" w:rsidRPr="00E86961">
              <w:rPr>
                <w:rFonts w:ascii="Arial" w:eastAsia="DengXian" w:hAnsi="Arial"/>
                <w:sz w:val="20"/>
                <w:szCs w:val="20"/>
                <w:lang w:val="en-GB"/>
              </w:rPr>
              <w:t xml:space="preserve">hóm Công tác về Tiêu chuẩn và Hài hòa Hóa Thương mại Số </w:t>
            </w:r>
            <w:r w:rsidR="00D9769D">
              <w:rPr>
                <w:rFonts w:ascii="Arial" w:eastAsia="DengXian" w:hAnsi="Arial"/>
                <w:sz w:val="20"/>
                <w:szCs w:val="20"/>
                <w:lang w:val="en-GB"/>
              </w:rPr>
              <w:t>(DTS</w:t>
            </w:r>
            <w:r w:rsidR="0058647A">
              <w:rPr>
                <w:rFonts w:ascii="Arial" w:eastAsia="DengXian" w:hAnsi="Arial"/>
                <w:sz w:val="20"/>
                <w:szCs w:val="20"/>
                <w:lang w:val="en-GB"/>
              </w:rPr>
              <w:t xml:space="preserve">CWG) </w:t>
            </w:r>
          </w:p>
          <w:p w14:paraId="085E0C78" w14:textId="51F5EA38" w:rsidR="0015375D" w:rsidRPr="00B63B5F" w:rsidRDefault="0015375D" w:rsidP="009C5B34">
            <w:pPr>
              <w:pStyle w:val="ListParagraph"/>
              <w:numPr>
                <w:ilvl w:val="0"/>
                <w:numId w:val="0"/>
              </w:numPr>
              <w:spacing w:after="0"/>
              <w:ind w:left="36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p>
          <w:p w14:paraId="786CDF30" w14:textId="1BB444D5" w:rsidR="005A7FFA" w:rsidRPr="00516087" w:rsidRDefault="005A7FFA" w:rsidP="00B63B5F">
            <w:pPr>
              <w:pStyle w:val="ListParagraph"/>
              <w:numPr>
                <w:ilvl w:val="0"/>
                <w:numId w:val="0"/>
              </w:numPr>
              <w:ind w:left="1080"/>
              <w:cnfStyle w:val="000000100000" w:firstRow="0" w:lastRow="0" w:firstColumn="0" w:lastColumn="0" w:oddVBand="0" w:evenVBand="0" w:oddHBand="1" w:evenHBand="0" w:firstRowFirstColumn="0" w:firstRowLastColumn="0" w:lastRowFirstColumn="0" w:lastRowLastColumn="0"/>
              <w:rPr>
                <w:lang w:val="en-GB"/>
              </w:rPr>
            </w:pPr>
          </w:p>
        </w:tc>
        <w:tc>
          <w:tcPr>
            <w:tcW w:w="3774" w:type="dxa"/>
            <w:gridSpan w:val="2"/>
            <w:tcBorders>
              <w:left w:val="single" w:sz="4" w:space="0" w:color="156082"/>
            </w:tcBorders>
          </w:tcPr>
          <w:p w14:paraId="03BB3159" w14:textId="2B65B19B" w:rsidR="005A7FFA" w:rsidRPr="00E86961" w:rsidRDefault="00E86961" w:rsidP="007664A3">
            <w:pPr>
              <w:cnfStyle w:val="000000100000" w:firstRow="0" w:lastRow="0" w:firstColumn="0" w:lastColumn="0" w:oddVBand="0" w:evenVBand="0" w:oddHBand="1" w:evenHBand="0" w:firstRowFirstColumn="0" w:firstRowLastColumn="0" w:lastRowFirstColumn="0" w:lastRowLastColumn="0"/>
              <w:rPr>
                <w:sz w:val="20"/>
                <w:szCs w:val="20"/>
                <w:lang w:val="vi-VN"/>
              </w:rPr>
            </w:pPr>
            <w:r w:rsidRPr="00E86961">
              <w:rPr>
                <w:sz w:val="20"/>
                <w:szCs w:val="20"/>
                <w:lang w:val="vi-VN"/>
              </w:rPr>
              <w:t>Các chỉ số đánh giá tiến độ chung bao gồm:</w:t>
            </w:r>
          </w:p>
          <w:p w14:paraId="588FC2A8" w14:textId="7FA8F2A0" w:rsidR="00694BD0" w:rsidRPr="00694BD0" w:rsidRDefault="00694BD0" w:rsidP="00694BD0">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b/>
                <w:sz w:val="20"/>
                <w:szCs w:val="20"/>
                <w:lang w:val="en-GB"/>
              </w:rPr>
            </w:pPr>
            <w:r w:rsidRPr="00694BD0">
              <w:rPr>
                <w:rFonts w:ascii="Arial" w:hAnsi="Arial"/>
                <w:b/>
                <w:sz w:val="20"/>
                <w:szCs w:val="20"/>
                <w:lang w:val="en-GB"/>
              </w:rPr>
              <w:t xml:space="preserve">Hình thành Lực lượng Đặc nhiệm: </w:t>
            </w:r>
            <w:r w:rsidRPr="00694BD0">
              <w:rPr>
                <w:rFonts w:ascii="Arial" w:hAnsi="Arial"/>
                <w:bCs/>
                <w:sz w:val="20"/>
                <w:szCs w:val="20"/>
                <w:lang w:val="en-GB"/>
              </w:rPr>
              <w:t>Theo dõi việc thành lập lực lượng đặc nhiệm khu vực và các hoạt động của lực lượng như họp định kỳ hàng quý và báo cáo tiến độ.</w:t>
            </w:r>
          </w:p>
          <w:p w14:paraId="63DB2ED5" w14:textId="0908FE56" w:rsidR="00F17392" w:rsidRPr="00694BD0" w:rsidRDefault="00694BD0" w:rsidP="00694BD0">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bCs/>
                <w:sz w:val="20"/>
                <w:szCs w:val="20"/>
                <w:lang w:val="en-GB"/>
              </w:rPr>
            </w:pPr>
            <w:r w:rsidRPr="00694BD0">
              <w:rPr>
                <w:rFonts w:ascii="Arial" w:hAnsi="Arial"/>
                <w:b/>
                <w:sz w:val="20"/>
                <w:szCs w:val="20"/>
                <w:lang w:val="en-GB"/>
              </w:rPr>
              <w:t xml:space="preserve">Xây dựng và Phổ biến Hướng dẫn: </w:t>
            </w:r>
            <w:r w:rsidRPr="00694BD0">
              <w:rPr>
                <w:rFonts w:ascii="Arial" w:hAnsi="Arial"/>
                <w:bCs/>
                <w:sz w:val="20"/>
                <w:szCs w:val="20"/>
                <w:lang w:val="en-GB"/>
              </w:rPr>
              <w:t xml:space="preserve">Theo dõi việc xây dựng và phổ biến các hướng dẫn và thực tiễn tốt </w:t>
            </w:r>
            <w:r w:rsidRPr="00694BD0">
              <w:rPr>
                <w:rFonts w:ascii="Arial" w:hAnsi="Arial"/>
                <w:bCs/>
                <w:sz w:val="20"/>
                <w:szCs w:val="20"/>
                <w:lang w:val="en-GB"/>
              </w:rPr>
              <w:lastRenderedPageBreak/>
              <w:t>nhất trong khu vực nhằm điều chỉnh các hệ thống hóa đơn điện tử quốc gia theo tiêu chuẩn hóa đơn điện tử.</w:t>
            </w:r>
          </w:p>
          <w:p w14:paraId="247F90A2" w14:textId="77777777" w:rsidR="005A7FFA" w:rsidRPr="004F1D15" w:rsidRDefault="005A7FFA" w:rsidP="00470C18">
            <w:pPr>
              <w:cnfStyle w:val="000000100000" w:firstRow="0" w:lastRow="0" w:firstColumn="0" w:lastColumn="0" w:oddVBand="0" w:evenVBand="0" w:oddHBand="1" w:evenHBand="0" w:firstRowFirstColumn="0" w:firstRowLastColumn="0" w:lastRowFirstColumn="0" w:lastRowLastColumn="0"/>
              <w:rPr>
                <w:sz w:val="20"/>
                <w:szCs w:val="20"/>
              </w:rPr>
            </w:pPr>
          </w:p>
        </w:tc>
      </w:tr>
    </w:tbl>
    <w:p w14:paraId="46C07C98" w14:textId="77777777" w:rsidR="005A7FFA" w:rsidRPr="004F1D15" w:rsidRDefault="005A7FFA" w:rsidP="007664A3">
      <w:pPr>
        <w:rPr>
          <w:sz w:val="20"/>
          <w:szCs w:val="20"/>
        </w:rPr>
      </w:pPr>
    </w:p>
    <w:p w14:paraId="61789D05" w14:textId="037089CE" w:rsidR="005A7FFA" w:rsidRPr="004F1D15" w:rsidRDefault="00031FD1" w:rsidP="00C82E40">
      <w:pPr>
        <w:pStyle w:val="Heading4"/>
        <w:rPr>
          <w:sz w:val="20"/>
          <w:lang w:val="en-GB"/>
        </w:rPr>
      </w:pPr>
      <w:r>
        <w:rPr>
          <w:sz w:val="20"/>
          <w:lang w:val="en-GB"/>
        </w:rPr>
        <w:t>Danh</w:t>
      </w:r>
      <w:r>
        <w:rPr>
          <w:sz w:val="20"/>
          <w:lang w:val="vi-VN"/>
        </w:rPr>
        <w:t xml:space="preserve"> mục</w:t>
      </w:r>
      <w:r w:rsidR="00CC6EE0" w:rsidRPr="004F1D15">
        <w:rPr>
          <w:sz w:val="20"/>
          <w:lang w:val="en-GB"/>
        </w:rPr>
        <w:t xml:space="preserve"> </w:t>
      </w:r>
      <w:r w:rsidR="005A7FFA" w:rsidRPr="004F1D15">
        <w:rPr>
          <w:sz w:val="20"/>
          <w:lang w:val="en-GB"/>
        </w:rPr>
        <w:t xml:space="preserve">2: </w:t>
      </w:r>
      <w:r w:rsidR="0008023F">
        <w:rPr>
          <w:sz w:val="20"/>
          <w:lang w:val="en-GB"/>
        </w:rPr>
        <w:t>Xây dựng năng lực và hỗ trợ kỹ thuật</w:t>
      </w:r>
    </w:p>
    <w:tbl>
      <w:tblPr>
        <w:tblStyle w:val="ListTable3-Accent11"/>
        <w:tblW w:w="15314" w:type="dxa"/>
        <w:tblLook w:val="04A0" w:firstRow="1" w:lastRow="0" w:firstColumn="1" w:lastColumn="0" w:noHBand="0" w:noVBand="1"/>
      </w:tblPr>
      <w:tblGrid>
        <w:gridCol w:w="1694"/>
        <w:gridCol w:w="3764"/>
        <w:gridCol w:w="7"/>
        <w:gridCol w:w="3757"/>
        <w:gridCol w:w="15"/>
        <w:gridCol w:w="2303"/>
        <w:gridCol w:w="14"/>
        <w:gridCol w:w="3760"/>
      </w:tblGrid>
      <w:tr w:rsidR="00CC3DBF" w:rsidRPr="004F1D15" w14:paraId="39F6CDDC" w14:textId="77777777" w:rsidTr="00AC0A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4" w:type="dxa"/>
            <w:tcBorders>
              <w:bottom w:val="single" w:sz="4" w:space="0" w:color="156082"/>
            </w:tcBorders>
            <w:shd w:val="clear" w:color="auto" w:fill="002060"/>
          </w:tcPr>
          <w:p w14:paraId="6B2CC5CB" w14:textId="54F6EDD2" w:rsidR="005A7FFA" w:rsidRPr="00031FD1" w:rsidRDefault="00031FD1" w:rsidP="00C8144A">
            <w:pPr>
              <w:jc w:val="center"/>
              <w:rPr>
                <w:sz w:val="20"/>
                <w:szCs w:val="20"/>
                <w:lang w:val="vi-VN"/>
              </w:rPr>
            </w:pPr>
            <w:r>
              <w:rPr>
                <w:sz w:val="20"/>
                <w:szCs w:val="20"/>
              </w:rPr>
              <w:t>Khu</w:t>
            </w:r>
            <w:r>
              <w:rPr>
                <w:sz w:val="20"/>
                <w:szCs w:val="20"/>
                <w:lang w:val="vi-VN"/>
              </w:rPr>
              <w:t xml:space="preserve"> vực hành động</w:t>
            </w:r>
          </w:p>
        </w:tc>
        <w:tc>
          <w:tcPr>
            <w:tcW w:w="3771" w:type="dxa"/>
            <w:gridSpan w:val="2"/>
            <w:shd w:val="clear" w:color="auto" w:fill="002060"/>
          </w:tcPr>
          <w:p w14:paraId="2FACFC0D" w14:textId="42EF11F7" w:rsidR="005A7FFA" w:rsidRPr="00B32D40" w:rsidRDefault="00B32D40" w:rsidP="00C8144A">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Lĩnh</w:t>
            </w:r>
            <w:r>
              <w:rPr>
                <w:sz w:val="20"/>
                <w:szCs w:val="20"/>
                <w:lang w:val="vi-VN"/>
              </w:rPr>
              <w:t xml:space="preserve"> vực trung tâm</w:t>
            </w:r>
          </w:p>
        </w:tc>
        <w:tc>
          <w:tcPr>
            <w:tcW w:w="3772" w:type="dxa"/>
            <w:gridSpan w:val="2"/>
            <w:shd w:val="clear" w:color="auto" w:fill="002060"/>
          </w:tcPr>
          <w:p w14:paraId="1A4E4994" w14:textId="22CAD14A" w:rsidR="005A7FFA" w:rsidRPr="004F1D15" w:rsidRDefault="00B32D40" w:rsidP="00C8144A">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Các</w:t>
            </w:r>
            <w:r>
              <w:rPr>
                <w:sz w:val="20"/>
                <w:szCs w:val="20"/>
                <w:lang w:val="vi-VN"/>
              </w:rPr>
              <w:t xml:space="preserve"> mốc dự kiến và khung thời gian tạm tính</w:t>
            </w:r>
            <w:r w:rsidR="005A7FFA" w:rsidRPr="004F1D15">
              <w:rPr>
                <w:sz w:val="20"/>
                <w:szCs w:val="20"/>
                <w:vertAlign w:val="superscript"/>
              </w:rPr>
              <w:footnoteReference w:id="341"/>
            </w:r>
          </w:p>
        </w:tc>
        <w:tc>
          <w:tcPr>
            <w:tcW w:w="2317" w:type="dxa"/>
            <w:gridSpan w:val="2"/>
            <w:shd w:val="clear" w:color="auto" w:fill="002060"/>
          </w:tcPr>
          <w:p w14:paraId="486977D9" w14:textId="76C7065D" w:rsidR="005A7FFA" w:rsidRPr="00B32D40" w:rsidRDefault="00B32D40" w:rsidP="00C8144A">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Các</w:t>
            </w:r>
            <w:r>
              <w:rPr>
                <w:sz w:val="20"/>
                <w:szCs w:val="20"/>
                <w:lang w:val="vi-VN"/>
              </w:rPr>
              <w:t xml:space="preserve"> bên chịu trách nhiệm chính</w:t>
            </w:r>
          </w:p>
        </w:tc>
        <w:tc>
          <w:tcPr>
            <w:tcW w:w="3760" w:type="dxa"/>
            <w:shd w:val="clear" w:color="auto" w:fill="002060"/>
          </w:tcPr>
          <w:p w14:paraId="1127ABCF" w14:textId="67B62B31" w:rsidR="005A7FFA" w:rsidRPr="00B32D40" w:rsidRDefault="00B32D40" w:rsidP="00C8144A">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Thước</w:t>
            </w:r>
            <w:r>
              <w:rPr>
                <w:sz w:val="20"/>
                <w:szCs w:val="20"/>
                <w:lang w:val="vi-VN"/>
              </w:rPr>
              <w:t xml:space="preserve"> đo tiến độ</w:t>
            </w:r>
          </w:p>
        </w:tc>
      </w:tr>
      <w:tr w:rsidR="005A7FFA" w:rsidRPr="004F1D15" w14:paraId="00088F6C" w14:textId="77777777" w:rsidTr="00AC0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shd w:val="clear" w:color="auto" w:fill="00B0F0"/>
          </w:tcPr>
          <w:p w14:paraId="4C444A76" w14:textId="73577918" w:rsidR="005A7FFA" w:rsidRPr="00031FD1" w:rsidRDefault="00031FD1" w:rsidP="00C8144A">
            <w:pPr>
              <w:jc w:val="center"/>
              <w:rPr>
                <w:sz w:val="20"/>
                <w:szCs w:val="20"/>
                <w:lang w:val="vi-VN"/>
              </w:rPr>
            </w:pPr>
            <w:r>
              <w:rPr>
                <w:sz w:val="20"/>
                <w:szCs w:val="20"/>
              </w:rPr>
              <w:t>Khu</w:t>
            </w:r>
            <w:r>
              <w:rPr>
                <w:sz w:val="20"/>
                <w:szCs w:val="20"/>
                <w:lang w:val="vi-VN"/>
              </w:rPr>
              <w:t xml:space="preserve"> vực hành động chính</w:t>
            </w:r>
          </w:p>
        </w:tc>
        <w:tc>
          <w:tcPr>
            <w:tcW w:w="13620" w:type="dxa"/>
            <w:gridSpan w:val="7"/>
            <w:tcBorders>
              <w:left w:val="single" w:sz="4" w:space="0" w:color="156082"/>
            </w:tcBorders>
            <w:shd w:val="clear" w:color="auto" w:fill="00B0F0"/>
          </w:tcPr>
          <w:p w14:paraId="72E96D07" w14:textId="1F4F9B13" w:rsidR="005A7FFA" w:rsidRPr="00B3383D" w:rsidRDefault="0058647A" w:rsidP="007664A3">
            <w:pPr>
              <w:cnfStyle w:val="000000100000" w:firstRow="0" w:lastRow="0" w:firstColumn="0" w:lastColumn="0" w:oddVBand="0" w:evenVBand="0" w:oddHBand="1" w:evenHBand="0" w:firstRowFirstColumn="0" w:firstRowLastColumn="0" w:lastRowFirstColumn="0" w:lastRowLastColumn="0"/>
              <w:rPr>
                <w:rFonts w:eastAsiaTheme="minorEastAsia"/>
                <w:b/>
                <w:sz w:val="20"/>
                <w:szCs w:val="20"/>
                <w:lang w:val="vi-VN"/>
              </w:rPr>
            </w:pPr>
            <w:r>
              <w:rPr>
                <w:b/>
                <w:sz w:val="20"/>
                <w:szCs w:val="20"/>
              </w:rPr>
              <w:t>6.2.5.2</w:t>
            </w:r>
            <w:r w:rsidR="00F96333" w:rsidRPr="004F1D15">
              <w:rPr>
                <w:b/>
                <w:sz w:val="20"/>
                <w:szCs w:val="20"/>
              </w:rPr>
              <w:t xml:space="preserve"> </w:t>
            </w:r>
            <w:r w:rsidR="00B3383D">
              <w:rPr>
                <w:b/>
                <w:sz w:val="20"/>
                <w:szCs w:val="20"/>
              </w:rPr>
              <w:t>Thiết</w:t>
            </w:r>
            <w:r w:rsidR="00B3383D">
              <w:rPr>
                <w:b/>
                <w:sz w:val="20"/>
                <w:szCs w:val="20"/>
                <w:lang w:val="vi-VN"/>
              </w:rPr>
              <w:t xml:space="preserve"> lập các Cơ chế Hỗ trợ nhằm Thúc đẩy Việc áp dụng và triển khai các Tiêu chuẩn Hóa đơn Điện tử </w:t>
            </w:r>
          </w:p>
        </w:tc>
      </w:tr>
      <w:tr w:rsidR="005A7FFA" w:rsidRPr="004F1D15" w14:paraId="6F903D55" w14:textId="77777777" w:rsidTr="00AC0AE1">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156082"/>
              <w:bottom w:val="single" w:sz="4" w:space="0" w:color="156082"/>
              <w:right w:val="single" w:sz="4" w:space="0" w:color="156082"/>
            </w:tcBorders>
            <w:shd w:val="clear" w:color="auto" w:fill="BDD6EE" w:themeFill="accent5" w:themeFillTint="66"/>
          </w:tcPr>
          <w:p w14:paraId="6372C8AC" w14:textId="663AFB4E" w:rsidR="005A7FFA" w:rsidRPr="00B32D40" w:rsidRDefault="00B32D40" w:rsidP="00C8144A">
            <w:pPr>
              <w:jc w:val="center"/>
              <w:rPr>
                <w:sz w:val="20"/>
                <w:szCs w:val="20"/>
                <w:lang w:val="vi-VN"/>
              </w:rPr>
            </w:pPr>
            <w:r>
              <w:rPr>
                <w:sz w:val="20"/>
                <w:szCs w:val="20"/>
              </w:rPr>
              <w:t>Mục</w:t>
            </w:r>
            <w:r>
              <w:rPr>
                <w:sz w:val="20"/>
                <w:szCs w:val="20"/>
                <w:lang w:val="vi-VN"/>
              </w:rPr>
              <w:t xml:space="preserve"> tiêu</w:t>
            </w:r>
          </w:p>
        </w:tc>
        <w:tc>
          <w:tcPr>
            <w:tcW w:w="13620" w:type="dxa"/>
            <w:gridSpan w:val="7"/>
            <w:tcBorders>
              <w:left w:val="single" w:sz="4" w:space="0" w:color="156082"/>
            </w:tcBorders>
            <w:shd w:val="clear" w:color="auto" w:fill="BDD6EE" w:themeFill="accent5" w:themeFillTint="66"/>
          </w:tcPr>
          <w:p w14:paraId="5B801D5F" w14:textId="5BD00636" w:rsidR="0049464D" w:rsidRPr="00516087" w:rsidRDefault="00335E45"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DengXian" w:hAnsi="Arial"/>
                <w:b/>
                <w:sz w:val="20"/>
                <w:szCs w:val="20"/>
                <w:lang w:val="en-GB"/>
              </w:rPr>
            </w:pPr>
            <w:r w:rsidRPr="00335E45">
              <w:rPr>
                <w:rFonts w:ascii="Arial" w:eastAsia="DengXian" w:hAnsi="Arial"/>
                <w:b/>
                <w:bCs/>
                <w:sz w:val="20"/>
                <w:szCs w:val="20"/>
                <w:lang w:val="vi-VN"/>
              </w:rPr>
              <w:t>Tạo thuận lợi cho quá trình chuyển đổi diễn ra suôn sẻ:</w:t>
            </w:r>
            <w:r w:rsidRPr="00335E45">
              <w:rPr>
                <w:rFonts w:ascii="Arial" w:eastAsia="DengXian" w:hAnsi="Arial"/>
                <w:sz w:val="20"/>
                <w:szCs w:val="20"/>
                <w:lang w:val="vi-VN"/>
              </w:rPr>
              <w:t xml:space="preserve"> Các cơ chế hỗ trợ, như hỗ trợ kỹ thuật và dịch vụ tư vấn, giúp doanh nghiệp và cơ quan chính phủ xử lý những phức tạp khi tích hợp các tiêu chuẩn hóa đơn điện tử vào hệ thống hiện có. Điều này bảo đảm quá trình chuyển đổi diễn ra suôn sẻ và hiệu quả hơn, hạn chế tối đa gián đoạn đối với hoạt động vận hành.</w:t>
            </w:r>
          </w:p>
          <w:p w14:paraId="3FB3CB6F" w14:textId="32648476" w:rsidR="005A7FFA" w:rsidRPr="00516087" w:rsidRDefault="00335E45"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hAnsi="Arial"/>
                <w:sz w:val="20"/>
                <w:szCs w:val="20"/>
                <w:lang w:val="en-GB"/>
              </w:rPr>
            </w:pPr>
            <w:r w:rsidRPr="00335E45">
              <w:rPr>
                <w:rFonts w:ascii="Arial" w:eastAsia="DengXian" w:hAnsi="Arial"/>
                <w:b/>
                <w:bCs/>
                <w:sz w:val="20"/>
                <w:szCs w:val="20"/>
                <w:lang w:val="vi-VN"/>
              </w:rPr>
              <w:t xml:space="preserve">Giảm rào cản trong quá trình áp dụng: </w:t>
            </w:r>
            <w:r w:rsidRPr="00335E45">
              <w:rPr>
                <w:rFonts w:ascii="Arial" w:eastAsia="DengXian" w:hAnsi="Arial"/>
                <w:sz w:val="20"/>
                <w:szCs w:val="20"/>
                <w:lang w:val="vi-VN"/>
              </w:rPr>
              <w:t>Thông qua cung cấp các tài liệu hướng dẫn thực tiễn tốt nhất và các chương trình nâng cao năng lực, các cơ chế hỗ trợ giúp giảm rào cản áp dụng tiêu chuẩn hóa đơn điện tử, khiến việc tuân thủ trở nên khả thi hơn đối với nhiều tổ chức và khuyến khích sự áp dụng rộng rãi.</w:t>
            </w:r>
          </w:p>
        </w:tc>
      </w:tr>
      <w:tr w:rsidR="00CC3DBF" w:rsidRPr="004F1D15" w14:paraId="490A46E9" w14:textId="77777777" w:rsidTr="6BB67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tcPr>
          <w:p w14:paraId="0B8DE82F" w14:textId="16331D27" w:rsidR="003C4B34" w:rsidRPr="004F1D15" w:rsidRDefault="0058647A" w:rsidP="00C8144A">
            <w:pPr>
              <w:jc w:val="center"/>
              <w:rPr>
                <w:sz w:val="20"/>
                <w:szCs w:val="20"/>
              </w:rPr>
            </w:pPr>
            <w:r>
              <w:rPr>
                <w:sz w:val="20"/>
                <w:szCs w:val="20"/>
              </w:rPr>
              <w:t>6.2.5.2</w:t>
            </w:r>
            <w:r w:rsidR="003C4B34" w:rsidRPr="004F1D15">
              <w:rPr>
                <w:sz w:val="20"/>
                <w:szCs w:val="20"/>
              </w:rPr>
              <w:t xml:space="preserve"> </w:t>
            </w:r>
            <w:r w:rsidR="00335E45" w:rsidRPr="00335E45">
              <w:rPr>
                <w:sz w:val="20"/>
                <w:szCs w:val="20"/>
              </w:rPr>
              <w:t>Thiết lập các Cơ chế Hỗ trợ nhằm Thúc đẩy Việc áp dụng và triển khai các Tiêu chuẩn Hóa đơn Điện tử</w:t>
            </w:r>
          </w:p>
        </w:tc>
        <w:tc>
          <w:tcPr>
            <w:tcW w:w="3764" w:type="dxa"/>
            <w:tcBorders>
              <w:left w:val="single" w:sz="4" w:space="0" w:color="156082"/>
              <w:right w:val="single" w:sz="4" w:space="0" w:color="156082"/>
            </w:tcBorders>
          </w:tcPr>
          <w:p w14:paraId="5590C88B" w14:textId="77777777" w:rsidR="00387CE9" w:rsidRPr="00387CE9" w:rsidRDefault="00387CE9" w:rsidP="00387CE9">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387CE9">
              <w:rPr>
                <w:rFonts w:ascii="Arial" w:eastAsia="DengXian" w:hAnsi="Arial"/>
                <w:sz w:val="20"/>
                <w:szCs w:val="20"/>
                <w:lang w:val="en-GB"/>
              </w:rPr>
              <w:t>Hỗ trợ kỹ thuật cho các nước ASEAN (AMS): Cung cấp hỗ trợ kỹ thuật và dịch vụ tư vấn để hỗ trợ doanh nghiệp và cơ quan chính phủ trong quá trình chuyển đổi sang các tiêu chuẩn hóa đơn điện tử, bao gồm tích hợp hệ thống và hỗ trợ xử lý sự cố.</w:t>
            </w:r>
          </w:p>
          <w:p w14:paraId="2E6A5596" w14:textId="1158FB39" w:rsidR="00387CE9" w:rsidRPr="00387CE9" w:rsidRDefault="00387CE9" w:rsidP="00387CE9">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387CE9">
              <w:rPr>
                <w:rFonts w:ascii="Arial" w:eastAsia="DengXian" w:hAnsi="Arial"/>
                <w:sz w:val="20"/>
                <w:szCs w:val="20"/>
                <w:lang w:val="en-GB"/>
              </w:rPr>
              <w:t xml:space="preserve">Tài liệu thực tiễn tốt nhất dành cho doanh nghiệp: Xây dựng và phổ </w:t>
            </w:r>
            <w:r w:rsidRPr="00387CE9">
              <w:rPr>
                <w:rFonts w:ascii="Arial" w:eastAsia="DengXian" w:hAnsi="Arial"/>
                <w:sz w:val="20"/>
                <w:szCs w:val="20"/>
                <w:lang w:val="en-GB"/>
              </w:rPr>
              <w:lastRenderedPageBreak/>
              <w:t>biến các tài liệu hướng dẫn triển khai toàn diện và tài liệu thực tiễn tốt nhất phù hợp với từng ngành và quy mô doanh nghiệp.</w:t>
            </w:r>
          </w:p>
          <w:p w14:paraId="40623435" w14:textId="2E39D51A" w:rsidR="00387CE9" w:rsidRPr="00387CE9" w:rsidRDefault="00387CE9" w:rsidP="00387CE9">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387CE9">
              <w:rPr>
                <w:rFonts w:ascii="Arial" w:eastAsia="DengXian" w:hAnsi="Arial"/>
                <w:sz w:val="20"/>
                <w:szCs w:val="20"/>
                <w:lang w:val="en-GB"/>
              </w:rPr>
              <w:t>Nâng cao năng lực cho các nhà hoạch định chính sách của AMS: Tổ chức hội thảo và khóa đào tạo nhằm nâng cao hiểu biết cho các nhà hoạch định chính sách về các khía cạnh kỹ thuật và vận hành của việc áp dụng tiêu chuẩn hóa đơn điện tử, cũng như các cơ chế hài hòa hóa hệ thống hóa đơn điện tử quốc gia.</w:t>
            </w:r>
          </w:p>
          <w:p w14:paraId="5A9BF6BA" w14:textId="5208A688" w:rsidR="00387CE9" w:rsidRPr="00516087" w:rsidRDefault="00387CE9" w:rsidP="00387CE9">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387CE9">
              <w:rPr>
                <w:rFonts w:ascii="Arial" w:eastAsia="DengXian" w:hAnsi="Arial"/>
                <w:sz w:val="20"/>
                <w:szCs w:val="20"/>
                <w:lang w:val="en-GB"/>
              </w:rPr>
              <w:t>Thúc đẩy sự tham gia của MSME: Tạo điều kiện để MSME tiếp cận và áp dụng tiêu chuẩn hóa đơn điện tử bằng cách xây dựng cơ chế hỗ trợ quá trình chuyển đổi.</w:t>
            </w:r>
          </w:p>
          <w:p w14:paraId="28C37761" w14:textId="0B45BBEC" w:rsidR="003C4B34" w:rsidRPr="00387CE9" w:rsidRDefault="003C4B34" w:rsidP="00470C18">
            <w:pPr>
              <w:cnfStyle w:val="000000100000" w:firstRow="0" w:lastRow="0" w:firstColumn="0" w:lastColumn="0" w:oddVBand="0" w:evenVBand="0" w:oddHBand="1" w:evenHBand="0" w:firstRowFirstColumn="0" w:firstRowLastColumn="0" w:lastRowFirstColumn="0" w:lastRowLastColumn="0"/>
              <w:rPr>
                <w:sz w:val="20"/>
                <w:szCs w:val="20"/>
                <w:lang w:val="vi-VN"/>
              </w:rPr>
            </w:pPr>
          </w:p>
        </w:tc>
        <w:tc>
          <w:tcPr>
            <w:tcW w:w="3764" w:type="dxa"/>
            <w:gridSpan w:val="2"/>
            <w:tcBorders>
              <w:left w:val="single" w:sz="4" w:space="0" w:color="156082"/>
              <w:right w:val="single" w:sz="4" w:space="0" w:color="156082"/>
            </w:tcBorders>
          </w:tcPr>
          <w:p w14:paraId="6DC78B31" w14:textId="741AE43A" w:rsidR="003C4B34" w:rsidRPr="004F1D15" w:rsidRDefault="00387CE9" w:rsidP="007664A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Ngắn</w:t>
            </w:r>
            <w:r>
              <w:rPr>
                <w:sz w:val="20"/>
                <w:szCs w:val="20"/>
                <w:lang w:val="vi-VN"/>
              </w:rPr>
              <w:t xml:space="preserve"> hạn</w:t>
            </w:r>
            <w:r w:rsidR="003C4B34" w:rsidRPr="004F1D15">
              <w:rPr>
                <w:sz w:val="20"/>
                <w:szCs w:val="20"/>
              </w:rPr>
              <w:t>:</w:t>
            </w:r>
          </w:p>
          <w:p w14:paraId="53582900" w14:textId="77777777" w:rsidR="00F261E9" w:rsidRPr="00F261E9" w:rsidRDefault="00F261E9" w:rsidP="00F261E9">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F261E9">
              <w:rPr>
                <w:rFonts w:ascii="Arial" w:eastAsia="DengXian" w:hAnsi="Arial"/>
                <w:sz w:val="20"/>
                <w:szCs w:val="20"/>
                <w:lang w:val="en-GB"/>
              </w:rPr>
              <w:t>Thực hiện nghiên cứu nhằm xác định các thực tiễn tốt nhất hiện có và khoảng trống trong việc áp dụng tiêu chuẩn hóa đơn điện tử.</w:t>
            </w:r>
          </w:p>
          <w:p w14:paraId="7829D4F1" w14:textId="4C470CC3" w:rsidR="00F261E9" w:rsidRPr="00F261E9" w:rsidRDefault="00F261E9" w:rsidP="00F261E9">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F261E9">
              <w:rPr>
                <w:rFonts w:ascii="Arial" w:eastAsia="DengXian" w:hAnsi="Arial"/>
                <w:sz w:val="20"/>
                <w:szCs w:val="20"/>
                <w:lang w:val="en-GB"/>
              </w:rPr>
              <w:t>Thực hiện nghiên cứu nhằm xác định các rào cản MSME gặp phải trong quá trình áp dụng tiêu chuẩn hóa đơn điện tử.</w:t>
            </w:r>
          </w:p>
          <w:p w14:paraId="77DB09A0" w14:textId="030DA2E8" w:rsidR="00F261E9" w:rsidRPr="00F261E9" w:rsidRDefault="00F261E9" w:rsidP="00F261E9">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F261E9">
              <w:rPr>
                <w:rFonts w:ascii="Arial" w:eastAsia="DengXian" w:hAnsi="Arial"/>
                <w:sz w:val="20"/>
                <w:szCs w:val="20"/>
                <w:lang w:val="en-GB"/>
              </w:rPr>
              <w:lastRenderedPageBreak/>
              <w:t>Xây dựng và soạn thảo các hướng dẫn thực tiễn tốt nhất và tài liệu triển khai phù hợp với từng ngành và quy mô tổ chức.</w:t>
            </w:r>
          </w:p>
          <w:p w14:paraId="290D2481" w14:textId="595AE86E" w:rsidR="00F261E9" w:rsidRPr="00F261E9" w:rsidRDefault="00F261E9" w:rsidP="00F261E9">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F261E9">
              <w:rPr>
                <w:rFonts w:ascii="Arial" w:eastAsia="DengXian" w:hAnsi="Arial"/>
                <w:sz w:val="20"/>
                <w:szCs w:val="20"/>
                <w:lang w:val="en-GB"/>
              </w:rPr>
              <w:t>Công bố và phân phối các tài liệu ban đầu đến các bên liên quan của AMS và đăng tải trực tuyến.</w:t>
            </w:r>
          </w:p>
          <w:p w14:paraId="783E398F" w14:textId="2CA97831" w:rsidR="00F261E9" w:rsidRPr="00F261E9" w:rsidRDefault="00F261E9" w:rsidP="00F261E9">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F261E9">
              <w:rPr>
                <w:rFonts w:ascii="Arial" w:eastAsia="DengXian" w:hAnsi="Arial"/>
                <w:sz w:val="20"/>
                <w:szCs w:val="20"/>
                <w:lang w:val="en-GB"/>
              </w:rPr>
              <w:t>Lên kế hoạch và sắp xếp lịch cho chuỗi hội thảo hoặc khóa đào tạo đầu tiên dành cho nhà hoạch định chính sách và đội ngũ kỹ thuật.</w:t>
            </w:r>
          </w:p>
          <w:p w14:paraId="063314D8" w14:textId="22AE40B3" w:rsidR="00F261E9" w:rsidRPr="00F261E9" w:rsidRDefault="00F261E9" w:rsidP="00F261E9">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F261E9">
              <w:rPr>
                <w:rFonts w:ascii="Arial" w:eastAsia="DengXian" w:hAnsi="Arial"/>
                <w:sz w:val="20"/>
                <w:szCs w:val="20"/>
                <w:lang w:val="en-GB"/>
              </w:rPr>
              <w:t>Tổ chức ít nhất hai hội thảo ban đầu tập trung vào các nguyên tắc cơ bản của tiêu chuẩn hóa đơn điện tử và lợi ích của việc áp dụng.</w:t>
            </w:r>
          </w:p>
          <w:p w14:paraId="70B3598A" w14:textId="77AC464E" w:rsidR="00F261E9" w:rsidRPr="00F261E9" w:rsidRDefault="00F261E9" w:rsidP="00F261E9">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F261E9">
              <w:rPr>
                <w:rFonts w:ascii="Arial" w:eastAsia="DengXian" w:hAnsi="Arial"/>
                <w:sz w:val="20"/>
                <w:szCs w:val="20"/>
                <w:lang w:val="en-GB"/>
              </w:rPr>
              <w:t>Thiết lập khuôn khổ cung cấp hỗ trợ kỹ thuật, bao gồm nhân sự và phân bổ nguồn lực.</w:t>
            </w:r>
          </w:p>
          <w:p w14:paraId="2B7EF061" w14:textId="7E275A7F" w:rsidR="00F261E9" w:rsidRPr="00F261E9" w:rsidRDefault="00F261E9" w:rsidP="00F261E9">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F261E9">
              <w:rPr>
                <w:rFonts w:ascii="Arial" w:eastAsia="DengXian" w:hAnsi="Arial"/>
                <w:sz w:val="20"/>
                <w:szCs w:val="20"/>
                <w:lang w:val="en-GB"/>
              </w:rPr>
              <w:t>Triển khai các dịch vụ hỗ trợ kỹ thuật ban đầu để hỗ trợ AMS trong giai đoạn đầu áp dụng tiêu chuẩn hóa đơn điện tử với sự hỗ trợ của chuyên gia kỹ thuật và công ty tư vấn.</w:t>
            </w:r>
          </w:p>
          <w:p w14:paraId="145B6C01" w14:textId="3FB567F6" w:rsidR="00570B7B" w:rsidRPr="00F261E9" w:rsidRDefault="00F261E9" w:rsidP="00F261E9">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F261E9">
              <w:rPr>
                <w:rFonts w:ascii="Arial" w:eastAsia="DengXian" w:hAnsi="Arial"/>
                <w:sz w:val="20"/>
                <w:szCs w:val="20"/>
                <w:lang w:val="en-GB"/>
              </w:rPr>
              <w:t>Bắt đầu theo dõi các yêu cầu hỗ trợ và vấn đề phát sinh để đánh giá mức độ tiếp nhận và hiệu quả ban đầu.</w:t>
            </w:r>
          </w:p>
          <w:p w14:paraId="57A05B74" w14:textId="77777777" w:rsidR="00570B7B" w:rsidRPr="00516087" w:rsidRDefault="00570B7B" w:rsidP="00570B7B">
            <w:pPr>
              <w:pStyle w:val="ListParagraph"/>
              <w:numPr>
                <w:ilvl w:val="0"/>
                <w:numId w:val="0"/>
              </w:numPr>
              <w:spacing w:after="0"/>
              <w:ind w:left="36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p>
          <w:p w14:paraId="2EE03248" w14:textId="27324F69" w:rsidR="003C4B34" w:rsidRPr="004F1D15" w:rsidRDefault="006923D6" w:rsidP="007664A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Trung</w:t>
            </w:r>
            <w:r>
              <w:rPr>
                <w:sz w:val="20"/>
                <w:szCs w:val="20"/>
                <w:lang w:val="vi-VN"/>
              </w:rPr>
              <w:t xml:space="preserve"> hạn</w:t>
            </w:r>
            <w:r w:rsidR="003C4B34" w:rsidRPr="004F1D15">
              <w:rPr>
                <w:sz w:val="20"/>
                <w:szCs w:val="20"/>
              </w:rPr>
              <w:t>:</w:t>
            </w:r>
          </w:p>
          <w:p w14:paraId="792F184E" w14:textId="77777777" w:rsidR="006923D6" w:rsidRPr="006923D6" w:rsidRDefault="006923D6" w:rsidP="006923D6">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6923D6">
              <w:rPr>
                <w:rFonts w:ascii="Arial" w:eastAsia="DengXian" w:hAnsi="Arial"/>
                <w:sz w:val="20"/>
                <w:szCs w:val="20"/>
                <w:lang w:val="en-GB"/>
              </w:rPr>
              <w:t>Mở rộng phạm vi tài liệu thực tiễn tốt nhất dựa trên phản hồi và nhu cầu mới, bao gồm các nghiên cứu điển hình và hướng dẫn theo ngành.</w:t>
            </w:r>
          </w:p>
          <w:p w14:paraId="1EC469F7" w14:textId="77278E80" w:rsidR="006923D6" w:rsidRPr="006923D6" w:rsidRDefault="006923D6" w:rsidP="006923D6">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6923D6">
              <w:rPr>
                <w:rFonts w:ascii="Arial" w:eastAsia="DengXian" w:hAnsi="Arial"/>
                <w:sz w:val="20"/>
                <w:szCs w:val="20"/>
                <w:lang w:val="en-GB"/>
              </w:rPr>
              <w:lastRenderedPageBreak/>
              <w:t>Thường xuyên cập nhật tài liệu để phản ánh các phát triển mới và cải tiến trong các tiêu chuẩn hóa đơn điện tử có liên quan.</w:t>
            </w:r>
          </w:p>
          <w:p w14:paraId="7021E57F" w14:textId="70E45B4F" w:rsidR="006923D6" w:rsidRPr="006923D6" w:rsidRDefault="006923D6" w:rsidP="006923D6">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6923D6">
              <w:rPr>
                <w:rFonts w:ascii="Arial" w:eastAsia="DengXian" w:hAnsi="Arial"/>
                <w:sz w:val="20"/>
                <w:szCs w:val="20"/>
                <w:lang w:val="en-GB"/>
              </w:rPr>
              <w:t>Tăng cường phân phối tài liệu thông qua các kênh bổ sung như hội nghị ngành và nền tảng trực tuyến.</w:t>
            </w:r>
          </w:p>
          <w:p w14:paraId="5F6E1EE3" w14:textId="41B8C925" w:rsidR="006923D6" w:rsidRPr="006923D6" w:rsidRDefault="006923D6" w:rsidP="006923D6">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6923D6">
              <w:rPr>
                <w:rFonts w:ascii="Arial" w:eastAsia="DengXian" w:hAnsi="Arial"/>
                <w:sz w:val="20"/>
                <w:szCs w:val="20"/>
                <w:lang w:val="en-GB"/>
              </w:rPr>
              <w:t>Thúc đẩy hợp tác khu vực bằng cách tổ chức các hội thảo chung với nhiều AMS nhằm chia sẻ kiến thức xuyên biên giới về cơ chế hài hòa hóa hệ thống hóa đơn điện tử quốc gia.</w:t>
            </w:r>
          </w:p>
          <w:p w14:paraId="04BA6767" w14:textId="33BF4974" w:rsidR="000D4DE6" w:rsidRPr="006923D6" w:rsidRDefault="006923D6" w:rsidP="006923D6">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6923D6">
              <w:rPr>
                <w:rFonts w:ascii="Arial" w:eastAsia="DengXian" w:hAnsi="Arial"/>
                <w:sz w:val="20"/>
                <w:szCs w:val="20"/>
                <w:lang w:val="en-GB"/>
              </w:rPr>
              <w:t>Triển khai các dịch vụ hỗ trợ ban đầu thúc đẩy MSME áp dụng tiêu chuẩn hóa đơn điện tử.</w:t>
            </w:r>
          </w:p>
          <w:p w14:paraId="405D5D71" w14:textId="77777777" w:rsidR="006923D6" w:rsidRPr="006923D6" w:rsidRDefault="006923D6" w:rsidP="006923D6">
            <w:pPr>
              <w:cnfStyle w:val="000000100000" w:firstRow="0" w:lastRow="0" w:firstColumn="0" w:lastColumn="0" w:oddVBand="0" w:evenVBand="0" w:oddHBand="1" w:evenHBand="0" w:firstRowFirstColumn="0" w:firstRowLastColumn="0" w:lastRowFirstColumn="0" w:lastRowLastColumn="0"/>
              <w:rPr>
                <w:sz w:val="20"/>
                <w:szCs w:val="20"/>
                <w:lang w:val="vi-VN"/>
              </w:rPr>
            </w:pPr>
          </w:p>
          <w:p w14:paraId="139F3BD3" w14:textId="0A10A626" w:rsidR="003C4B34" w:rsidRPr="004F1D15" w:rsidRDefault="00341BDE" w:rsidP="007664A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Dài</w:t>
            </w:r>
            <w:r>
              <w:rPr>
                <w:sz w:val="20"/>
                <w:szCs w:val="20"/>
                <w:lang w:val="vi-VN"/>
              </w:rPr>
              <w:t xml:space="preserve"> hạn</w:t>
            </w:r>
            <w:r w:rsidR="003C4B34" w:rsidRPr="004F1D15">
              <w:rPr>
                <w:sz w:val="20"/>
                <w:szCs w:val="20"/>
              </w:rPr>
              <w:t>:</w:t>
            </w:r>
          </w:p>
          <w:p w14:paraId="7D0768F4" w14:textId="77777777" w:rsidR="00341BDE" w:rsidRPr="00341BDE" w:rsidRDefault="00341BDE" w:rsidP="00341BDE">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341BDE">
              <w:rPr>
                <w:rFonts w:ascii="Arial" w:eastAsia="DengXian" w:hAnsi="Arial"/>
                <w:sz w:val="20"/>
                <w:szCs w:val="20"/>
                <w:lang w:val="en-GB"/>
              </w:rPr>
              <w:t>Giới thiệu các mô-đun đào tạo nâng cao bao gồm các nội dung chuyên sâu về triển khai và tích hợp tiêu chuẩn hóa đơn điện tử.</w:t>
            </w:r>
          </w:p>
          <w:p w14:paraId="20525B65" w14:textId="21DC8F2A" w:rsidR="00341BDE" w:rsidRPr="00341BDE" w:rsidRDefault="00341BDE" w:rsidP="00341BDE">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341BDE">
              <w:rPr>
                <w:rFonts w:ascii="Arial" w:eastAsia="DengXian" w:hAnsi="Arial"/>
                <w:sz w:val="20"/>
                <w:szCs w:val="20"/>
                <w:lang w:val="en-GB"/>
              </w:rPr>
              <w:t>Nâng cao chất lượng dịch vụ hỗ trợ kỹ thuật dựa trên phản hồi, bao gồm hướng dẫn chi tiết hơn và hỗ trợ xử lý sự cố.</w:t>
            </w:r>
          </w:p>
          <w:p w14:paraId="1288E3D2" w14:textId="6145D6AA" w:rsidR="00341BDE" w:rsidRPr="00341BDE" w:rsidRDefault="00341BDE" w:rsidP="00341BDE">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341BDE">
              <w:rPr>
                <w:rFonts w:ascii="Arial" w:eastAsia="DengXian" w:hAnsi="Arial"/>
                <w:sz w:val="20"/>
                <w:szCs w:val="20"/>
                <w:lang w:val="en-GB"/>
              </w:rPr>
              <w:t>Tăng cường và mở rộng phạm vi dịch vụ hỗ trợ nhằm thúc đẩy việc triển khai rộng rãi tiêu chuẩn hóa đơn điện tử bởi MSME.</w:t>
            </w:r>
          </w:p>
          <w:p w14:paraId="2898B69F" w14:textId="41EA041B" w:rsidR="00341BDE" w:rsidRPr="00341BDE" w:rsidRDefault="00341BDE" w:rsidP="00341BDE">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341BDE">
              <w:rPr>
                <w:rFonts w:ascii="Arial" w:eastAsia="DengXian" w:hAnsi="Arial"/>
                <w:sz w:val="20"/>
                <w:szCs w:val="20"/>
                <w:lang w:val="en-GB"/>
              </w:rPr>
              <w:t xml:space="preserve">Thiết lập thư viện tài liệu thực tiễn tốt nhất toàn diện, bao gồm hướng </w:t>
            </w:r>
            <w:r w:rsidRPr="00341BDE">
              <w:rPr>
                <w:rFonts w:ascii="Arial" w:eastAsia="DengXian" w:hAnsi="Arial"/>
                <w:sz w:val="20"/>
                <w:szCs w:val="20"/>
                <w:lang w:val="en-GB"/>
              </w:rPr>
              <w:lastRenderedPageBreak/>
              <w:t>dẫn cập nhật, bộ công cụ và các nghiên cứu thực tiễn tốt nhất.</w:t>
            </w:r>
          </w:p>
          <w:p w14:paraId="09FA4004" w14:textId="381F9BC7" w:rsidR="003C4B34" w:rsidRPr="00341BDE" w:rsidRDefault="00341BDE" w:rsidP="00341BDE">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341BDE">
              <w:rPr>
                <w:rFonts w:ascii="Arial" w:eastAsia="DengXian" w:hAnsi="Arial"/>
                <w:sz w:val="20"/>
                <w:szCs w:val="20"/>
                <w:lang w:val="en-GB"/>
              </w:rPr>
              <w:t>Phát triển hệ thống hỗ trợ tích hợp bao gồm tài nguyên trực tuyến, bộ phận hỗ trợ và dịch vụ tư vấn chuyên gia.</w:t>
            </w:r>
          </w:p>
        </w:tc>
        <w:tc>
          <w:tcPr>
            <w:tcW w:w="2318" w:type="dxa"/>
            <w:gridSpan w:val="2"/>
            <w:tcBorders>
              <w:left w:val="single" w:sz="4" w:space="0" w:color="156082"/>
              <w:right w:val="single" w:sz="4" w:space="0" w:color="156082"/>
            </w:tcBorders>
          </w:tcPr>
          <w:p w14:paraId="203979BB" w14:textId="4770846D" w:rsidR="00AB41C8" w:rsidRDefault="000A7F27" w:rsidP="00AB41C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Cơ</w:t>
            </w:r>
            <w:r>
              <w:rPr>
                <w:sz w:val="20"/>
                <w:szCs w:val="20"/>
                <w:lang w:val="vi-VN"/>
              </w:rPr>
              <w:t xml:space="preserve"> quan điều phối ngành</w:t>
            </w:r>
            <w:r w:rsidR="00DA1A8A">
              <w:rPr>
                <w:sz w:val="20"/>
                <w:szCs w:val="20"/>
              </w:rPr>
              <w:t>:</w:t>
            </w:r>
          </w:p>
          <w:p w14:paraId="6C308B36" w14:textId="63B3E145" w:rsidR="0058647A" w:rsidRDefault="000A7F27" w:rsidP="0058647A">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0A7F27">
              <w:rPr>
                <w:rFonts w:ascii="Arial" w:eastAsia="DengXian" w:hAnsi="Arial"/>
                <w:sz w:val="20"/>
                <w:szCs w:val="20"/>
                <w:lang w:val="en-GB"/>
              </w:rPr>
              <w:t xml:space="preserve">Nhóm Công tác về Tiêu chuẩn và Đánh giá Sự phù hợp Thương mại Số </w:t>
            </w:r>
            <w:r w:rsidR="0058647A">
              <w:rPr>
                <w:rFonts w:ascii="Arial" w:eastAsia="DengXian" w:hAnsi="Arial"/>
                <w:sz w:val="20"/>
                <w:szCs w:val="20"/>
                <w:lang w:val="en-GB"/>
              </w:rPr>
              <w:t xml:space="preserve">(DTSCWG) </w:t>
            </w:r>
          </w:p>
          <w:p w14:paraId="209E4B17" w14:textId="10DDA84C" w:rsidR="0015375D" w:rsidRPr="004F1D15" w:rsidRDefault="0015375D" w:rsidP="009C5B34">
            <w:pPr>
              <w:pStyle w:val="ListParagraph"/>
              <w:numPr>
                <w:ilvl w:val="0"/>
                <w:numId w:val="0"/>
              </w:numPr>
              <w:spacing w:after="0"/>
              <w:ind w:left="36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p>
        </w:tc>
        <w:tc>
          <w:tcPr>
            <w:tcW w:w="3774" w:type="dxa"/>
            <w:gridSpan w:val="2"/>
            <w:tcBorders>
              <w:left w:val="single" w:sz="4" w:space="0" w:color="156082"/>
            </w:tcBorders>
          </w:tcPr>
          <w:p w14:paraId="73B3753D" w14:textId="1D462FC1" w:rsidR="003C4B34" w:rsidRPr="004F1D15" w:rsidRDefault="000A7F27" w:rsidP="007664A3">
            <w:pPr>
              <w:cnfStyle w:val="000000100000" w:firstRow="0" w:lastRow="0" w:firstColumn="0" w:lastColumn="0" w:oddVBand="0" w:evenVBand="0" w:oddHBand="1" w:evenHBand="0" w:firstRowFirstColumn="0" w:firstRowLastColumn="0" w:lastRowFirstColumn="0" w:lastRowLastColumn="0"/>
              <w:rPr>
                <w:sz w:val="20"/>
                <w:szCs w:val="20"/>
              </w:rPr>
            </w:pPr>
            <w:r w:rsidRPr="000A7F27">
              <w:rPr>
                <w:sz w:val="20"/>
                <w:szCs w:val="20"/>
                <w:lang w:val="vi-VN"/>
              </w:rPr>
              <w:t>Các chỉ số đo lường tiến độ tổng quát bao gồm</w:t>
            </w:r>
            <w:r w:rsidR="003C4B34" w:rsidRPr="004F1D15">
              <w:rPr>
                <w:sz w:val="20"/>
                <w:szCs w:val="20"/>
              </w:rPr>
              <w:t>:</w:t>
            </w:r>
          </w:p>
          <w:p w14:paraId="63C907FF" w14:textId="77777777" w:rsidR="000A7F27" w:rsidRPr="000A7F27" w:rsidRDefault="000A7F27" w:rsidP="000A7F27">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292611">
              <w:rPr>
                <w:rFonts w:ascii="Arial" w:hAnsi="Arial"/>
                <w:b/>
                <w:bCs/>
                <w:sz w:val="20"/>
                <w:szCs w:val="20"/>
                <w:lang w:val="en-GB"/>
              </w:rPr>
              <w:t>Mức độ áp dụng tiêu chuẩn hóa đơn điện tử bởi AMS:</w:t>
            </w:r>
            <w:r w:rsidRPr="000A7F27">
              <w:rPr>
                <w:rFonts w:ascii="Arial" w:hAnsi="Arial"/>
                <w:sz w:val="20"/>
                <w:szCs w:val="20"/>
                <w:lang w:val="en-GB"/>
              </w:rPr>
              <w:t xml:space="preserve"> Đo lường số lượng tổ chức tích hợp thành công các tiêu chuẩn hóa đơn điện tử vào hệ thống của họ.</w:t>
            </w:r>
          </w:p>
          <w:p w14:paraId="3244B28E" w14:textId="5AA870F3" w:rsidR="000A7F27" w:rsidRPr="000A7F27" w:rsidRDefault="000A7F27" w:rsidP="000A7F27">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292611">
              <w:rPr>
                <w:rFonts w:ascii="Arial" w:hAnsi="Arial"/>
                <w:b/>
                <w:bCs/>
                <w:sz w:val="20"/>
                <w:szCs w:val="20"/>
                <w:lang w:val="en-GB"/>
              </w:rPr>
              <w:t>Phát triển tài liệu thực tiễn tốt nhất:</w:t>
            </w:r>
            <w:r w:rsidRPr="000A7F27">
              <w:rPr>
                <w:rFonts w:ascii="Arial" w:hAnsi="Arial"/>
                <w:sz w:val="20"/>
                <w:szCs w:val="20"/>
                <w:lang w:val="en-GB"/>
              </w:rPr>
              <w:t xml:space="preserve"> Theo dõi việc xây dựng và phổ biến các tài liệu hướng dẫn và tài </w:t>
            </w:r>
            <w:r w:rsidRPr="000A7F27">
              <w:rPr>
                <w:rFonts w:ascii="Arial" w:hAnsi="Arial"/>
                <w:sz w:val="20"/>
                <w:szCs w:val="20"/>
                <w:lang w:val="en-GB"/>
              </w:rPr>
              <w:t>nguyên hỗ trợ cho việc áp dụng tiêu chuẩn hóa đơn điện tử.</w:t>
            </w:r>
          </w:p>
          <w:p w14:paraId="1082C12A" w14:textId="69A4FF07" w:rsidR="000A7F27" w:rsidRPr="000A7F27" w:rsidRDefault="000A7F27" w:rsidP="000A7F27">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292611">
              <w:rPr>
                <w:rFonts w:ascii="Arial" w:hAnsi="Arial"/>
                <w:b/>
                <w:bCs/>
                <w:sz w:val="20"/>
                <w:szCs w:val="20"/>
                <w:lang w:val="en-GB"/>
              </w:rPr>
              <w:t>Hội thảo nâng cao năng lực:</w:t>
            </w:r>
            <w:r w:rsidRPr="000A7F27">
              <w:rPr>
                <w:rFonts w:ascii="Arial" w:hAnsi="Arial"/>
                <w:sz w:val="20"/>
                <w:szCs w:val="20"/>
                <w:lang w:val="en-GB"/>
              </w:rPr>
              <w:t xml:space="preserve"> Theo dõi số lượng hội thảo nâng cao năng lực được tổ chức cho nhà hoạch định chính sách và các bên liên quan của AMS.</w:t>
            </w:r>
          </w:p>
          <w:p w14:paraId="5D510DB1" w14:textId="7E467FAB" w:rsidR="00960A0B" w:rsidRPr="000A7F27" w:rsidRDefault="000A7F27" w:rsidP="000A7F27">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292611">
              <w:rPr>
                <w:rFonts w:ascii="Arial" w:hAnsi="Arial"/>
                <w:b/>
                <w:bCs/>
                <w:sz w:val="20"/>
                <w:szCs w:val="20"/>
                <w:lang w:val="en-GB"/>
              </w:rPr>
              <w:t>Mức độ tham gia của MSME:</w:t>
            </w:r>
            <w:r w:rsidRPr="000A7F27">
              <w:rPr>
                <w:rFonts w:ascii="Arial" w:hAnsi="Arial"/>
                <w:sz w:val="20"/>
                <w:szCs w:val="20"/>
                <w:lang w:val="en-GB"/>
              </w:rPr>
              <w:t xml:space="preserve"> Đo lường mức độ MSME áp dụng tiêu chuẩn hóa đơn điện tử.</w:t>
            </w:r>
          </w:p>
          <w:p w14:paraId="5A59FB4B" w14:textId="6A757196" w:rsidR="00200505" w:rsidRPr="004F1D15" w:rsidRDefault="00200505" w:rsidP="00470C18">
            <w:pPr>
              <w:cnfStyle w:val="000000100000" w:firstRow="0" w:lastRow="0" w:firstColumn="0" w:lastColumn="0" w:oddVBand="0" w:evenVBand="0" w:oddHBand="1" w:evenHBand="0" w:firstRowFirstColumn="0" w:firstRowLastColumn="0" w:lastRowFirstColumn="0" w:lastRowLastColumn="0"/>
              <w:rPr>
                <w:sz w:val="20"/>
                <w:szCs w:val="20"/>
              </w:rPr>
            </w:pPr>
          </w:p>
        </w:tc>
      </w:tr>
    </w:tbl>
    <w:p w14:paraId="4537C911" w14:textId="05F46ACB" w:rsidR="00E7738C" w:rsidRDefault="00E7738C">
      <w:pPr>
        <w:spacing w:line="259" w:lineRule="auto"/>
        <w:jc w:val="left"/>
        <w:rPr>
          <w:rFonts w:eastAsia="Arial"/>
          <w:i/>
          <w:color w:val="657C9C" w:themeColor="text2" w:themeTint="BF"/>
          <w:sz w:val="20"/>
          <w:szCs w:val="20"/>
        </w:rPr>
      </w:pPr>
    </w:p>
    <w:p w14:paraId="3A145EF2" w14:textId="47C2F3A5" w:rsidR="005A7FFA" w:rsidRPr="004F1D15" w:rsidRDefault="00292611" w:rsidP="00C82E40">
      <w:pPr>
        <w:pStyle w:val="Heading4"/>
        <w:rPr>
          <w:sz w:val="20"/>
          <w:lang w:val="en-GB"/>
        </w:rPr>
      </w:pPr>
      <w:r>
        <w:rPr>
          <w:sz w:val="20"/>
          <w:lang w:val="en-GB"/>
        </w:rPr>
        <w:t>Danh</w:t>
      </w:r>
      <w:r>
        <w:rPr>
          <w:sz w:val="20"/>
          <w:lang w:val="vi-VN"/>
        </w:rPr>
        <w:t xml:space="preserve"> mục</w:t>
      </w:r>
      <w:r w:rsidR="00CC6EE0" w:rsidRPr="004F1D15">
        <w:rPr>
          <w:sz w:val="20"/>
          <w:lang w:val="en-GB"/>
        </w:rPr>
        <w:t xml:space="preserve"> </w:t>
      </w:r>
      <w:r w:rsidR="005A7FFA" w:rsidRPr="004F1D15">
        <w:rPr>
          <w:sz w:val="20"/>
          <w:lang w:val="en-GB"/>
        </w:rPr>
        <w:t xml:space="preserve">3: </w:t>
      </w:r>
      <w:r>
        <w:rPr>
          <w:sz w:val="20"/>
          <w:lang w:val="en-GB"/>
        </w:rPr>
        <w:t>Phát</w:t>
      </w:r>
      <w:r>
        <w:rPr>
          <w:sz w:val="20"/>
          <w:lang w:val="vi-VN"/>
        </w:rPr>
        <w:t xml:space="preserve"> triển hạ tầng số </w:t>
      </w:r>
    </w:p>
    <w:tbl>
      <w:tblPr>
        <w:tblStyle w:val="ListTable3-Accent11"/>
        <w:tblW w:w="15314" w:type="dxa"/>
        <w:tblLook w:val="04A0" w:firstRow="1" w:lastRow="0" w:firstColumn="1" w:lastColumn="0" w:noHBand="0" w:noVBand="1"/>
      </w:tblPr>
      <w:tblGrid>
        <w:gridCol w:w="1694"/>
        <w:gridCol w:w="3764"/>
        <w:gridCol w:w="7"/>
        <w:gridCol w:w="3757"/>
        <w:gridCol w:w="15"/>
        <w:gridCol w:w="2303"/>
        <w:gridCol w:w="14"/>
        <w:gridCol w:w="3760"/>
      </w:tblGrid>
      <w:tr w:rsidR="00CD5518" w:rsidRPr="004F1D15" w14:paraId="1C47480A" w14:textId="77777777" w:rsidTr="00AC0A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4" w:type="dxa"/>
            <w:tcBorders>
              <w:bottom w:val="single" w:sz="4" w:space="0" w:color="156082"/>
            </w:tcBorders>
            <w:shd w:val="clear" w:color="auto" w:fill="002060"/>
          </w:tcPr>
          <w:p w14:paraId="3A8B3C43" w14:textId="1854C652" w:rsidR="005A7FFA" w:rsidRPr="00A438F3" w:rsidRDefault="00A438F3" w:rsidP="00C8144A">
            <w:pPr>
              <w:spacing w:line="276" w:lineRule="auto"/>
              <w:jc w:val="center"/>
              <w:rPr>
                <w:sz w:val="20"/>
                <w:szCs w:val="20"/>
                <w:lang w:val="vi-VN"/>
              </w:rPr>
            </w:pPr>
            <w:r>
              <w:rPr>
                <w:sz w:val="20"/>
                <w:szCs w:val="20"/>
              </w:rPr>
              <w:t>Khu</w:t>
            </w:r>
            <w:r>
              <w:rPr>
                <w:sz w:val="20"/>
                <w:szCs w:val="20"/>
                <w:lang w:val="vi-VN"/>
              </w:rPr>
              <w:t xml:space="preserve"> vực hành động</w:t>
            </w:r>
          </w:p>
        </w:tc>
        <w:tc>
          <w:tcPr>
            <w:tcW w:w="3771" w:type="dxa"/>
            <w:gridSpan w:val="2"/>
            <w:shd w:val="clear" w:color="auto" w:fill="002060"/>
          </w:tcPr>
          <w:p w14:paraId="0A93A1B9" w14:textId="471FA10E" w:rsidR="005A7FFA" w:rsidRPr="00A438F3" w:rsidRDefault="00A438F3" w:rsidP="00C8144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Lĩnh</w:t>
            </w:r>
            <w:r>
              <w:rPr>
                <w:sz w:val="20"/>
                <w:szCs w:val="20"/>
                <w:lang w:val="vi-VN"/>
              </w:rPr>
              <w:t xml:space="preserve"> vực trung tâm</w:t>
            </w:r>
          </w:p>
        </w:tc>
        <w:tc>
          <w:tcPr>
            <w:tcW w:w="3772" w:type="dxa"/>
            <w:gridSpan w:val="2"/>
            <w:shd w:val="clear" w:color="auto" w:fill="002060"/>
          </w:tcPr>
          <w:p w14:paraId="5CAFDF57" w14:textId="2E937846" w:rsidR="005A7FFA" w:rsidRPr="004F1D15" w:rsidRDefault="00A438F3" w:rsidP="00C8144A">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Các</w:t>
            </w:r>
            <w:r>
              <w:rPr>
                <w:sz w:val="20"/>
                <w:szCs w:val="20"/>
                <w:lang w:val="vi-VN"/>
              </w:rPr>
              <w:t xml:space="preserve"> mốc dự kiến và khung thời gian tạm tính</w:t>
            </w:r>
            <w:r w:rsidR="005A7FFA" w:rsidRPr="004F1D15">
              <w:rPr>
                <w:sz w:val="20"/>
                <w:szCs w:val="20"/>
                <w:vertAlign w:val="superscript"/>
              </w:rPr>
              <w:footnoteReference w:id="342"/>
            </w:r>
          </w:p>
        </w:tc>
        <w:tc>
          <w:tcPr>
            <w:tcW w:w="2317" w:type="dxa"/>
            <w:gridSpan w:val="2"/>
            <w:shd w:val="clear" w:color="auto" w:fill="002060"/>
          </w:tcPr>
          <w:p w14:paraId="62180217" w14:textId="425EBC1A" w:rsidR="005A7FFA" w:rsidRPr="00A438F3" w:rsidRDefault="00A438F3" w:rsidP="00C8144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lang w:val="vi-VN"/>
              </w:rPr>
              <w:t xml:space="preserve">Các </w:t>
            </w:r>
            <w:r w:rsidR="00E10512">
              <w:rPr>
                <w:sz w:val="20"/>
                <w:szCs w:val="20"/>
                <w:lang w:val="vi-VN"/>
              </w:rPr>
              <w:t>bên chịu trách nhiệm</w:t>
            </w:r>
          </w:p>
        </w:tc>
        <w:tc>
          <w:tcPr>
            <w:tcW w:w="3760" w:type="dxa"/>
            <w:shd w:val="clear" w:color="auto" w:fill="002060"/>
          </w:tcPr>
          <w:p w14:paraId="4E15255D" w14:textId="21252645" w:rsidR="005A7FFA" w:rsidRPr="00E10512" w:rsidRDefault="00E10512" w:rsidP="00C8144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Thước</w:t>
            </w:r>
            <w:r>
              <w:rPr>
                <w:sz w:val="20"/>
                <w:szCs w:val="20"/>
                <w:lang w:val="vi-VN"/>
              </w:rPr>
              <w:t xml:space="preserve"> đo tiến độ</w:t>
            </w:r>
          </w:p>
        </w:tc>
      </w:tr>
      <w:tr w:rsidR="005A7FFA" w:rsidRPr="004F1D15" w14:paraId="299A7506" w14:textId="77777777" w:rsidTr="00AC0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shd w:val="clear" w:color="auto" w:fill="00B0F0"/>
          </w:tcPr>
          <w:p w14:paraId="75A366A5" w14:textId="02B88DA1" w:rsidR="005A7FFA" w:rsidRPr="00A438F3" w:rsidRDefault="00A438F3" w:rsidP="00C8144A">
            <w:pPr>
              <w:spacing w:line="276" w:lineRule="auto"/>
              <w:jc w:val="center"/>
              <w:rPr>
                <w:sz w:val="20"/>
                <w:szCs w:val="20"/>
                <w:lang w:val="vi-VN"/>
              </w:rPr>
            </w:pPr>
            <w:r>
              <w:rPr>
                <w:sz w:val="20"/>
                <w:szCs w:val="20"/>
              </w:rPr>
              <w:t>Khu</w:t>
            </w:r>
            <w:r>
              <w:rPr>
                <w:sz w:val="20"/>
                <w:szCs w:val="20"/>
                <w:lang w:val="vi-VN"/>
              </w:rPr>
              <w:t xml:space="preserve"> vực hành động chính</w:t>
            </w:r>
          </w:p>
        </w:tc>
        <w:tc>
          <w:tcPr>
            <w:tcW w:w="13620" w:type="dxa"/>
            <w:gridSpan w:val="7"/>
            <w:tcBorders>
              <w:left w:val="single" w:sz="4" w:space="0" w:color="156082"/>
            </w:tcBorders>
            <w:shd w:val="clear" w:color="auto" w:fill="00B0F0"/>
          </w:tcPr>
          <w:p w14:paraId="18A5BEEE" w14:textId="58485F0C" w:rsidR="005A7FFA" w:rsidRPr="0099570C" w:rsidRDefault="0058647A" w:rsidP="0058647A">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b/>
                <w:sz w:val="20"/>
                <w:szCs w:val="20"/>
                <w:lang w:val="vi-VN"/>
              </w:rPr>
            </w:pPr>
            <w:r>
              <w:rPr>
                <w:b/>
                <w:bCs/>
                <w:sz w:val="20"/>
                <w:szCs w:val="20"/>
              </w:rPr>
              <w:t>6.2.5.3</w:t>
            </w:r>
            <w:r w:rsidR="00F96333" w:rsidRPr="004F1D15">
              <w:rPr>
                <w:b/>
                <w:sz w:val="20"/>
                <w:szCs w:val="20"/>
              </w:rPr>
              <w:t xml:space="preserve"> </w:t>
            </w:r>
            <w:r w:rsidR="0099570C" w:rsidRPr="0099570C">
              <w:rPr>
                <w:b/>
                <w:sz w:val="20"/>
                <w:szCs w:val="20"/>
                <w:lang w:val="vi-VN"/>
              </w:rPr>
              <w:t>Tăng cường Hạ tầng Số để Hỗ trợ Việc Áp dụng và Hài hòa hóa Các Tiêu chuẩn Hóa đơn Điện tử</w:t>
            </w:r>
          </w:p>
        </w:tc>
      </w:tr>
      <w:tr w:rsidR="005A7FFA" w:rsidRPr="004F1D15" w14:paraId="12D545C5" w14:textId="77777777" w:rsidTr="00AC0AE1">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156082"/>
              <w:bottom w:val="single" w:sz="4" w:space="0" w:color="156082"/>
              <w:right w:val="single" w:sz="4" w:space="0" w:color="156082"/>
            </w:tcBorders>
            <w:shd w:val="clear" w:color="auto" w:fill="BDD6EE" w:themeFill="accent5" w:themeFillTint="66"/>
          </w:tcPr>
          <w:p w14:paraId="25882260" w14:textId="5389773C" w:rsidR="005A7FFA" w:rsidRPr="003B5FCF" w:rsidRDefault="003B5FCF" w:rsidP="00C8144A">
            <w:pPr>
              <w:spacing w:line="276" w:lineRule="auto"/>
              <w:jc w:val="center"/>
              <w:rPr>
                <w:sz w:val="20"/>
                <w:szCs w:val="20"/>
                <w:lang w:val="vi-VN"/>
              </w:rPr>
            </w:pPr>
            <w:r>
              <w:rPr>
                <w:sz w:val="20"/>
                <w:szCs w:val="20"/>
              </w:rPr>
              <w:t>Mục</w:t>
            </w:r>
            <w:r>
              <w:rPr>
                <w:sz w:val="20"/>
                <w:szCs w:val="20"/>
                <w:lang w:val="vi-VN"/>
              </w:rPr>
              <w:t xml:space="preserve"> tiêu</w:t>
            </w:r>
          </w:p>
        </w:tc>
        <w:tc>
          <w:tcPr>
            <w:tcW w:w="13620" w:type="dxa"/>
            <w:gridSpan w:val="7"/>
            <w:tcBorders>
              <w:left w:val="single" w:sz="4" w:space="0" w:color="156082"/>
            </w:tcBorders>
            <w:shd w:val="clear" w:color="auto" w:fill="BDD6EE" w:themeFill="accent5" w:themeFillTint="66"/>
          </w:tcPr>
          <w:p w14:paraId="243B1012" w14:textId="7B37FBEF" w:rsidR="006F7AE2" w:rsidRPr="00516087" w:rsidRDefault="0099570C"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DengXian" w:hAnsi="Arial"/>
                <w:sz w:val="20"/>
                <w:szCs w:val="20"/>
                <w:lang w:val="en-GB"/>
              </w:rPr>
            </w:pPr>
            <w:r w:rsidRPr="0099570C">
              <w:rPr>
                <w:rFonts w:ascii="Arial" w:eastAsia="DengXian" w:hAnsi="Arial"/>
                <w:b/>
                <w:bCs/>
                <w:sz w:val="20"/>
                <w:szCs w:val="20"/>
                <w:lang w:val="vi-VN"/>
              </w:rPr>
              <w:t>Tạo thuận lợi cho trao đổi dữ liệu liền mạch:</w:t>
            </w:r>
            <w:r w:rsidRPr="0099570C">
              <w:rPr>
                <w:rFonts w:ascii="Arial" w:eastAsia="DengXian" w:hAnsi="Arial"/>
                <w:sz w:val="20"/>
                <w:szCs w:val="20"/>
                <w:lang w:val="vi-VN"/>
              </w:rPr>
              <w:t xml:space="preserve"> Việc nâng cấp các nền tảng khả năng tương tác giúp đảm bảo tích hợp và trao đổi dữ liệu trơn tru giữa các hệ thống tuân thủ tiêu chuẩn hóa đơn điện tử và hạ tầng hóa đơn điện tử quốc gia hiện có, từ đó nâng cao hiệu quả giao dịch và giảm thiểu các điểm nghẽn vận hành.</w:t>
            </w:r>
          </w:p>
          <w:p w14:paraId="530C1D84" w14:textId="6B7751FA" w:rsidR="009D0596" w:rsidRPr="00516087" w:rsidRDefault="0099570C"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hAnsi="Arial"/>
                <w:sz w:val="20"/>
                <w:szCs w:val="20"/>
                <w:lang w:val="en-GB"/>
              </w:rPr>
            </w:pPr>
            <w:r w:rsidRPr="0099570C">
              <w:rPr>
                <w:rFonts w:ascii="Arial" w:eastAsia="DengXian" w:hAnsi="Arial"/>
                <w:b/>
                <w:bCs/>
                <w:sz w:val="20"/>
                <w:szCs w:val="20"/>
                <w:lang w:val="vi-VN"/>
              </w:rPr>
              <w:t>Bảo đảm an ninh và độ tin cậy của dữ liệu:</w:t>
            </w:r>
            <w:r w:rsidRPr="0099570C">
              <w:rPr>
                <w:rFonts w:ascii="Arial" w:eastAsia="DengXian" w:hAnsi="Arial"/>
                <w:sz w:val="20"/>
                <w:szCs w:val="20"/>
                <w:lang w:val="vi-VN"/>
              </w:rPr>
              <w:t xml:space="preserve"> Việc nâng cấp các biện pháp bảo mật và tuân thủ giúp bảo vệ các giao dịch và hoạt động trao đổi dữ liệu, duy trì tính toàn vẹn và độ tin cậy của hạ tầng hóa đơn điện tử, yếu tố then chốt để củng cố niềm tin của doanh nghiệp và chính phủ.</w:t>
            </w:r>
          </w:p>
        </w:tc>
      </w:tr>
      <w:tr w:rsidR="00CD5518" w:rsidRPr="004F1D15" w14:paraId="1E28FAA3" w14:textId="77777777" w:rsidTr="6BB67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tcPr>
          <w:p w14:paraId="1AE250DD" w14:textId="62032A5E" w:rsidR="003C4B34" w:rsidRPr="004F1D15" w:rsidRDefault="0058647A" w:rsidP="00C8144A">
            <w:pPr>
              <w:spacing w:line="276" w:lineRule="auto"/>
              <w:jc w:val="center"/>
              <w:rPr>
                <w:sz w:val="20"/>
                <w:szCs w:val="20"/>
              </w:rPr>
            </w:pPr>
            <w:r>
              <w:rPr>
                <w:sz w:val="20"/>
                <w:szCs w:val="20"/>
              </w:rPr>
              <w:t>6.2.5.3</w:t>
            </w:r>
            <w:r w:rsidR="00A01B9B" w:rsidRPr="004F1D15">
              <w:rPr>
                <w:sz w:val="20"/>
                <w:szCs w:val="20"/>
              </w:rPr>
              <w:t xml:space="preserve"> </w:t>
            </w:r>
            <w:r w:rsidR="0099570C" w:rsidRPr="0099570C">
              <w:rPr>
                <w:sz w:val="20"/>
                <w:szCs w:val="20"/>
              </w:rPr>
              <w:t>Tăng cường Hạ tầng Số để Hỗ trợ Việc Áp dụng và Hài hòa hóa Các Tiêu chuẩn Hóa đơn Điện tử</w:t>
            </w:r>
          </w:p>
        </w:tc>
        <w:tc>
          <w:tcPr>
            <w:tcW w:w="3764" w:type="dxa"/>
            <w:tcBorders>
              <w:left w:val="single" w:sz="4" w:space="0" w:color="156082"/>
              <w:right w:val="single" w:sz="4" w:space="0" w:color="156082"/>
            </w:tcBorders>
          </w:tcPr>
          <w:p w14:paraId="21CB7E83" w14:textId="08D94200" w:rsidR="00A94DA5" w:rsidRPr="003961DA" w:rsidRDefault="00A94DA5" w:rsidP="003961DA">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A94DA5">
              <w:rPr>
                <w:rFonts w:ascii="Arial" w:eastAsia="DengXian" w:hAnsi="Arial"/>
                <w:b/>
                <w:bCs/>
                <w:sz w:val="20"/>
                <w:szCs w:val="20"/>
                <w:lang w:val="en-GB"/>
              </w:rPr>
              <w:t>Nâng cao các nền tảng khả năng tương tác:</w:t>
            </w:r>
            <w:r w:rsidRPr="00A94DA5">
              <w:rPr>
                <w:rFonts w:ascii="Arial" w:eastAsia="DengXian" w:hAnsi="Arial"/>
                <w:sz w:val="20"/>
                <w:szCs w:val="20"/>
                <w:lang w:val="en-GB"/>
              </w:rPr>
              <w:t xml:space="preserve"> Thiết lập hoặc cập nhật hạ tầng để bảo đảm trao đổi dữ liệu liền mạch và tích hợp với các mạng lưới tuân thủ tiêu chuẩn hóa đơn điện tử. Cần triển khai các giải pháp middleware để khắc phục các khoảng trống về khả năng tương thích giữa tiêu chuẩn hóa đơn điện tử và hệ thống quốc gia hiện có, qua đó cho phép giao dịch trơn tru và hiệu quả hơn.</w:t>
            </w:r>
          </w:p>
          <w:p w14:paraId="48E9BD42" w14:textId="3622B34E" w:rsidR="003C4B34" w:rsidRPr="00516087" w:rsidRDefault="00A94DA5" w:rsidP="003961DA">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sz w:val="20"/>
                <w:szCs w:val="20"/>
                <w:lang w:val="en-GB"/>
              </w:rPr>
            </w:pPr>
            <w:r w:rsidRPr="00A94DA5">
              <w:rPr>
                <w:rFonts w:ascii="Arial" w:hAnsi="Arial"/>
                <w:b/>
                <w:bCs/>
                <w:sz w:val="20"/>
                <w:szCs w:val="20"/>
                <w:lang w:val="vi-VN"/>
              </w:rPr>
              <w:lastRenderedPageBreak/>
              <w:t>Nâng cấp các biện pháp an ninh và tuân thủ:</w:t>
            </w:r>
            <w:r w:rsidRPr="00A94DA5">
              <w:rPr>
                <w:rFonts w:ascii="Arial" w:hAnsi="Arial"/>
                <w:sz w:val="20"/>
                <w:szCs w:val="20"/>
                <w:lang w:val="vi-VN"/>
              </w:rPr>
              <w:t xml:space="preserve"> Triển khai các giao thức bảo mật mạnh mẽ và tiêu chuẩn mã hóa nhằm bảo vệ các giao dịch và hoạt động trao đổi dữ liệu. Phát triển các công cụ và quy trình giám sát tuân thủ để bảo đảm tất cả hệ thống đáp ứng yêu cầu về bảo mật và quy định, qua đó duy trì tính toàn vẹn và độ tin cậy của hạ tầng hóa đơn điện tử.</w:t>
            </w:r>
          </w:p>
        </w:tc>
        <w:tc>
          <w:tcPr>
            <w:tcW w:w="3764" w:type="dxa"/>
            <w:gridSpan w:val="2"/>
            <w:tcBorders>
              <w:left w:val="single" w:sz="4" w:space="0" w:color="156082"/>
              <w:right w:val="single" w:sz="4" w:space="0" w:color="156082"/>
            </w:tcBorders>
          </w:tcPr>
          <w:p w14:paraId="4A0E5DAD" w14:textId="1B4689B4" w:rsidR="003C4B34" w:rsidRPr="004F1D15" w:rsidRDefault="00A94DA5" w:rsidP="0058647A">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Ngắn</w:t>
            </w:r>
            <w:r>
              <w:rPr>
                <w:sz w:val="20"/>
                <w:szCs w:val="20"/>
                <w:lang w:val="vi-VN"/>
              </w:rPr>
              <w:t xml:space="preserve"> hạn</w:t>
            </w:r>
            <w:r w:rsidR="003C4B34" w:rsidRPr="004F1D15">
              <w:rPr>
                <w:sz w:val="20"/>
                <w:szCs w:val="20"/>
              </w:rPr>
              <w:t>:</w:t>
            </w:r>
          </w:p>
          <w:p w14:paraId="22AC33D6" w14:textId="77777777" w:rsidR="00A94DA5" w:rsidRPr="00A94DA5" w:rsidRDefault="00A94DA5" w:rsidP="00A94DA5">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A94DA5">
              <w:rPr>
                <w:rFonts w:ascii="Arial" w:eastAsia="DengXian" w:hAnsi="Arial"/>
                <w:sz w:val="20"/>
                <w:szCs w:val="20"/>
                <w:lang w:val="en-GB"/>
              </w:rPr>
              <w:t>Xây dựng kế hoạch chi tiết về nâng cấp hạ tầng và triển khai các giải pháp middleware, cũng như triển khai/nâng cấp các giao thức bảo mật cơ bản và tiêu chuẩn mã hóa.</w:t>
            </w:r>
          </w:p>
          <w:p w14:paraId="434D4EEA" w14:textId="24560D8F" w:rsidR="00A94DA5" w:rsidRPr="00A94DA5" w:rsidRDefault="00A94DA5" w:rsidP="00A94DA5">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A94DA5">
              <w:rPr>
                <w:rFonts w:ascii="Arial" w:eastAsia="DengXian" w:hAnsi="Arial"/>
                <w:sz w:val="20"/>
                <w:szCs w:val="20"/>
                <w:lang w:val="en-GB"/>
              </w:rPr>
              <w:t>Bắt đầu phát triển các giải pháp middleware nhằm khắc phục khoảng trống tương thích giữa hệ thống quốc gia và các tiêu chuẩn hóa đơn điện tử.</w:t>
            </w:r>
          </w:p>
          <w:p w14:paraId="07D94D5D" w14:textId="4A4A50FE" w:rsidR="00A94DA5" w:rsidRPr="00A94DA5" w:rsidRDefault="00A94DA5" w:rsidP="00A94DA5">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A94DA5">
              <w:rPr>
                <w:rFonts w:ascii="Arial" w:eastAsia="DengXian" w:hAnsi="Arial"/>
                <w:sz w:val="20"/>
                <w:szCs w:val="20"/>
                <w:lang w:val="en-GB"/>
              </w:rPr>
              <w:lastRenderedPageBreak/>
              <w:t>Thực hiện đánh giá toàn diện đối với hạ tầng hóa đơn điện tử hiện có và xác định các khoảng trống, vấn đề tương thích.</w:t>
            </w:r>
          </w:p>
          <w:p w14:paraId="3679A0E8" w14:textId="6D5BB4B4" w:rsidR="00A94DA5" w:rsidRPr="00A94DA5" w:rsidRDefault="00A94DA5" w:rsidP="00A94DA5">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A94DA5">
              <w:rPr>
                <w:rFonts w:ascii="Arial" w:eastAsia="DengXian" w:hAnsi="Arial"/>
                <w:sz w:val="20"/>
                <w:szCs w:val="20"/>
                <w:lang w:val="en-GB"/>
              </w:rPr>
              <w:t>Tiến hành thử nghiệm ban đầu đối với middleware trong môi trường kiểm soát để bảo đảm chức năng và xác định vấn đề.</w:t>
            </w:r>
          </w:p>
          <w:p w14:paraId="6A7873EC" w14:textId="431EF201" w:rsidR="00F61C98" w:rsidRPr="00516087" w:rsidRDefault="00A94DA5" w:rsidP="00A94DA5">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A94DA5">
              <w:rPr>
                <w:rFonts w:ascii="Arial" w:eastAsia="DengXian" w:hAnsi="Arial"/>
                <w:sz w:val="20"/>
                <w:szCs w:val="20"/>
                <w:lang w:val="en-GB"/>
              </w:rPr>
              <w:t>Xây dựng khung tuân thủ ban đầu nhằm giám sát mức độ tuân thủ các yêu cầu bảo mật theo tiêu chuẩn hóa đơn điện tử có liên quan.</w:t>
            </w:r>
          </w:p>
          <w:p w14:paraId="1AAF5E4E" w14:textId="6ECF8C9D" w:rsidR="005B4812" w:rsidRPr="00050509" w:rsidRDefault="005B4812" w:rsidP="0058647A">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p w14:paraId="5A6C1D4F" w14:textId="67F4F3CC" w:rsidR="003C4B34" w:rsidRPr="004F1D15" w:rsidRDefault="00A94DA5" w:rsidP="0058647A">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Trung</w:t>
            </w:r>
            <w:r>
              <w:rPr>
                <w:sz w:val="20"/>
                <w:szCs w:val="20"/>
                <w:lang w:val="vi-VN"/>
              </w:rPr>
              <w:t xml:space="preserve"> hạn</w:t>
            </w:r>
            <w:r w:rsidR="003C4B34" w:rsidRPr="004F1D15">
              <w:rPr>
                <w:sz w:val="20"/>
                <w:szCs w:val="20"/>
              </w:rPr>
              <w:t>:</w:t>
            </w:r>
          </w:p>
          <w:p w14:paraId="4127CD2B" w14:textId="77777777" w:rsidR="00752AFD" w:rsidRPr="00752AFD" w:rsidRDefault="00752AFD" w:rsidP="00752AF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752AFD">
              <w:rPr>
                <w:rFonts w:ascii="Arial" w:eastAsia="DengXian" w:hAnsi="Arial"/>
                <w:sz w:val="20"/>
                <w:szCs w:val="20"/>
                <w:lang w:val="en-GB"/>
              </w:rPr>
              <w:t>Triển khai các biện pháp bảo mật nâng cao, bao gồm mã hóa đa tầng và hệ thống phát hiện mối đe dọa theo thời gian thực, cùng các nâng cấp khác đối với hạ tầng hóa đơn điện tử quốc gia nhằm hỗ trợ trao đổi dữ liệu liền mạch với các mạng lưới tuân thủ tiêu chuẩn.</w:t>
            </w:r>
          </w:p>
          <w:p w14:paraId="2EF6AF55" w14:textId="45FE6C36" w:rsidR="00752AFD" w:rsidRPr="00752AFD" w:rsidRDefault="00752AFD" w:rsidP="00752AF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752AFD">
              <w:rPr>
                <w:rFonts w:ascii="Arial" w:eastAsia="DengXian" w:hAnsi="Arial"/>
                <w:sz w:val="20"/>
                <w:szCs w:val="20"/>
                <w:lang w:val="en-GB"/>
              </w:rPr>
              <w:t>Tiến hành kiểm toán bảo mật và thử nghiệm xâm nhập định kỳ nhằm xác định và giảm thiểu các rủi ro tiềm ẩn.</w:t>
            </w:r>
          </w:p>
          <w:p w14:paraId="48B11902" w14:textId="6DB0BFA5" w:rsidR="00752AFD" w:rsidRPr="00752AFD" w:rsidRDefault="00752AFD" w:rsidP="00752AF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752AFD">
              <w:rPr>
                <w:rFonts w:ascii="Arial" w:eastAsia="DengXian" w:hAnsi="Arial"/>
                <w:sz w:val="20"/>
                <w:szCs w:val="20"/>
                <w:lang w:val="en-GB"/>
              </w:rPr>
              <w:t>Phát triển và triển khai các công cụ và quy trình giám sát tuân thủ để bảo đảm việc tuân thủ liên tục các yêu cầu bảo mật và quy định theo tiêu chuẩn hóa đơn điện tử.</w:t>
            </w:r>
          </w:p>
          <w:p w14:paraId="4D19465B" w14:textId="2DD5D581" w:rsidR="00752AFD" w:rsidRPr="00752AFD" w:rsidRDefault="00752AFD" w:rsidP="00752AF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752AFD">
              <w:rPr>
                <w:rFonts w:ascii="Arial" w:eastAsia="DengXian" w:hAnsi="Arial"/>
                <w:sz w:val="20"/>
                <w:szCs w:val="20"/>
                <w:lang w:val="en-GB"/>
              </w:rPr>
              <w:t>Triển khai các giải pháp middleware trên nhiều khu vực và lĩnh vực, bảo đảm mức độ ứng dụng rộng rãi.</w:t>
            </w:r>
          </w:p>
          <w:p w14:paraId="5DACE8B9" w14:textId="01816D33" w:rsidR="00752AFD" w:rsidRPr="00752AFD" w:rsidRDefault="00752AFD" w:rsidP="00752AF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752AFD">
              <w:rPr>
                <w:rFonts w:ascii="Arial" w:eastAsia="DengXian" w:hAnsi="Arial"/>
                <w:sz w:val="20"/>
                <w:szCs w:val="20"/>
                <w:lang w:val="en-GB"/>
              </w:rPr>
              <w:lastRenderedPageBreak/>
              <w:t>Thực hiện kiểm tra toàn diện đối với hạ tầng đã nâng cấp và các giải pháp middleware để bảo đảm khả năng tương tác đầy đủ với các mạng lưới tuân thủ tiêu chuẩn hóa đơn điện tử.</w:t>
            </w:r>
          </w:p>
          <w:p w14:paraId="19E52839" w14:textId="030EE245" w:rsidR="00752AFD" w:rsidRPr="004F1D15" w:rsidRDefault="00752AFD" w:rsidP="00752AF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752AFD">
              <w:rPr>
                <w:rFonts w:ascii="Arial" w:eastAsia="DengXian" w:hAnsi="Arial"/>
                <w:sz w:val="20"/>
                <w:szCs w:val="20"/>
                <w:lang w:val="en-GB"/>
              </w:rPr>
              <w:t>Giải quyết các vấn đề hoặc lỗi được phát hiện trong quá trình thử nghiệm nhằm bảo đảm giao dịch trơn tru và hiệu quả.</w:t>
            </w:r>
          </w:p>
          <w:p w14:paraId="5D04B702" w14:textId="77777777" w:rsidR="00752AFD" w:rsidRDefault="00752AFD" w:rsidP="0058647A">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vi-VN"/>
              </w:rPr>
            </w:pPr>
          </w:p>
          <w:p w14:paraId="136DB350" w14:textId="7EB614FD" w:rsidR="003C4B34" w:rsidRPr="004F1D15" w:rsidRDefault="00752AFD" w:rsidP="0058647A">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Dài</w:t>
            </w:r>
            <w:r>
              <w:rPr>
                <w:sz w:val="20"/>
                <w:szCs w:val="20"/>
                <w:lang w:val="vi-VN"/>
              </w:rPr>
              <w:t xml:space="preserve"> hạn</w:t>
            </w:r>
            <w:r w:rsidR="003C4B34" w:rsidRPr="004F1D15">
              <w:rPr>
                <w:sz w:val="20"/>
                <w:szCs w:val="20"/>
              </w:rPr>
              <w:t>:</w:t>
            </w:r>
          </w:p>
          <w:p w14:paraId="3D02035F" w14:textId="77777777" w:rsidR="002E6F58" w:rsidRPr="002E6F58" w:rsidRDefault="002E6F58" w:rsidP="002E6F58">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2E6F58">
              <w:rPr>
                <w:rFonts w:ascii="Arial" w:hAnsi="Arial"/>
                <w:sz w:val="20"/>
                <w:szCs w:val="20"/>
                <w:lang w:val="en-GB"/>
              </w:rPr>
              <w:t>Liên tục cập nhật các giao thức bảo mật để xử lý các mối đe dọa và lỗ hổng mới phát sinh.</w:t>
            </w:r>
          </w:p>
          <w:p w14:paraId="69765B50" w14:textId="5B62D27C" w:rsidR="003C4B34" w:rsidRPr="002E6F58" w:rsidRDefault="002E6F58" w:rsidP="002E6F58">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2E6F58">
              <w:rPr>
                <w:rFonts w:ascii="Arial" w:hAnsi="Arial"/>
                <w:sz w:val="20"/>
                <w:szCs w:val="20"/>
                <w:lang w:val="en-GB"/>
              </w:rPr>
              <w:t>Theo dõi hiệu suất của hạ tầng đã nâng cấp và các giải pháp middleware, đồng thời thực hiện các điều chỉnh và tối ưu hóa khi cần thiết.</w:t>
            </w:r>
          </w:p>
        </w:tc>
        <w:tc>
          <w:tcPr>
            <w:tcW w:w="2318" w:type="dxa"/>
            <w:gridSpan w:val="2"/>
            <w:tcBorders>
              <w:left w:val="single" w:sz="4" w:space="0" w:color="156082"/>
              <w:right w:val="single" w:sz="4" w:space="0" w:color="156082"/>
            </w:tcBorders>
          </w:tcPr>
          <w:p w14:paraId="7C99EF30" w14:textId="00D680D3" w:rsidR="003C4B34" w:rsidRPr="00E1058A" w:rsidRDefault="00854E80" w:rsidP="0058647A">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lang w:val="vi-VN"/>
              </w:rPr>
              <w:lastRenderedPageBreak/>
              <w:t>Cơ quan điều phối ngành</w:t>
            </w:r>
            <w:r w:rsidR="00BB4393" w:rsidRPr="00E1058A">
              <w:rPr>
                <w:sz w:val="20"/>
                <w:szCs w:val="20"/>
              </w:rPr>
              <w:t>:</w:t>
            </w:r>
          </w:p>
          <w:p w14:paraId="0A0C3BE3" w14:textId="69AFAE35" w:rsidR="00945DBE" w:rsidRPr="00E1058A" w:rsidRDefault="0043159D" w:rsidP="003C0C7F">
            <w:pPr>
              <w:pStyle w:val="ListParagraph"/>
              <w:spacing w:before="0" w:after="0"/>
              <w:ind w:left="331"/>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43159D">
              <w:rPr>
                <w:rFonts w:ascii="Arial" w:hAnsi="Arial"/>
                <w:sz w:val="20"/>
                <w:szCs w:val="20"/>
              </w:rPr>
              <w:t xml:space="preserve">Họp Quan chức Cao cấp </w:t>
            </w:r>
            <w:r w:rsidR="00616696">
              <w:rPr>
                <w:rFonts w:ascii="Arial" w:hAnsi="Arial"/>
                <w:sz w:val="20"/>
                <w:szCs w:val="20"/>
              </w:rPr>
              <w:t>Số</w:t>
            </w:r>
            <w:r w:rsidRPr="0043159D">
              <w:rPr>
                <w:rFonts w:ascii="Arial" w:hAnsi="Arial"/>
                <w:sz w:val="20"/>
                <w:szCs w:val="20"/>
              </w:rPr>
              <w:t xml:space="preserve"> ASEAN </w:t>
            </w:r>
            <w:r w:rsidR="008A2029" w:rsidRPr="00E1058A">
              <w:rPr>
                <w:rFonts w:ascii="Arial" w:hAnsi="Arial"/>
                <w:sz w:val="20"/>
                <w:szCs w:val="20"/>
              </w:rPr>
              <w:t>(ADGSOM)</w:t>
            </w:r>
          </w:p>
          <w:p w14:paraId="4B14606C" w14:textId="77777777" w:rsidR="0043159D" w:rsidRPr="0043159D" w:rsidRDefault="0043159D" w:rsidP="00731EBA">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43159D">
              <w:rPr>
                <w:rFonts w:ascii="Arial" w:eastAsia="DengXian" w:hAnsi="Arial"/>
                <w:sz w:val="20"/>
                <w:szCs w:val="20"/>
                <w:lang w:val="en-GB"/>
              </w:rPr>
              <w:t>Ủy ban Điều phối ASEAN về Thương mại Điện tử và Kinh tế Số</w:t>
            </w:r>
          </w:p>
          <w:p w14:paraId="7991ACDD" w14:textId="06A3F504" w:rsidR="003C4B34" w:rsidRPr="002527E6" w:rsidRDefault="0043159D" w:rsidP="00731EBA">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43159D">
              <w:rPr>
                <w:rFonts w:ascii="Arial" w:eastAsia="DengXian" w:hAnsi="Arial"/>
                <w:sz w:val="20"/>
                <w:szCs w:val="20"/>
                <w:lang w:val="en-GB"/>
              </w:rPr>
              <w:t xml:space="preserve">Ủy ban Điều phối ASEAN về Doanh nghiệp Vi mô, Nhỏ </w:t>
            </w:r>
            <w:r w:rsidRPr="0043159D">
              <w:rPr>
                <w:rFonts w:ascii="Arial" w:eastAsia="DengXian" w:hAnsi="Arial"/>
                <w:sz w:val="20"/>
                <w:szCs w:val="20"/>
                <w:lang w:val="en-GB"/>
              </w:rPr>
              <w:lastRenderedPageBreak/>
              <w:t xml:space="preserve">và Vừa </w:t>
            </w:r>
            <w:r w:rsidR="003C4B34" w:rsidRPr="002527E6">
              <w:rPr>
                <w:rFonts w:ascii="Arial" w:eastAsia="DengXian" w:hAnsi="Arial"/>
                <w:sz w:val="20"/>
                <w:szCs w:val="20"/>
                <w:lang w:val="en-GB"/>
              </w:rPr>
              <w:t>(ACCMSME)​</w:t>
            </w:r>
          </w:p>
          <w:p w14:paraId="58CBA001" w14:textId="46492D21" w:rsidR="0015375D" w:rsidRDefault="00854E80" w:rsidP="002527E6">
            <w:pPr>
              <w:pStyle w:val="ListParagraph"/>
              <w:numPr>
                <w:ilvl w:val="0"/>
                <w:numId w:val="0"/>
              </w:numPr>
              <w:spacing w:after="0"/>
              <w:ind w:left="31"/>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Pr>
                <w:rFonts w:ascii="Arial" w:eastAsia="DengXian" w:hAnsi="Arial"/>
                <w:sz w:val="20"/>
                <w:szCs w:val="20"/>
                <w:lang w:val="en-GB"/>
              </w:rPr>
              <w:t>Cơ</w:t>
            </w:r>
            <w:r>
              <w:rPr>
                <w:rFonts w:ascii="Arial" w:eastAsia="DengXian" w:hAnsi="Arial"/>
                <w:sz w:val="20"/>
                <w:szCs w:val="20"/>
                <w:lang w:val="vi-VN"/>
              </w:rPr>
              <w:t xml:space="preserve"> quan hỗ trợ</w:t>
            </w:r>
            <w:r w:rsidR="002527E6">
              <w:rPr>
                <w:rFonts w:ascii="Arial" w:eastAsia="DengXian" w:hAnsi="Arial"/>
                <w:sz w:val="20"/>
                <w:szCs w:val="20"/>
                <w:lang w:val="en-GB"/>
              </w:rPr>
              <w:t>:</w:t>
            </w:r>
          </w:p>
          <w:p w14:paraId="3DB618D7" w14:textId="44924744" w:rsidR="002527E6" w:rsidRPr="003C0C7F" w:rsidRDefault="0043159D" w:rsidP="002527E6">
            <w:pPr>
              <w:pStyle w:val="ListParagraph"/>
              <w:spacing w:before="0" w:after="0"/>
              <w:ind w:left="331"/>
              <w:cnfStyle w:val="000000100000" w:firstRow="0" w:lastRow="0" w:firstColumn="0" w:lastColumn="0" w:oddVBand="0" w:evenVBand="0" w:oddHBand="1" w:evenHBand="0" w:firstRowFirstColumn="0" w:firstRowLastColumn="0" w:lastRowFirstColumn="0" w:lastRowLastColumn="0"/>
              <w:rPr>
                <w:rFonts w:ascii="Arial" w:hAnsi="Arial"/>
                <w:sz w:val="20"/>
                <w:szCs w:val="20"/>
              </w:rPr>
            </w:pPr>
            <w:r w:rsidRPr="0043159D">
              <w:rPr>
                <w:rFonts w:ascii="Arial" w:hAnsi="Arial"/>
                <w:sz w:val="20"/>
                <w:szCs w:val="20"/>
              </w:rPr>
              <w:t xml:space="preserve">Nhóm Công tác về Tiêu chuẩn và Hài hòa Thương mại Số </w:t>
            </w:r>
            <w:r w:rsidR="002527E6" w:rsidRPr="003C0C7F">
              <w:rPr>
                <w:rFonts w:ascii="Arial" w:hAnsi="Arial"/>
                <w:sz w:val="20"/>
                <w:szCs w:val="20"/>
              </w:rPr>
              <w:t>(DTSCWG)</w:t>
            </w:r>
          </w:p>
          <w:p w14:paraId="6B2CC9FE" w14:textId="53997F7F" w:rsidR="002527E6" w:rsidRPr="004F1D15" w:rsidRDefault="002527E6" w:rsidP="002527E6">
            <w:pPr>
              <w:pStyle w:val="ListParagraph"/>
              <w:numPr>
                <w:ilvl w:val="0"/>
                <w:numId w:val="0"/>
              </w:numPr>
              <w:spacing w:after="0"/>
              <w:ind w:left="31"/>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p>
        </w:tc>
        <w:tc>
          <w:tcPr>
            <w:tcW w:w="3774" w:type="dxa"/>
            <w:gridSpan w:val="2"/>
            <w:tcBorders>
              <w:left w:val="single" w:sz="4" w:space="0" w:color="156082"/>
            </w:tcBorders>
          </w:tcPr>
          <w:p w14:paraId="304E16D3" w14:textId="1299FB03" w:rsidR="003C4B34" w:rsidRPr="002E6F58" w:rsidRDefault="002E6F58" w:rsidP="0058647A">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vi-VN"/>
              </w:rPr>
            </w:pPr>
            <w:r w:rsidRPr="002E6F58">
              <w:rPr>
                <w:sz w:val="20"/>
                <w:szCs w:val="20"/>
                <w:lang w:val="vi-VN"/>
              </w:rPr>
              <w:lastRenderedPageBreak/>
              <w:t>Các chỉ số tiến độ chung bao gồm:</w:t>
            </w:r>
          </w:p>
          <w:p w14:paraId="1D64D2DE" w14:textId="68D1FADF" w:rsidR="002E6F58" w:rsidRPr="002E6F58" w:rsidRDefault="00854E80" w:rsidP="002E6F58">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vi-VN"/>
              </w:rPr>
            </w:pPr>
            <w:r>
              <w:rPr>
                <w:rFonts w:ascii="Arial" w:hAnsi="Arial"/>
                <w:sz w:val="20"/>
                <w:szCs w:val="20"/>
                <w:lang w:val="vi-VN"/>
              </w:rPr>
              <w:t xml:space="preserve">Hiệu suất khả năng tương tác: </w:t>
            </w:r>
            <w:r w:rsidR="002E6F58" w:rsidRPr="002E6F58">
              <w:rPr>
                <w:rFonts w:ascii="Arial" w:hAnsi="Arial"/>
                <w:sz w:val="20"/>
                <w:szCs w:val="20"/>
                <w:lang w:val="vi-VN"/>
              </w:rPr>
              <w:t>Đánh giá hiệu suất của các nền tảng khả năng tương tác bằng cách theo dõi tỷ lệ giao dịch thành công và thời gian xử lý.</w:t>
            </w:r>
          </w:p>
          <w:p w14:paraId="51936225" w14:textId="462C1543" w:rsidR="003C4B34" w:rsidRPr="002E6F58" w:rsidRDefault="002E6F58" w:rsidP="002E6F58">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sz w:val="20"/>
                <w:szCs w:val="20"/>
                <w:lang w:val="en-GB"/>
              </w:rPr>
            </w:pPr>
            <w:r w:rsidRPr="002E6F58">
              <w:rPr>
                <w:rFonts w:ascii="Arial" w:hAnsi="Arial"/>
                <w:b/>
                <w:bCs/>
                <w:sz w:val="20"/>
                <w:szCs w:val="20"/>
                <w:lang w:val="vi-VN"/>
              </w:rPr>
              <w:t>Tuân thủ bảo mật và giảm thiểu sự cố:</w:t>
            </w:r>
            <w:r w:rsidRPr="002E6F58">
              <w:rPr>
                <w:rFonts w:ascii="Arial" w:hAnsi="Arial"/>
                <w:sz w:val="20"/>
                <w:szCs w:val="20"/>
                <w:lang w:val="vi-VN"/>
              </w:rPr>
              <w:t xml:space="preserve"> Theo dõi số lượng quốc gia thành viên ASEAN đáp ứng các tiêu chuẩn bảo mật và tuân thủ theo tiêu chuẩn hóa đơn điện tử thông qua kiểm toán định kỳ, đồng thời giám </w:t>
            </w:r>
            <w:r w:rsidRPr="002E6F58">
              <w:rPr>
                <w:rFonts w:ascii="Arial" w:hAnsi="Arial"/>
                <w:sz w:val="20"/>
                <w:szCs w:val="20"/>
                <w:lang w:val="vi-VN"/>
              </w:rPr>
              <w:lastRenderedPageBreak/>
              <w:t>sát mức giảm các sự cố bảo mật liên quan đến hệ thống hóa đơn điện tử.</w:t>
            </w:r>
          </w:p>
        </w:tc>
      </w:tr>
    </w:tbl>
    <w:p w14:paraId="79248A38" w14:textId="4CB20721" w:rsidR="00A01B9B" w:rsidRPr="004F1D15" w:rsidRDefault="00A01B9B">
      <w:pPr>
        <w:spacing w:line="259" w:lineRule="auto"/>
        <w:jc w:val="left"/>
        <w:rPr>
          <w:rFonts w:eastAsia="Arial"/>
          <w:color w:val="657C9C" w:themeColor="text2" w:themeTint="BF"/>
          <w:sz w:val="20"/>
          <w:szCs w:val="20"/>
        </w:rPr>
      </w:pPr>
    </w:p>
    <w:p w14:paraId="70470B6F" w14:textId="5F1ABA36" w:rsidR="005A7FFA" w:rsidRPr="004F1D15" w:rsidRDefault="003B5FCF" w:rsidP="005A7FFA">
      <w:pPr>
        <w:pStyle w:val="Heading3"/>
        <w:rPr>
          <w:szCs w:val="24"/>
          <w:lang w:val="en-GB"/>
        </w:rPr>
      </w:pPr>
      <w:r>
        <w:rPr>
          <w:szCs w:val="24"/>
          <w:lang w:val="en-GB"/>
        </w:rPr>
        <w:t>Tiểu</w:t>
      </w:r>
      <w:r>
        <w:rPr>
          <w:szCs w:val="24"/>
          <w:lang w:val="vi-VN"/>
        </w:rPr>
        <w:t xml:space="preserve"> lĩnh vực</w:t>
      </w:r>
      <w:r w:rsidR="005A7FFA" w:rsidRPr="004F1D15">
        <w:rPr>
          <w:szCs w:val="24"/>
          <w:lang w:val="en-GB"/>
        </w:rPr>
        <w:t xml:space="preserve">: </w:t>
      </w:r>
      <w:r>
        <w:rPr>
          <w:szCs w:val="24"/>
          <w:lang w:val="en-GB"/>
        </w:rPr>
        <w:t>Thanh</w:t>
      </w:r>
      <w:r>
        <w:rPr>
          <w:szCs w:val="24"/>
          <w:lang w:val="vi-VN"/>
        </w:rPr>
        <w:t xml:space="preserve"> toán</w:t>
      </w:r>
      <w:r w:rsidR="005A7FFA" w:rsidRPr="004F1D15">
        <w:rPr>
          <w:szCs w:val="24"/>
          <w:lang w:val="en-GB"/>
        </w:rPr>
        <w:t xml:space="preserve"> </w:t>
      </w:r>
    </w:p>
    <w:p w14:paraId="708E87C0" w14:textId="51ADBEC9" w:rsidR="005A7FFA" w:rsidRPr="004F1D15" w:rsidRDefault="003B5FCF" w:rsidP="00C82E40">
      <w:pPr>
        <w:pStyle w:val="Heading4"/>
        <w:rPr>
          <w:sz w:val="20"/>
          <w:lang w:val="en-GB"/>
        </w:rPr>
      </w:pPr>
      <w:r>
        <w:rPr>
          <w:sz w:val="20"/>
          <w:lang w:val="en-GB"/>
        </w:rPr>
        <w:t>Danh</w:t>
      </w:r>
      <w:r>
        <w:rPr>
          <w:sz w:val="20"/>
          <w:lang w:val="vi-VN"/>
        </w:rPr>
        <w:t xml:space="preserve"> mục</w:t>
      </w:r>
      <w:r w:rsidR="00CC6EE0" w:rsidRPr="004F1D15">
        <w:rPr>
          <w:sz w:val="20"/>
          <w:lang w:val="en-GB"/>
        </w:rPr>
        <w:t xml:space="preserve"> </w:t>
      </w:r>
      <w:r w:rsidR="005A7FFA" w:rsidRPr="004F1D15">
        <w:rPr>
          <w:sz w:val="20"/>
          <w:lang w:val="en-GB"/>
        </w:rPr>
        <w:t xml:space="preserve">1: </w:t>
      </w:r>
      <w:r>
        <w:rPr>
          <w:sz w:val="20"/>
          <w:lang w:val="en-GB"/>
        </w:rPr>
        <w:t>Điều</w:t>
      </w:r>
      <w:r>
        <w:rPr>
          <w:sz w:val="20"/>
          <w:lang w:val="vi-VN"/>
        </w:rPr>
        <w:t xml:space="preserve"> chỉnh và Phối hợp chính sách</w:t>
      </w:r>
    </w:p>
    <w:tbl>
      <w:tblPr>
        <w:tblStyle w:val="ListTable3-Accent11"/>
        <w:tblW w:w="15314" w:type="dxa"/>
        <w:tblLook w:val="04A0" w:firstRow="1" w:lastRow="0" w:firstColumn="1" w:lastColumn="0" w:noHBand="0" w:noVBand="1"/>
      </w:tblPr>
      <w:tblGrid>
        <w:gridCol w:w="1694"/>
        <w:gridCol w:w="3764"/>
        <w:gridCol w:w="7"/>
        <w:gridCol w:w="3757"/>
        <w:gridCol w:w="15"/>
        <w:gridCol w:w="2303"/>
        <w:gridCol w:w="14"/>
        <w:gridCol w:w="3760"/>
      </w:tblGrid>
      <w:tr w:rsidR="00470C18" w:rsidRPr="004F1D15" w14:paraId="68EA81EB" w14:textId="77777777" w:rsidTr="00AC0A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4" w:type="dxa"/>
            <w:tcBorders>
              <w:bottom w:val="single" w:sz="4" w:space="0" w:color="156082"/>
            </w:tcBorders>
            <w:shd w:val="clear" w:color="auto" w:fill="002060"/>
          </w:tcPr>
          <w:p w14:paraId="0C7CE62D" w14:textId="66F80324" w:rsidR="00470C18" w:rsidRPr="003B5FCF" w:rsidRDefault="003B5FCF" w:rsidP="00BF5F59">
            <w:pPr>
              <w:jc w:val="center"/>
              <w:rPr>
                <w:sz w:val="20"/>
                <w:szCs w:val="20"/>
                <w:lang w:val="vi-VN"/>
              </w:rPr>
            </w:pPr>
            <w:r>
              <w:rPr>
                <w:sz w:val="20"/>
                <w:szCs w:val="20"/>
              </w:rPr>
              <w:t>Khu</w:t>
            </w:r>
            <w:r>
              <w:rPr>
                <w:sz w:val="20"/>
                <w:szCs w:val="20"/>
                <w:lang w:val="vi-VN"/>
              </w:rPr>
              <w:t xml:space="preserve"> vực hành động</w:t>
            </w:r>
          </w:p>
        </w:tc>
        <w:tc>
          <w:tcPr>
            <w:tcW w:w="3771" w:type="dxa"/>
            <w:gridSpan w:val="2"/>
            <w:shd w:val="clear" w:color="auto" w:fill="002060"/>
          </w:tcPr>
          <w:p w14:paraId="2E9707FE" w14:textId="396C323A" w:rsidR="00470C18" w:rsidRPr="003B5FCF" w:rsidRDefault="003B5FCF" w:rsidP="00BF5F59">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Lĩnh</w:t>
            </w:r>
            <w:r>
              <w:rPr>
                <w:sz w:val="20"/>
                <w:szCs w:val="20"/>
                <w:lang w:val="vi-VN"/>
              </w:rPr>
              <w:t xml:space="preserve"> vực trọng tâm</w:t>
            </w:r>
          </w:p>
        </w:tc>
        <w:tc>
          <w:tcPr>
            <w:tcW w:w="3772" w:type="dxa"/>
            <w:gridSpan w:val="2"/>
            <w:shd w:val="clear" w:color="auto" w:fill="002060"/>
          </w:tcPr>
          <w:p w14:paraId="731A653A" w14:textId="7FCFAB7C" w:rsidR="00470C18" w:rsidRPr="004F1D15" w:rsidRDefault="003B5FCF" w:rsidP="00BF5F59">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Các</w:t>
            </w:r>
            <w:r>
              <w:rPr>
                <w:sz w:val="20"/>
                <w:szCs w:val="20"/>
                <w:lang w:val="vi-VN"/>
              </w:rPr>
              <w:t xml:space="preserve"> mốc dự kiến và khung thời gian tạm tính</w:t>
            </w:r>
            <w:r w:rsidR="00470C18" w:rsidRPr="004F1D15">
              <w:rPr>
                <w:sz w:val="20"/>
                <w:szCs w:val="20"/>
                <w:vertAlign w:val="superscript"/>
              </w:rPr>
              <w:footnoteReference w:id="343"/>
            </w:r>
          </w:p>
        </w:tc>
        <w:tc>
          <w:tcPr>
            <w:tcW w:w="2317" w:type="dxa"/>
            <w:gridSpan w:val="2"/>
            <w:shd w:val="clear" w:color="auto" w:fill="002060"/>
          </w:tcPr>
          <w:p w14:paraId="56AA469F" w14:textId="321284E1" w:rsidR="00470C18" w:rsidRPr="003B5FCF" w:rsidRDefault="003B5FCF" w:rsidP="00BF5F59">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Các</w:t>
            </w:r>
            <w:r>
              <w:rPr>
                <w:sz w:val="20"/>
                <w:szCs w:val="20"/>
                <w:lang w:val="vi-VN"/>
              </w:rPr>
              <w:t xml:space="preserve"> bên chịu trách nhiệm</w:t>
            </w:r>
          </w:p>
        </w:tc>
        <w:tc>
          <w:tcPr>
            <w:tcW w:w="3760" w:type="dxa"/>
            <w:shd w:val="clear" w:color="auto" w:fill="002060"/>
          </w:tcPr>
          <w:p w14:paraId="5D6438F9" w14:textId="239FCB80" w:rsidR="00470C18" w:rsidRPr="003B5FCF" w:rsidRDefault="003B5FCF" w:rsidP="00BF5F59">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lang w:val="vi-VN"/>
              </w:rPr>
              <w:t>Thước đo tiến độ</w:t>
            </w:r>
          </w:p>
        </w:tc>
      </w:tr>
      <w:tr w:rsidR="00470C18" w:rsidRPr="004F1D15" w14:paraId="7CB39611" w14:textId="77777777" w:rsidTr="00AC0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shd w:val="clear" w:color="auto" w:fill="00B0F0"/>
          </w:tcPr>
          <w:p w14:paraId="07870FEE" w14:textId="10010ECE" w:rsidR="00470C18" w:rsidRPr="003B5FCF" w:rsidRDefault="003B5FCF" w:rsidP="00BF5F59">
            <w:pPr>
              <w:jc w:val="center"/>
              <w:rPr>
                <w:sz w:val="20"/>
                <w:szCs w:val="20"/>
                <w:lang w:val="vi-VN"/>
              </w:rPr>
            </w:pPr>
            <w:r>
              <w:rPr>
                <w:sz w:val="20"/>
                <w:szCs w:val="20"/>
              </w:rPr>
              <w:t>Khu</w:t>
            </w:r>
            <w:r>
              <w:rPr>
                <w:sz w:val="20"/>
                <w:szCs w:val="20"/>
                <w:lang w:val="vi-VN"/>
              </w:rPr>
              <w:t xml:space="preserve"> vực hành động chính</w:t>
            </w:r>
          </w:p>
        </w:tc>
        <w:tc>
          <w:tcPr>
            <w:tcW w:w="13620" w:type="dxa"/>
            <w:gridSpan w:val="7"/>
            <w:tcBorders>
              <w:left w:val="single" w:sz="4" w:space="0" w:color="156082"/>
            </w:tcBorders>
            <w:shd w:val="clear" w:color="auto" w:fill="00B0F0"/>
          </w:tcPr>
          <w:p w14:paraId="637AE517" w14:textId="5D639FEF" w:rsidR="00470C18" w:rsidRPr="004F1D15" w:rsidRDefault="0058647A">
            <w:pPr>
              <w:cnfStyle w:val="000000100000" w:firstRow="0" w:lastRow="0" w:firstColumn="0" w:lastColumn="0" w:oddVBand="0" w:evenVBand="0" w:oddHBand="1" w:evenHBand="0" w:firstRowFirstColumn="0" w:firstRowLastColumn="0" w:lastRowFirstColumn="0" w:lastRowLastColumn="0"/>
              <w:rPr>
                <w:rFonts w:eastAsiaTheme="minorEastAsia"/>
                <w:b/>
                <w:bCs/>
                <w:sz w:val="20"/>
                <w:szCs w:val="20"/>
              </w:rPr>
            </w:pPr>
            <w:r>
              <w:rPr>
                <w:b/>
                <w:bCs/>
                <w:sz w:val="20"/>
                <w:szCs w:val="20"/>
              </w:rPr>
              <w:t>6.2.6</w:t>
            </w:r>
            <w:r w:rsidR="004E5772" w:rsidRPr="004F1D15">
              <w:rPr>
                <w:b/>
                <w:sz w:val="20"/>
                <w:szCs w:val="20"/>
              </w:rPr>
              <w:t xml:space="preserve">.1 </w:t>
            </w:r>
            <w:r w:rsidR="00E13345" w:rsidRPr="00E13345">
              <w:rPr>
                <w:b/>
                <w:sz w:val="20"/>
                <w:szCs w:val="20"/>
              </w:rPr>
              <w:t>Hỗ trợ triển khai đầy đủ ISO 20022 trong Hệ thống Thanh toán Bán lẻ (RPS) và Hệ thống Thanh toán Giá trị lớn (LVPS) trên toàn các quốc gia thành viên ASEAN, đồng thời tăng cường mức độ tương thích với các tiêu chuẩn hướng dẫn thanh toán quốc tế</w:t>
            </w:r>
          </w:p>
        </w:tc>
      </w:tr>
      <w:tr w:rsidR="00470C18" w:rsidRPr="004F1D15" w14:paraId="4EB180A3" w14:textId="77777777" w:rsidTr="00AC0AE1">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156082"/>
              <w:bottom w:val="single" w:sz="4" w:space="0" w:color="156082"/>
              <w:right w:val="single" w:sz="4" w:space="0" w:color="156082"/>
            </w:tcBorders>
            <w:shd w:val="clear" w:color="auto" w:fill="BDD6EE" w:themeFill="accent5" w:themeFillTint="66"/>
          </w:tcPr>
          <w:p w14:paraId="10910DE7" w14:textId="6D5989C9" w:rsidR="00470C18" w:rsidRPr="003B5FCF" w:rsidRDefault="003B5FCF" w:rsidP="00BF5F59">
            <w:pPr>
              <w:jc w:val="center"/>
              <w:rPr>
                <w:sz w:val="20"/>
                <w:szCs w:val="20"/>
                <w:lang w:val="vi-VN"/>
              </w:rPr>
            </w:pPr>
            <w:r>
              <w:rPr>
                <w:sz w:val="20"/>
                <w:szCs w:val="20"/>
              </w:rPr>
              <w:lastRenderedPageBreak/>
              <w:t>Mục</w:t>
            </w:r>
            <w:r>
              <w:rPr>
                <w:sz w:val="20"/>
                <w:szCs w:val="20"/>
                <w:lang w:val="vi-VN"/>
              </w:rPr>
              <w:t xml:space="preserve"> tiêu</w:t>
            </w:r>
          </w:p>
        </w:tc>
        <w:tc>
          <w:tcPr>
            <w:tcW w:w="13620" w:type="dxa"/>
            <w:gridSpan w:val="7"/>
            <w:tcBorders>
              <w:left w:val="single" w:sz="4" w:space="0" w:color="156082"/>
            </w:tcBorders>
            <w:shd w:val="clear" w:color="auto" w:fill="BDD6EE" w:themeFill="accent5" w:themeFillTint="66"/>
          </w:tcPr>
          <w:p w14:paraId="055CDE93" w14:textId="4BB40525" w:rsidR="00470C18" w:rsidRPr="00516087" w:rsidRDefault="000B04E5"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hAnsi="Arial"/>
                <w:sz w:val="20"/>
                <w:szCs w:val="20"/>
                <w:lang w:val="en-GB"/>
              </w:rPr>
            </w:pPr>
            <w:r w:rsidRPr="000B04E5">
              <w:rPr>
                <w:rFonts w:ascii="Arial" w:eastAsia="DengXian" w:hAnsi="Arial"/>
                <w:b/>
                <w:bCs/>
                <w:sz w:val="20"/>
                <w:szCs w:val="20"/>
                <w:lang w:val="vi-VN"/>
              </w:rPr>
              <w:t xml:space="preserve">Triển khai đầy đủ các tiêu chuẩn thanh toán quốc tế trong toàn khối ASEAN: </w:t>
            </w:r>
            <w:r w:rsidRPr="000B04E5">
              <w:rPr>
                <w:rFonts w:ascii="Arial" w:eastAsia="DengXian" w:hAnsi="Arial"/>
                <w:sz w:val="20"/>
                <w:szCs w:val="20"/>
                <w:lang w:val="vi-VN"/>
              </w:rPr>
              <w:t>Tiêu chuẩn ISO 20022 thúc đẩy khả năng tương tác bằng cách thiết lập một ngôn ngữ chung cho các giao dịch thanh toán trên toàn cầu và cung cấp một phương pháp thống nhất cho các tiêu chuẩn tài chính hiện hành. Việc thúc đẩy áp dụng toàn diện ISO 20022 trong Hệ thống Thanh toán Bán lẻ (RPS) và Hệ thống Thanh toán Giá trị lớn (LVPS) tại các quốc gia thành viên ASEAN sẽ đóng vai trò quan trọng trong việc tạo thuận lợi cho trao đổi dữ liệu điện tử giữa các tổ chức tài chính trên thế giới.</w:t>
            </w:r>
          </w:p>
          <w:p w14:paraId="27CF16FC" w14:textId="072FF0CF" w:rsidR="00470C18" w:rsidRPr="00516087" w:rsidRDefault="00363510"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hAnsi="Arial"/>
                <w:sz w:val="20"/>
                <w:szCs w:val="20"/>
                <w:lang w:val="en-GB"/>
              </w:rPr>
            </w:pPr>
            <w:r w:rsidRPr="00363510">
              <w:rPr>
                <w:rFonts w:ascii="Arial" w:hAnsi="Arial"/>
                <w:b/>
                <w:bCs/>
                <w:sz w:val="20"/>
                <w:szCs w:val="20"/>
                <w:lang w:val="vi-VN"/>
              </w:rPr>
              <w:t>Tăng cường mức độ phù hợp với các tiêu chuẩn toàn cầu:</w:t>
            </w:r>
            <w:r>
              <w:rPr>
                <w:rFonts w:ascii="Arial" w:hAnsi="Arial"/>
                <w:sz w:val="20"/>
                <w:szCs w:val="20"/>
                <w:lang w:val="vi-VN"/>
              </w:rPr>
              <w:t xml:space="preserve"> </w:t>
            </w:r>
            <w:r w:rsidRPr="00363510">
              <w:rPr>
                <w:rFonts w:ascii="Arial" w:hAnsi="Arial"/>
                <w:sz w:val="20"/>
                <w:szCs w:val="20"/>
                <w:lang w:val="vi-VN"/>
              </w:rPr>
              <w:t>Việc tăng cường phù hợp với các tiêu chuẩn quốc tế như CBPR+ và IP+ là quan trọng vì điều này đảm bảo tính nhất quán, giảm phân mảnh và nâng cao khả năng tương tác của các hệ thống thanh toán xuyên biên giới, từ đó thúc đẩy các giao dịch quốc tế trôi chảy và hiệu quả hơn.</w:t>
            </w:r>
          </w:p>
        </w:tc>
      </w:tr>
      <w:tr w:rsidR="00470C18" w:rsidRPr="004F1D15" w14:paraId="007CE301" w14:textId="77777777" w:rsidTr="6BB67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tcPr>
          <w:p w14:paraId="0AA0C4CF" w14:textId="03E47538" w:rsidR="00470C18" w:rsidRPr="004F1D15" w:rsidRDefault="0058647A" w:rsidP="00BF5F59">
            <w:pPr>
              <w:jc w:val="center"/>
              <w:rPr>
                <w:sz w:val="20"/>
                <w:szCs w:val="20"/>
              </w:rPr>
            </w:pPr>
            <w:r>
              <w:rPr>
                <w:sz w:val="20"/>
                <w:szCs w:val="20"/>
              </w:rPr>
              <w:t>6.2.6</w:t>
            </w:r>
            <w:r w:rsidR="004E5772" w:rsidRPr="004F1D15">
              <w:rPr>
                <w:sz w:val="20"/>
                <w:szCs w:val="20"/>
              </w:rPr>
              <w:t xml:space="preserve">.1 </w:t>
            </w:r>
            <w:r w:rsidR="000B04E5" w:rsidRPr="000B04E5">
              <w:rPr>
                <w:sz w:val="20"/>
                <w:szCs w:val="20"/>
              </w:rPr>
              <w:t>Hỗ trợ triển khai đầy đủ ISO 20022 trong Hệ thống Thanh toán Bán lẻ (RPS) và Hệ thống Thanh toán Giá trị lớn (LVPS) trên toàn các quốc gia thành viên ASEAN, đồng thời tăng cường mức độ tương thích với các tiêu chuẩn hướng dẫn thanh toán quốc tế</w:t>
            </w:r>
          </w:p>
        </w:tc>
        <w:tc>
          <w:tcPr>
            <w:tcW w:w="3764" w:type="dxa"/>
            <w:tcBorders>
              <w:left w:val="single" w:sz="4" w:space="0" w:color="156082"/>
              <w:right w:val="single" w:sz="4" w:space="0" w:color="156082"/>
            </w:tcBorders>
          </w:tcPr>
          <w:p w14:paraId="0B3AF7EC" w14:textId="153B65EB" w:rsidR="004E5772" w:rsidRPr="00516087" w:rsidRDefault="00D8680D" w:rsidP="00EB1EDB">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2114A1">
              <w:rPr>
                <w:rFonts w:ascii="Arial" w:eastAsia="DengXian" w:hAnsi="Arial"/>
                <w:b/>
                <w:bCs/>
                <w:sz w:val="20"/>
                <w:szCs w:val="20"/>
                <w:lang w:val="vi-VN"/>
              </w:rPr>
              <w:t xml:space="preserve">Hài hòa hóa quy định và điều chỉnh chính sách: </w:t>
            </w:r>
            <w:r w:rsidRPr="00D8680D">
              <w:rPr>
                <w:rFonts w:ascii="Arial" w:eastAsia="DengXian" w:hAnsi="Arial"/>
                <w:sz w:val="20"/>
                <w:szCs w:val="20"/>
                <w:lang w:val="vi-VN"/>
              </w:rPr>
              <w:t>Tổ chức các hội thảo và diễn đàn thường xuyên dành cho cơ quan quản lý và nhà hoạch định chính sách tại các quốc gia thành viên ASEAN (AMS) nhằm cùng nhau giải quyết các thách thức về quy định, điều chỉnh chính sách phục vụ việc áp dụng ISO 20022 trong Hệ thống Thanh toán Bán lẻ (RPS) và Hệ thống Thanh toán Giá trị lớn (LVPS), đồng thời thúc đẩy sự tương thích với các tiêu chuẩn hướng dẫn thanh toán quốc tế như CBPR+ (Cross-border Payments and Reporting Plus), ISO 20022 IP+ Guidelines, và các yêu cầu hài hòa hóa của Ủy ban về Hệ thống Thanh toán và Cơ sở hạ tầng Thị trường (CPMI).</w:t>
            </w:r>
          </w:p>
          <w:p w14:paraId="4840C72B" w14:textId="0E28DFC5" w:rsidR="00470C18" w:rsidRPr="00516087" w:rsidRDefault="002114A1" w:rsidP="00625749">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2114A1">
              <w:rPr>
                <w:rFonts w:ascii="Arial" w:eastAsia="DengXian" w:hAnsi="Arial"/>
                <w:b/>
                <w:bCs/>
                <w:sz w:val="20"/>
                <w:szCs w:val="20"/>
                <w:lang w:val="vi-VN"/>
              </w:rPr>
              <w:t xml:space="preserve">Hợp tác và phối hợp liên chính phủ: </w:t>
            </w:r>
            <w:r w:rsidRPr="002114A1">
              <w:rPr>
                <w:rFonts w:ascii="Arial" w:eastAsia="DengXian" w:hAnsi="Arial"/>
                <w:sz w:val="20"/>
                <w:szCs w:val="20"/>
                <w:lang w:val="vi-VN"/>
              </w:rPr>
              <w:t xml:space="preserve">Thành lập một lực lượng công tác liên chính phủ để giám sát và điều phối việc áp dụng ISO 20022 trên toàn khu vực, cũng như thúc đẩy sự tương thích với các tiêu chuẩn toàn cầu như CBPR+ và IP+ </w:t>
            </w:r>
            <w:r w:rsidRPr="002114A1">
              <w:rPr>
                <w:rFonts w:ascii="Arial" w:eastAsia="DengXian" w:hAnsi="Arial"/>
                <w:sz w:val="20"/>
                <w:szCs w:val="20"/>
                <w:lang w:val="vi-VN"/>
              </w:rPr>
              <w:lastRenderedPageBreak/>
              <w:t>thông qua đối thoại định kỳ và chia sẻ tri thức giữa các chính phủ AMS.</w:t>
            </w:r>
          </w:p>
          <w:p w14:paraId="3E37C426" w14:textId="5086B084" w:rsidR="00470C18" w:rsidRPr="00516087" w:rsidRDefault="002114A1" w:rsidP="00625749">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2114A1">
              <w:rPr>
                <w:rFonts w:ascii="Arial" w:eastAsia="DengXian" w:hAnsi="Arial"/>
                <w:b/>
                <w:sz w:val="20"/>
                <w:szCs w:val="20"/>
                <w:lang w:val="vi-VN"/>
              </w:rPr>
              <w:t>Xây dựng Hướng dẫn Thực hành Thị trường (Market Practices Guide) cho thanh toán xuyên biên giới trong ASEAN:</w:t>
            </w:r>
            <w:r w:rsidRPr="002114A1">
              <w:rPr>
                <w:rFonts w:ascii="Arial" w:eastAsia="DengXian" w:hAnsi="Arial"/>
                <w:bCs/>
                <w:sz w:val="20"/>
                <w:szCs w:val="20"/>
                <w:lang w:val="vi-VN"/>
              </w:rPr>
              <w:t xml:space="preserve"> Xây dựng một bộ Hướng dẫn Thực hành Thị trường nhằm cung cấp chỉ dẫn cho các AMS về cách thức tuân thủ và triển khai các tiêu chuẩn toàn cầu như CBPR+ hoặc IP+ trong bối cảnh khu vực ASEAN.</w:t>
            </w:r>
          </w:p>
        </w:tc>
        <w:tc>
          <w:tcPr>
            <w:tcW w:w="3764" w:type="dxa"/>
            <w:gridSpan w:val="2"/>
            <w:tcBorders>
              <w:left w:val="single" w:sz="4" w:space="0" w:color="156082"/>
              <w:right w:val="single" w:sz="4" w:space="0" w:color="156082"/>
            </w:tcBorders>
          </w:tcPr>
          <w:p w14:paraId="3E67DFEE" w14:textId="55CBC753" w:rsidR="00470C18" w:rsidRPr="004F1D15" w:rsidRDefault="002114A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lang w:val="vi-VN"/>
              </w:rPr>
              <w:lastRenderedPageBreak/>
              <w:t>Ngắn hạn</w:t>
            </w:r>
            <w:r w:rsidR="00470C18" w:rsidRPr="004F1D15">
              <w:rPr>
                <w:sz w:val="20"/>
                <w:szCs w:val="20"/>
              </w:rPr>
              <w:t>:</w:t>
            </w:r>
          </w:p>
          <w:p w14:paraId="394F1F75" w14:textId="77777777" w:rsidR="00FD737A" w:rsidRPr="00FD737A" w:rsidRDefault="00FD737A" w:rsidP="00FD737A">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FD737A">
              <w:rPr>
                <w:rFonts w:ascii="Arial" w:eastAsia="DengXian" w:hAnsi="Arial"/>
                <w:sz w:val="20"/>
                <w:szCs w:val="20"/>
                <w:lang w:val="en-GB"/>
              </w:rPr>
              <w:t>Tổ chức các hội thảo ban đầu để thảo luận về bối cảnh quy định hiện hành, xác định các thách thức và các lĩnh vực cần điều chỉnh.</w:t>
            </w:r>
          </w:p>
          <w:p w14:paraId="2B76A7D1" w14:textId="4A738DB9" w:rsidR="00FD737A" w:rsidRPr="00FD737A" w:rsidRDefault="00FD737A" w:rsidP="00FD737A">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FD737A">
              <w:rPr>
                <w:rFonts w:ascii="Arial" w:eastAsia="DengXian" w:hAnsi="Arial"/>
                <w:sz w:val="20"/>
                <w:szCs w:val="20"/>
                <w:lang w:val="en-GB"/>
              </w:rPr>
              <w:t>Thành lập lực lượng công tác liên chính phủ gồm đại diện từ tất cả các AMS.</w:t>
            </w:r>
          </w:p>
          <w:p w14:paraId="0210CE60" w14:textId="73966F5E" w:rsidR="00FD737A" w:rsidRPr="00FD737A" w:rsidRDefault="00FD737A" w:rsidP="00FD737A">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FD737A">
              <w:rPr>
                <w:rFonts w:ascii="Arial" w:eastAsia="DengXian" w:hAnsi="Arial"/>
                <w:sz w:val="20"/>
                <w:szCs w:val="20"/>
                <w:lang w:val="en-GB"/>
              </w:rPr>
              <w:t>Xác định rõ mục tiêu và phạm vi hoạt động của lực lượng công tác.</w:t>
            </w:r>
          </w:p>
          <w:p w14:paraId="075B647F" w14:textId="6153FB04" w:rsidR="00B81328" w:rsidRPr="00FD737A" w:rsidRDefault="00FD737A" w:rsidP="00FD737A">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FD737A">
              <w:rPr>
                <w:rFonts w:ascii="Arial" w:eastAsia="DengXian" w:hAnsi="Arial"/>
                <w:sz w:val="20"/>
                <w:szCs w:val="20"/>
                <w:lang w:val="en-GB"/>
              </w:rPr>
              <w:t>Xây dựng bản thảo đầu tiên của Hướng dẫn Thực hành Thị trường dành riêng cho ASEAN, dựa trên các tiêu chuẩn toàn cầu như CBPR+ và IP+ làm chuẩn mực đối chiếu cho thanh toán xuyên biên giới.</w:t>
            </w:r>
          </w:p>
          <w:p w14:paraId="08161D7D" w14:textId="77777777" w:rsidR="004321DC" w:rsidRPr="00C33D2B" w:rsidRDefault="004321DC" w:rsidP="004321DC">
            <w:pPr>
              <w:pStyle w:val="ListParagraph"/>
              <w:numPr>
                <w:ilvl w:val="0"/>
                <w:numId w:val="0"/>
              </w:numPr>
              <w:spacing w:after="0"/>
              <w:ind w:left="36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p>
          <w:p w14:paraId="505BD445" w14:textId="079FC6CD" w:rsidR="00470C18" w:rsidRPr="004F1D15" w:rsidRDefault="00FD737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Trung</w:t>
            </w:r>
            <w:r>
              <w:rPr>
                <w:sz w:val="20"/>
                <w:szCs w:val="20"/>
                <w:lang w:val="vi-VN"/>
              </w:rPr>
              <w:t xml:space="preserve"> hạn</w:t>
            </w:r>
            <w:r w:rsidR="00470C18" w:rsidRPr="004F1D15">
              <w:rPr>
                <w:sz w:val="20"/>
                <w:szCs w:val="20"/>
              </w:rPr>
              <w:t>:</w:t>
            </w:r>
          </w:p>
          <w:p w14:paraId="56E22409" w14:textId="77777777" w:rsidR="004F716D" w:rsidRPr="004F716D" w:rsidRDefault="004F716D" w:rsidP="004F716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bCs/>
                <w:sz w:val="20"/>
                <w:szCs w:val="20"/>
                <w:lang w:val="en-GB"/>
              </w:rPr>
            </w:pPr>
            <w:r w:rsidRPr="004F716D">
              <w:rPr>
                <w:rFonts w:ascii="Arial" w:eastAsia="DengXian" w:hAnsi="Arial"/>
                <w:bCs/>
                <w:sz w:val="20"/>
                <w:szCs w:val="20"/>
                <w:lang w:val="en-GB"/>
              </w:rPr>
              <w:t>Tiếp tục tổ chức các hội thảo và diễn đàn định kỳ để giải quyết các thách thức quy định cụ thể và thúc đẩy điều chỉnh chính sách, cũng như tăng cường tương thích với tiêu chuẩn toàn cầu.</w:t>
            </w:r>
          </w:p>
          <w:p w14:paraId="3C8D50DA" w14:textId="615553D6" w:rsidR="004F716D" w:rsidRPr="004F716D" w:rsidRDefault="004F716D" w:rsidP="004F716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bCs/>
                <w:sz w:val="20"/>
                <w:szCs w:val="20"/>
                <w:lang w:val="en-GB"/>
              </w:rPr>
            </w:pPr>
            <w:r w:rsidRPr="004F716D">
              <w:rPr>
                <w:rFonts w:ascii="Arial" w:eastAsia="DengXian" w:hAnsi="Arial"/>
                <w:bCs/>
                <w:sz w:val="20"/>
                <w:szCs w:val="20"/>
                <w:lang w:val="en-GB"/>
              </w:rPr>
              <w:lastRenderedPageBreak/>
              <w:t>Xây dựng và phổ biến dự thảo các khuyến nghị chính sách dựa trên kết quả hội thảo.</w:t>
            </w:r>
          </w:p>
          <w:p w14:paraId="14637E09" w14:textId="00B4E09A" w:rsidR="004F716D" w:rsidRPr="004F716D" w:rsidRDefault="004F716D" w:rsidP="004F716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bCs/>
                <w:sz w:val="20"/>
                <w:szCs w:val="20"/>
                <w:lang w:val="en-GB"/>
              </w:rPr>
            </w:pPr>
            <w:r w:rsidRPr="004F716D">
              <w:rPr>
                <w:rFonts w:ascii="Arial" w:eastAsia="DengXian" w:hAnsi="Arial"/>
                <w:bCs/>
                <w:sz w:val="20"/>
                <w:szCs w:val="20"/>
                <w:lang w:val="en-GB"/>
              </w:rPr>
              <w:t>Tham vấn các bên liên quan để thu thập phản hồi đối với dự thảo khuyến nghị.</w:t>
            </w:r>
          </w:p>
          <w:p w14:paraId="47E6D3A5" w14:textId="7CC55A85" w:rsidR="004F716D" w:rsidRPr="004F716D" w:rsidRDefault="004F716D" w:rsidP="004F716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bCs/>
                <w:sz w:val="20"/>
                <w:szCs w:val="20"/>
                <w:lang w:val="en-GB"/>
              </w:rPr>
            </w:pPr>
            <w:r w:rsidRPr="004F716D">
              <w:rPr>
                <w:rFonts w:ascii="Arial" w:eastAsia="DengXian" w:hAnsi="Arial"/>
                <w:bCs/>
                <w:sz w:val="20"/>
                <w:szCs w:val="20"/>
                <w:lang w:val="en-GB"/>
              </w:rPr>
              <w:t>Khởi động các dự án thí điểm về điều chỉnh theo tiêu chuẩn toàn cầu như CBPR+ và IP+ tại một số AMS nhằm kiểm nghiệm và hoàn thiện chính sách và chiến lược phối hợp.</w:t>
            </w:r>
          </w:p>
          <w:p w14:paraId="564E9F30" w14:textId="1776FE57" w:rsidR="00775B66" w:rsidRPr="004F716D" w:rsidRDefault="004F716D" w:rsidP="004F716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bCs/>
                <w:sz w:val="20"/>
                <w:szCs w:val="20"/>
                <w:lang w:val="en-GB"/>
              </w:rPr>
            </w:pPr>
            <w:r w:rsidRPr="004F716D">
              <w:rPr>
                <w:rFonts w:ascii="Arial" w:eastAsia="DengXian" w:hAnsi="Arial"/>
                <w:bCs/>
                <w:sz w:val="20"/>
                <w:szCs w:val="20"/>
                <w:lang w:val="en-GB"/>
              </w:rPr>
              <w:t>Hoàn thiện Hướng dẫn Thực hành Thị trường, giải quyết các khoảng trống hoặc vấn đề được phát hiện, tập trung vào tăng cường tương thích với các tiêu chuẩn toàn cầu giữa các quốc gia thành viên.</w:t>
            </w:r>
          </w:p>
          <w:p w14:paraId="6A6D69E8" w14:textId="77777777" w:rsidR="00775B66" w:rsidRPr="00775B66" w:rsidRDefault="00775B66" w:rsidP="00775B66">
            <w:pPr>
              <w:cnfStyle w:val="000000100000" w:firstRow="0" w:lastRow="0" w:firstColumn="0" w:lastColumn="0" w:oddVBand="0" w:evenVBand="0" w:oddHBand="1" w:evenHBand="0" w:firstRowFirstColumn="0" w:firstRowLastColumn="0" w:lastRowFirstColumn="0" w:lastRowLastColumn="0"/>
              <w:rPr>
                <w:sz w:val="20"/>
                <w:szCs w:val="20"/>
              </w:rPr>
            </w:pPr>
          </w:p>
          <w:p w14:paraId="350DBBBB" w14:textId="0E3417B3" w:rsidR="004E5772" w:rsidRPr="00230C14" w:rsidRDefault="004F716D" w:rsidP="00230C14">
            <w:pPr>
              <w:cnfStyle w:val="000000100000" w:firstRow="0" w:lastRow="0" w:firstColumn="0" w:lastColumn="0" w:oddVBand="0" w:evenVBand="0" w:oddHBand="1" w:evenHBand="0" w:firstRowFirstColumn="0" w:firstRowLastColumn="0" w:lastRowFirstColumn="0" w:lastRowLastColumn="0"/>
              <w:rPr>
                <w:sz w:val="20"/>
                <w:szCs w:val="20"/>
                <w:lang w:val="vi-VN"/>
              </w:rPr>
            </w:pPr>
            <w:r>
              <w:rPr>
                <w:sz w:val="20"/>
                <w:szCs w:val="20"/>
              </w:rPr>
              <w:t>Dài</w:t>
            </w:r>
            <w:r>
              <w:rPr>
                <w:sz w:val="20"/>
                <w:szCs w:val="20"/>
                <w:lang w:val="vi-VN"/>
              </w:rPr>
              <w:t xml:space="preserve"> hạn</w:t>
            </w:r>
            <w:r w:rsidR="00470C18" w:rsidRPr="004F1D15">
              <w:rPr>
                <w:sz w:val="20"/>
                <w:szCs w:val="20"/>
              </w:rPr>
              <w:t>:</w:t>
            </w:r>
          </w:p>
          <w:p w14:paraId="2DD89878" w14:textId="77777777" w:rsidR="00230C14" w:rsidRPr="00230C14" w:rsidRDefault="00230C14" w:rsidP="00230C14">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230C14">
              <w:rPr>
                <w:rFonts w:ascii="Arial" w:eastAsia="DengXian" w:hAnsi="Arial"/>
                <w:sz w:val="20"/>
                <w:szCs w:val="20"/>
                <w:lang w:val="en-GB"/>
              </w:rPr>
              <w:t>Nhân rộng các dự án thí điểm thành công trên toàn bộ AMS, bảo đảm tăng cường mức độ điều chỉnh theo tiêu chuẩn toàn cầu như CBPR+ và IP+.</w:t>
            </w:r>
          </w:p>
          <w:p w14:paraId="695DFFDE" w14:textId="1B709AB4" w:rsidR="00230C14" w:rsidRPr="00230C14" w:rsidRDefault="00230C14" w:rsidP="00230C14">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230C14">
              <w:rPr>
                <w:rFonts w:ascii="Arial" w:eastAsia="DengXian" w:hAnsi="Arial"/>
                <w:sz w:val="20"/>
                <w:szCs w:val="20"/>
                <w:lang w:val="en-GB"/>
              </w:rPr>
              <w:t>Tăng cường mức độ tương thích với các tiêu chuẩn toàn cầu gồm CBPR+, IP+ Guidelines, và các yêu cầu hài hòa hóa của CPMI.</w:t>
            </w:r>
          </w:p>
          <w:p w14:paraId="562DE467" w14:textId="7137456D" w:rsidR="00230C14" w:rsidRPr="00230C14" w:rsidRDefault="00230C14" w:rsidP="00230C14">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230C14">
              <w:rPr>
                <w:rFonts w:ascii="Arial" w:eastAsia="DengXian" w:hAnsi="Arial"/>
                <w:sz w:val="20"/>
                <w:szCs w:val="20"/>
                <w:lang w:val="en-GB"/>
              </w:rPr>
              <w:t>Triển khai đầy đủ ISO 20022 tại tất cả các AMS.</w:t>
            </w:r>
          </w:p>
          <w:p w14:paraId="39A02DD1" w14:textId="7CA239F9" w:rsidR="00230C14" w:rsidRPr="00230C14" w:rsidRDefault="00230C14" w:rsidP="00230C14">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230C14">
              <w:rPr>
                <w:rFonts w:ascii="Arial" w:eastAsia="DengXian" w:hAnsi="Arial"/>
                <w:sz w:val="20"/>
                <w:szCs w:val="20"/>
                <w:lang w:val="en-GB"/>
              </w:rPr>
              <w:t>Thiết lập cơ chế giám sát và đánh giá nhằm đo lường tác động và hiệu quả của các thay đổi chính sách.</w:t>
            </w:r>
          </w:p>
          <w:p w14:paraId="431EB052" w14:textId="5957C0F0" w:rsidR="00470C18" w:rsidRPr="00230C14" w:rsidRDefault="00230C14" w:rsidP="00230C14">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230C14">
              <w:rPr>
                <w:rFonts w:ascii="Arial" w:eastAsia="DengXian" w:hAnsi="Arial"/>
                <w:sz w:val="20"/>
                <w:szCs w:val="20"/>
                <w:lang w:val="en-GB"/>
              </w:rPr>
              <w:lastRenderedPageBreak/>
              <w:t>Thiết lập cơ chế cập nhật thường xuyên Hướng dẫn Thực hành Thị trường, đảm bảo tài liệu này luôn phù hợp với các tiêu chuẩn thanh toán toàn cầu đang phát triển và tiếp tục có giá trị đối với các đổi mới trong thanh toán xuyên biên giới.</w:t>
            </w:r>
          </w:p>
        </w:tc>
        <w:tc>
          <w:tcPr>
            <w:tcW w:w="2318" w:type="dxa"/>
            <w:gridSpan w:val="2"/>
            <w:tcBorders>
              <w:left w:val="single" w:sz="4" w:space="0" w:color="156082"/>
              <w:right w:val="single" w:sz="4" w:space="0" w:color="156082"/>
            </w:tcBorders>
          </w:tcPr>
          <w:p w14:paraId="516DD7B7" w14:textId="57609A48" w:rsidR="00470C18" w:rsidRPr="004F1D15" w:rsidRDefault="000C7E9C">
            <w:pPr>
              <w:cnfStyle w:val="000000100000" w:firstRow="0" w:lastRow="0" w:firstColumn="0" w:lastColumn="0" w:oddVBand="0" w:evenVBand="0" w:oddHBand="1" w:evenHBand="0" w:firstRowFirstColumn="0" w:firstRowLastColumn="0" w:lastRowFirstColumn="0" w:lastRowLastColumn="0"/>
              <w:rPr>
                <w:sz w:val="20"/>
                <w:szCs w:val="20"/>
              </w:rPr>
            </w:pPr>
            <w:r w:rsidRPr="000C7E9C">
              <w:rPr>
                <w:sz w:val="20"/>
                <w:szCs w:val="20"/>
                <w:lang w:val="vi-VN"/>
              </w:rPr>
              <w:lastRenderedPageBreak/>
              <w:t>Cơ quan ngành</w:t>
            </w:r>
            <w:r>
              <w:rPr>
                <w:sz w:val="20"/>
                <w:szCs w:val="20"/>
                <w:lang w:val="vi-VN"/>
              </w:rPr>
              <w:t xml:space="preserve"> điều phối</w:t>
            </w:r>
            <w:r w:rsidR="008828E7">
              <w:rPr>
                <w:sz w:val="20"/>
                <w:szCs w:val="20"/>
              </w:rPr>
              <w:t>:</w:t>
            </w:r>
          </w:p>
          <w:p w14:paraId="66619291" w14:textId="00908DF0" w:rsidR="004E5772" w:rsidRDefault="000C7E9C" w:rsidP="00C82E4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0C7E9C">
              <w:rPr>
                <w:rFonts w:ascii="Arial" w:eastAsia="DengXian" w:hAnsi="Arial"/>
                <w:sz w:val="20"/>
                <w:szCs w:val="20"/>
                <w:lang w:val="vi-VN"/>
              </w:rPr>
              <w:t xml:space="preserve">Ủy ban Công tác về Hệ thống Thanh toán và Bù trừ </w:t>
            </w:r>
            <w:r w:rsidR="0008023F">
              <w:rPr>
                <w:rFonts w:ascii="Arial" w:eastAsia="DengXian" w:hAnsi="Arial"/>
                <w:sz w:val="20"/>
                <w:szCs w:val="20"/>
                <w:lang w:val="en-AU"/>
              </w:rPr>
              <w:t>(</w:t>
            </w:r>
            <w:r w:rsidRPr="000C7E9C">
              <w:rPr>
                <w:rFonts w:ascii="Arial" w:eastAsia="DengXian" w:hAnsi="Arial"/>
                <w:sz w:val="20"/>
                <w:szCs w:val="20"/>
                <w:lang w:val="vi-VN"/>
              </w:rPr>
              <w:t>WC-PSS)</w:t>
            </w:r>
            <w:r w:rsidR="004E5772" w:rsidRPr="004F1D15">
              <w:rPr>
                <w:rFonts w:ascii="Arial" w:eastAsia="DengXian" w:hAnsi="Arial"/>
                <w:sz w:val="20"/>
                <w:szCs w:val="20"/>
                <w:lang w:val="en-GB"/>
              </w:rPr>
              <w:t>​</w:t>
            </w:r>
          </w:p>
          <w:p w14:paraId="3A8B2B4D" w14:textId="37F83ADE" w:rsidR="00BB3C27" w:rsidRDefault="00BB3C27" w:rsidP="00BB3C27">
            <w:pPr>
              <w:pStyle w:val="ListParagraph"/>
              <w:numPr>
                <w:ilvl w:val="0"/>
                <w:numId w:val="0"/>
              </w:numPr>
              <w:spacing w:after="0"/>
              <w:ind w:left="36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p>
          <w:p w14:paraId="2889E9F3" w14:textId="77777777" w:rsidR="00210C75" w:rsidRPr="004F1D15" w:rsidRDefault="00210C75" w:rsidP="00210C75">
            <w:pPr>
              <w:pStyle w:val="ListParagraph"/>
              <w:numPr>
                <w:ilvl w:val="0"/>
                <w:numId w:val="0"/>
              </w:numPr>
              <w:spacing w:after="0"/>
              <w:ind w:left="36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p>
          <w:p w14:paraId="586A05B4" w14:textId="31F489F1" w:rsidR="00470C18" w:rsidRPr="004F1D15" w:rsidRDefault="00470C18" w:rsidP="00060300">
            <w:pPr>
              <w:pStyle w:val="ListParagraph"/>
              <w:numPr>
                <w:ilvl w:val="0"/>
                <w:numId w:val="0"/>
              </w:numPr>
              <w:spacing w:after="0"/>
              <w:ind w:left="36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p>
        </w:tc>
        <w:tc>
          <w:tcPr>
            <w:tcW w:w="3774" w:type="dxa"/>
            <w:gridSpan w:val="2"/>
            <w:tcBorders>
              <w:left w:val="single" w:sz="4" w:space="0" w:color="156082"/>
            </w:tcBorders>
          </w:tcPr>
          <w:p w14:paraId="653DCDBF" w14:textId="79386F73" w:rsidR="00470C18" w:rsidRPr="004F1D15" w:rsidRDefault="009C6FFD">
            <w:pPr>
              <w:cnfStyle w:val="000000100000" w:firstRow="0" w:lastRow="0" w:firstColumn="0" w:lastColumn="0" w:oddVBand="0" w:evenVBand="0" w:oddHBand="1" w:evenHBand="0" w:firstRowFirstColumn="0" w:firstRowLastColumn="0" w:lastRowFirstColumn="0" w:lastRowLastColumn="0"/>
              <w:rPr>
                <w:sz w:val="20"/>
                <w:szCs w:val="20"/>
              </w:rPr>
            </w:pPr>
            <w:r w:rsidRPr="009C6FFD">
              <w:rPr>
                <w:sz w:val="20"/>
                <w:szCs w:val="20"/>
                <w:lang w:val="vi-VN"/>
              </w:rPr>
              <w:t>Các chỉ số đo lường tiến độ chung gồm</w:t>
            </w:r>
            <w:r w:rsidR="00470C18" w:rsidRPr="004F1D15">
              <w:rPr>
                <w:sz w:val="20"/>
                <w:szCs w:val="20"/>
              </w:rPr>
              <w:t>:</w:t>
            </w:r>
          </w:p>
          <w:p w14:paraId="50930088" w14:textId="77777777" w:rsidR="009C6FFD" w:rsidRPr="009C6FFD" w:rsidRDefault="009C6FFD" w:rsidP="009C6FFD">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b/>
                <w:color w:val="auto"/>
                <w:sz w:val="20"/>
                <w:szCs w:val="20"/>
                <w:lang w:val="en-GB"/>
              </w:rPr>
            </w:pPr>
            <w:r w:rsidRPr="009C6FFD">
              <w:rPr>
                <w:rFonts w:ascii="Arial" w:hAnsi="Arial"/>
                <w:b/>
                <w:color w:val="auto"/>
                <w:sz w:val="20"/>
                <w:szCs w:val="20"/>
                <w:lang w:val="en-GB"/>
              </w:rPr>
              <w:t xml:space="preserve">Gia tăng số lượng AMS áp dụng ISO 20022 trong RPS và LVPS: </w:t>
            </w:r>
            <w:r w:rsidRPr="009C6FFD">
              <w:rPr>
                <w:rFonts w:ascii="Arial" w:hAnsi="Arial"/>
                <w:bCs/>
                <w:color w:val="auto"/>
                <w:sz w:val="20"/>
                <w:szCs w:val="20"/>
                <w:lang w:val="en-GB"/>
              </w:rPr>
              <w:t>Theo dõi mức tăng số quốc gia thành viên triển khai tiêu chuẩn này.</w:t>
            </w:r>
          </w:p>
          <w:p w14:paraId="32884523" w14:textId="0BB212D8" w:rsidR="009C6FFD" w:rsidRPr="009C6FFD" w:rsidRDefault="009C6FFD" w:rsidP="009C6FFD">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b/>
                <w:color w:val="auto"/>
                <w:sz w:val="20"/>
                <w:szCs w:val="20"/>
                <w:lang w:val="en-GB"/>
              </w:rPr>
            </w:pPr>
            <w:r w:rsidRPr="009C6FFD">
              <w:rPr>
                <w:rFonts w:ascii="Arial" w:hAnsi="Arial"/>
                <w:b/>
                <w:color w:val="auto"/>
                <w:sz w:val="20"/>
                <w:szCs w:val="20"/>
                <w:lang w:val="en-GB"/>
              </w:rPr>
              <w:t xml:space="preserve">Hiệu quả của hợp tác và phối hợp liên chính phủ: </w:t>
            </w:r>
            <w:r w:rsidRPr="009C6FFD">
              <w:rPr>
                <w:rFonts w:ascii="Arial" w:hAnsi="Arial"/>
                <w:bCs/>
                <w:color w:val="auto"/>
                <w:sz w:val="20"/>
                <w:szCs w:val="20"/>
                <w:lang w:val="en-GB"/>
              </w:rPr>
              <w:t>Giám sát số lượng và chất lượng các cuộc họp của lực lượng công tác, cũng như tiến độ hoàn thành các đầu ra như dự án thí điểm.</w:t>
            </w:r>
          </w:p>
          <w:p w14:paraId="30D1207D" w14:textId="3DB215C9" w:rsidR="009C6FFD" w:rsidRPr="009C6FFD" w:rsidRDefault="009C6FFD" w:rsidP="009C6FFD">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b/>
                <w:color w:val="auto"/>
                <w:sz w:val="20"/>
                <w:szCs w:val="20"/>
                <w:lang w:val="en-GB"/>
              </w:rPr>
            </w:pPr>
            <w:r w:rsidRPr="009C6FFD">
              <w:rPr>
                <w:rFonts w:ascii="Arial" w:hAnsi="Arial"/>
                <w:b/>
                <w:color w:val="auto"/>
                <w:sz w:val="20"/>
                <w:szCs w:val="20"/>
                <w:lang w:val="en-GB"/>
              </w:rPr>
              <w:t xml:space="preserve">Mức độ triển khai khuyến nghị chính sách: </w:t>
            </w:r>
            <w:r w:rsidRPr="009C6FFD">
              <w:rPr>
                <w:rFonts w:ascii="Arial" w:hAnsi="Arial"/>
                <w:bCs/>
                <w:color w:val="auto"/>
                <w:sz w:val="20"/>
                <w:szCs w:val="20"/>
                <w:lang w:val="en-GB"/>
              </w:rPr>
              <w:t>Đánh giá mức độ các AMS áp dụng các khuyến nghị được đề xuất và tiến độ triển khai ISO 20022.</w:t>
            </w:r>
          </w:p>
          <w:p w14:paraId="648512F9" w14:textId="0AD87B7E" w:rsidR="004E5772" w:rsidRPr="009C6FFD" w:rsidRDefault="009C6FFD" w:rsidP="009C6FFD">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b/>
                <w:color w:val="auto"/>
                <w:sz w:val="20"/>
                <w:szCs w:val="20"/>
                <w:lang w:val="en-GB"/>
              </w:rPr>
            </w:pPr>
            <w:r w:rsidRPr="009C6FFD">
              <w:rPr>
                <w:rFonts w:ascii="Arial" w:hAnsi="Arial"/>
                <w:b/>
                <w:color w:val="auto"/>
                <w:sz w:val="20"/>
                <w:szCs w:val="20"/>
                <w:lang w:val="en-GB"/>
              </w:rPr>
              <w:t xml:space="preserve">Xây dựng Hướng dẫn Thực hành Thị trường: </w:t>
            </w:r>
            <w:r w:rsidRPr="009C6FFD">
              <w:rPr>
                <w:rFonts w:ascii="Arial" w:hAnsi="Arial"/>
                <w:bCs/>
                <w:color w:val="auto"/>
                <w:sz w:val="20"/>
                <w:szCs w:val="20"/>
                <w:lang w:val="en-GB"/>
              </w:rPr>
              <w:t>Theo dõi quá trình xây dựng, hoàn thiện và phổ biến hướng dẫn về cách điều chỉnh theo tiêu chuẩn toàn cầu như CBPR+ hoặc IP+.</w:t>
            </w:r>
          </w:p>
          <w:p w14:paraId="0387816D" w14:textId="78C629C8" w:rsidR="00470C18" w:rsidRPr="004F1D15" w:rsidRDefault="00470C18">
            <w:pPr>
              <w:cnfStyle w:val="000000100000" w:firstRow="0" w:lastRow="0" w:firstColumn="0" w:lastColumn="0" w:oddVBand="0" w:evenVBand="0" w:oddHBand="1" w:evenHBand="0" w:firstRowFirstColumn="0" w:firstRowLastColumn="0" w:lastRowFirstColumn="0" w:lastRowLastColumn="0"/>
              <w:rPr>
                <w:sz w:val="20"/>
                <w:szCs w:val="20"/>
              </w:rPr>
            </w:pPr>
          </w:p>
        </w:tc>
      </w:tr>
    </w:tbl>
    <w:p w14:paraId="5CB98592" w14:textId="77777777" w:rsidR="00470C18" w:rsidRPr="004F1D15" w:rsidRDefault="00470C18" w:rsidP="00470C18"/>
    <w:p w14:paraId="6D797298" w14:textId="77777777" w:rsidR="00273100" w:rsidRDefault="00273100">
      <w:pPr>
        <w:spacing w:line="259" w:lineRule="auto"/>
        <w:jc w:val="left"/>
        <w:rPr>
          <w:rFonts w:eastAsia="Arial"/>
          <w:i/>
          <w:color w:val="657C9C" w:themeColor="text2" w:themeTint="BF"/>
          <w:sz w:val="20"/>
          <w:szCs w:val="20"/>
        </w:rPr>
      </w:pPr>
      <w:r>
        <w:rPr>
          <w:sz w:val="20"/>
        </w:rPr>
        <w:br w:type="page"/>
      </w:r>
    </w:p>
    <w:p w14:paraId="7F6D5615" w14:textId="770A87F9" w:rsidR="005A7FFA" w:rsidRPr="004F1D15" w:rsidRDefault="00900A4F" w:rsidP="00C82E40">
      <w:pPr>
        <w:pStyle w:val="Heading4"/>
        <w:rPr>
          <w:sz w:val="20"/>
          <w:lang w:val="en-GB"/>
        </w:rPr>
      </w:pPr>
      <w:r>
        <w:rPr>
          <w:sz w:val="20"/>
          <w:lang w:val="en-GB"/>
        </w:rPr>
        <w:lastRenderedPageBreak/>
        <w:t>Danh</w:t>
      </w:r>
      <w:r>
        <w:rPr>
          <w:sz w:val="20"/>
          <w:lang w:val="vi-VN"/>
        </w:rPr>
        <w:t xml:space="preserve"> mục</w:t>
      </w:r>
      <w:r w:rsidR="00CC6EE0" w:rsidRPr="004F1D15">
        <w:rPr>
          <w:sz w:val="20"/>
          <w:lang w:val="en-GB"/>
        </w:rPr>
        <w:t xml:space="preserve"> </w:t>
      </w:r>
      <w:r w:rsidR="005A7FFA" w:rsidRPr="004F1D15">
        <w:rPr>
          <w:sz w:val="20"/>
          <w:lang w:val="en-GB"/>
        </w:rPr>
        <w:t xml:space="preserve">2: </w:t>
      </w:r>
      <w:r>
        <w:rPr>
          <w:sz w:val="20"/>
          <w:lang w:val="en-GB"/>
        </w:rPr>
        <w:t>Nâng</w:t>
      </w:r>
      <w:r>
        <w:rPr>
          <w:sz w:val="20"/>
          <w:lang w:val="vi-VN"/>
        </w:rPr>
        <w:t xml:space="preserve"> cao năng lực và hỗ trợ kỹ thuật</w:t>
      </w:r>
    </w:p>
    <w:tbl>
      <w:tblPr>
        <w:tblStyle w:val="ListTable3-Accent11"/>
        <w:tblW w:w="15314" w:type="dxa"/>
        <w:tblLook w:val="04A0" w:firstRow="1" w:lastRow="0" w:firstColumn="1" w:lastColumn="0" w:noHBand="0" w:noVBand="1"/>
      </w:tblPr>
      <w:tblGrid>
        <w:gridCol w:w="1694"/>
        <w:gridCol w:w="3764"/>
        <w:gridCol w:w="7"/>
        <w:gridCol w:w="3757"/>
        <w:gridCol w:w="15"/>
        <w:gridCol w:w="2303"/>
        <w:gridCol w:w="14"/>
        <w:gridCol w:w="3760"/>
      </w:tblGrid>
      <w:tr w:rsidR="00470C18" w:rsidRPr="004F1D15" w14:paraId="719239F2" w14:textId="77777777" w:rsidTr="00AC0A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4" w:type="dxa"/>
            <w:tcBorders>
              <w:bottom w:val="single" w:sz="4" w:space="0" w:color="156082"/>
            </w:tcBorders>
            <w:shd w:val="clear" w:color="auto" w:fill="002060"/>
          </w:tcPr>
          <w:p w14:paraId="5D3C1A43" w14:textId="19185F13" w:rsidR="00470C18" w:rsidRPr="00900A4F" w:rsidRDefault="00900A4F" w:rsidP="00BF5F59">
            <w:pPr>
              <w:jc w:val="center"/>
              <w:rPr>
                <w:sz w:val="20"/>
                <w:szCs w:val="20"/>
                <w:lang w:val="vi-VN"/>
              </w:rPr>
            </w:pPr>
            <w:r>
              <w:rPr>
                <w:sz w:val="20"/>
                <w:szCs w:val="20"/>
              </w:rPr>
              <w:t>Khu</w:t>
            </w:r>
            <w:r>
              <w:rPr>
                <w:sz w:val="20"/>
                <w:szCs w:val="20"/>
                <w:lang w:val="vi-VN"/>
              </w:rPr>
              <w:t xml:space="preserve"> vực hành động</w:t>
            </w:r>
          </w:p>
        </w:tc>
        <w:tc>
          <w:tcPr>
            <w:tcW w:w="3771" w:type="dxa"/>
            <w:gridSpan w:val="2"/>
            <w:shd w:val="clear" w:color="auto" w:fill="002060"/>
          </w:tcPr>
          <w:p w14:paraId="65C872F3" w14:textId="25FEED75" w:rsidR="00470C18" w:rsidRPr="00900A4F" w:rsidRDefault="00900A4F" w:rsidP="00BF5F59">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Lĩnh</w:t>
            </w:r>
            <w:r>
              <w:rPr>
                <w:sz w:val="20"/>
                <w:szCs w:val="20"/>
                <w:lang w:val="vi-VN"/>
              </w:rPr>
              <w:t xml:space="preserve"> vực trọng tâm</w:t>
            </w:r>
          </w:p>
        </w:tc>
        <w:tc>
          <w:tcPr>
            <w:tcW w:w="3772" w:type="dxa"/>
            <w:gridSpan w:val="2"/>
            <w:shd w:val="clear" w:color="auto" w:fill="002060"/>
          </w:tcPr>
          <w:p w14:paraId="55EEC2B8" w14:textId="5A0B1E8E" w:rsidR="00470C18" w:rsidRPr="004F1D15" w:rsidRDefault="00A86645" w:rsidP="00BF5F59">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Các</w:t>
            </w:r>
            <w:r>
              <w:rPr>
                <w:sz w:val="20"/>
                <w:szCs w:val="20"/>
                <w:lang w:val="vi-VN"/>
              </w:rPr>
              <w:t xml:space="preserve"> mốc thời gian và khung thời gian tạm tính</w:t>
            </w:r>
            <w:r w:rsidR="00470C18" w:rsidRPr="004F1D15">
              <w:rPr>
                <w:sz w:val="20"/>
                <w:szCs w:val="20"/>
                <w:vertAlign w:val="superscript"/>
              </w:rPr>
              <w:footnoteReference w:id="344"/>
            </w:r>
          </w:p>
        </w:tc>
        <w:tc>
          <w:tcPr>
            <w:tcW w:w="2317" w:type="dxa"/>
            <w:gridSpan w:val="2"/>
            <w:shd w:val="clear" w:color="auto" w:fill="002060"/>
          </w:tcPr>
          <w:p w14:paraId="43B10301" w14:textId="69694A8F" w:rsidR="00470C18" w:rsidRPr="00A86645" w:rsidRDefault="00A86645" w:rsidP="00BF5F59">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Các</w:t>
            </w:r>
            <w:r>
              <w:rPr>
                <w:sz w:val="20"/>
                <w:szCs w:val="20"/>
                <w:lang w:val="vi-VN"/>
              </w:rPr>
              <w:t xml:space="preserve"> bên chịu trách nhiệm</w:t>
            </w:r>
          </w:p>
        </w:tc>
        <w:tc>
          <w:tcPr>
            <w:tcW w:w="3760" w:type="dxa"/>
            <w:shd w:val="clear" w:color="auto" w:fill="002060"/>
          </w:tcPr>
          <w:p w14:paraId="78CD285C" w14:textId="28312105" w:rsidR="00470C18" w:rsidRPr="00A86645" w:rsidRDefault="00A86645" w:rsidP="00BF5F59">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Thước</w:t>
            </w:r>
            <w:r>
              <w:rPr>
                <w:sz w:val="20"/>
                <w:szCs w:val="20"/>
                <w:lang w:val="vi-VN"/>
              </w:rPr>
              <w:t xml:space="preserve"> đo tiến độ</w:t>
            </w:r>
          </w:p>
        </w:tc>
      </w:tr>
      <w:tr w:rsidR="00470C18" w:rsidRPr="004F1D15" w14:paraId="00C41D6B" w14:textId="77777777" w:rsidTr="00AC0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shd w:val="clear" w:color="auto" w:fill="00B0F0"/>
          </w:tcPr>
          <w:p w14:paraId="11C5E1BE" w14:textId="2047740D" w:rsidR="00470C18" w:rsidRPr="00900A4F" w:rsidRDefault="00900A4F" w:rsidP="00BF5F59">
            <w:pPr>
              <w:jc w:val="center"/>
              <w:rPr>
                <w:sz w:val="20"/>
                <w:szCs w:val="20"/>
                <w:lang w:val="vi-VN"/>
              </w:rPr>
            </w:pPr>
            <w:r>
              <w:rPr>
                <w:sz w:val="20"/>
                <w:szCs w:val="20"/>
              </w:rPr>
              <w:t>Khu</w:t>
            </w:r>
            <w:r>
              <w:rPr>
                <w:sz w:val="20"/>
                <w:szCs w:val="20"/>
                <w:lang w:val="vi-VN"/>
              </w:rPr>
              <w:t xml:space="preserve"> vực hành động chính</w:t>
            </w:r>
          </w:p>
        </w:tc>
        <w:tc>
          <w:tcPr>
            <w:tcW w:w="13620" w:type="dxa"/>
            <w:gridSpan w:val="7"/>
            <w:tcBorders>
              <w:left w:val="single" w:sz="4" w:space="0" w:color="156082"/>
            </w:tcBorders>
            <w:shd w:val="clear" w:color="auto" w:fill="00B0F0"/>
          </w:tcPr>
          <w:p w14:paraId="6F71EDFE" w14:textId="1BA4D45B" w:rsidR="00470C18" w:rsidRPr="004D4330" w:rsidRDefault="000323DE">
            <w:pPr>
              <w:cnfStyle w:val="000000100000" w:firstRow="0" w:lastRow="0" w:firstColumn="0" w:lastColumn="0" w:oddVBand="0" w:evenVBand="0" w:oddHBand="1" w:evenHBand="0" w:firstRowFirstColumn="0" w:firstRowLastColumn="0" w:lastRowFirstColumn="0" w:lastRowLastColumn="0"/>
              <w:rPr>
                <w:rFonts w:eastAsiaTheme="minorEastAsia"/>
                <w:b/>
                <w:bCs/>
                <w:sz w:val="20"/>
                <w:szCs w:val="20"/>
                <w:lang w:val="vi-VN"/>
              </w:rPr>
            </w:pPr>
            <w:r>
              <w:rPr>
                <w:b/>
                <w:bCs/>
                <w:sz w:val="20"/>
                <w:szCs w:val="20"/>
              </w:rPr>
              <w:t>6.2.6.2</w:t>
            </w:r>
            <w:r w:rsidR="004E5772" w:rsidRPr="004F1D15">
              <w:rPr>
                <w:b/>
                <w:bCs/>
                <w:sz w:val="20"/>
                <w:szCs w:val="20"/>
              </w:rPr>
              <w:t xml:space="preserve"> </w:t>
            </w:r>
            <w:r w:rsidR="004D4330" w:rsidRPr="004D4330">
              <w:rPr>
                <w:b/>
                <w:bCs/>
                <w:sz w:val="20"/>
                <w:szCs w:val="20"/>
                <w:lang w:val="vi-VN"/>
              </w:rPr>
              <w:t>Tăng cường năng lực thể chế của cơ quan quản lý và các tổ chức tài chính để triển khai ISO 20022</w:t>
            </w:r>
          </w:p>
        </w:tc>
      </w:tr>
      <w:tr w:rsidR="00470C18" w:rsidRPr="004F1D15" w14:paraId="4B85C9A8" w14:textId="77777777" w:rsidTr="00AC0AE1">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156082"/>
              <w:bottom w:val="single" w:sz="4" w:space="0" w:color="156082"/>
              <w:right w:val="single" w:sz="4" w:space="0" w:color="156082"/>
            </w:tcBorders>
            <w:shd w:val="clear" w:color="auto" w:fill="BDD6EE" w:themeFill="accent5" w:themeFillTint="66"/>
          </w:tcPr>
          <w:p w14:paraId="7EA933F6" w14:textId="716B66CB" w:rsidR="00470C18" w:rsidRPr="00900A4F" w:rsidRDefault="00900A4F" w:rsidP="00BF5F59">
            <w:pPr>
              <w:jc w:val="center"/>
              <w:rPr>
                <w:sz w:val="20"/>
                <w:szCs w:val="20"/>
                <w:lang w:val="vi-VN"/>
              </w:rPr>
            </w:pPr>
            <w:r>
              <w:rPr>
                <w:sz w:val="20"/>
                <w:szCs w:val="20"/>
              </w:rPr>
              <w:t>Mục</w:t>
            </w:r>
            <w:r>
              <w:rPr>
                <w:sz w:val="20"/>
                <w:szCs w:val="20"/>
                <w:lang w:val="vi-VN"/>
              </w:rPr>
              <w:t xml:space="preserve"> tiêu</w:t>
            </w:r>
          </w:p>
        </w:tc>
        <w:tc>
          <w:tcPr>
            <w:tcW w:w="13620" w:type="dxa"/>
            <w:gridSpan w:val="7"/>
            <w:tcBorders>
              <w:left w:val="single" w:sz="4" w:space="0" w:color="156082"/>
            </w:tcBorders>
            <w:shd w:val="clear" w:color="auto" w:fill="BDD6EE" w:themeFill="accent5" w:themeFillTint="66"/>
          </w:tcPr>
          <w:p w14:paraId="467CF71E" w14:textId="502D1A19" w:rsidR="004D4330" w:rsidRPr="004D4330" w:rsidRDefault="004D4330" w:rsidP="004D4330">
            <w:pPr>
              <w:pStyle w:val="ListParagraph"/>
              <w:numPr>
                <w:ilvl w:val="0"/>
                <w:numId w:val="19"/>
              </w:numPr>
              <w:ind w:left="357" w:hanging="357"/>
              <w:cnfStyle w:val="000000000000" w:firstRow="0" w:lastRow="0" w:firstColumn="0" w:lastColumn="0" w:oddVBand="0" w:evenVBand="0" w:oddHBand="0" w:evenHBand="0" w:firstRowFirstColumn="0" w:firstRowLastColumn="0" w:lastRowFirstColumn="0" w:lastRowLastColumn="0"/>
              <w:rPr>
                <w:rFonts w:ascii="Arial" w:hAnsi="Arial"/>
                <w:sz w:val="20"/>
                <w:szCs w:val="20"/>
                <w:lang w:val="en-GB"/>
              </w:rPr>
            </w:pPr>
            <w:r w:rsidRPr="004D4330">
              <w:rPr>
                <w:rFonts w:ascii="Arial" w:hAnsi="Arial"/>
                <w:b/>
                <w:bCs/>
                <w:sz w:val="20"/>
                <w:szCs w:val="20"/>
                <w:lang w:val="vi-VN"/>
              </w:rPr>
              <w:t>Cung cấp đào tạo và nâng cao hiểu biết:</w:t>
            </w:r>
            <w:r w:rsidRPr="004D4330">
              <w:rPr>
                <w:rFonts w:ascii="Arial" w:hAnsi="Arial"/>
                <w:sz w:val="20"/>
                <w:szCs w:val="20"/>
                <w:lang w:val="vi-VN"/>
              </w:rPr>
              <w:t xml:space="preserve"> Tổ chức các chương trình đào tạo toàn diện dành cho cơ quan quản lý, các tổ chức tài chính và doanh nghiệp về ISO 20022, mã QR, và Mã định danh pháp nhân quốc tế (LEI – Legal Entity Identifier).</w:t>
            </w:r>
          </w:p>
          <w:p w14:paraId="10277275" w14:textId="160DDE62" w:rsidR="004E5772" w:rsidRPr="004F1D15" w:rsidRDefault="004D4330" w:rsidP="000323DE">
            <w:pPr>
              <w:pStyle w:val="ListParagraph"/>
              <w:numPr>
                <w:ilvl w:val="0"/>
                <w:numId w:val="19"/>
              </w:numPr>
              <w:ind w:left="357" w:hanging="357"/>
              <w:cnfStyle w:val="000000000000" w:firstRow="0" w:lastRow="0" w:firstColumn="0" w:lastColumn="0" w:oddVBand="0" w:evenVBand="0" w:oddHBand="0" w:evenHBand="0" w:firstRowFirstColumn="0" w:firstRowLastColumn="0" w:lastRowFirstColumn="0" w:lastRowLastColumn="0"/>
              <w:rPr>
                <w:rFonts w:ascii="Arial" w:hAnsi="Arial"/>
                <w:sz w:val="20"/>
                <w:szCs w:val="20"/>
                <w:lang w:val="en-GB"/>
              </w:rPr>
            </w:pPr>
            <w:r w:rsidRPr="0042390C">
              <w:rPr>
                <w:rFonts w:ascii="Arial" w:eastAsia="DengXian" w:hAnsi="Arial"/>
                <w:b/>
                <w:bCs/>
                <w:sz w:val="20"/>
                <w:szCs w:val="20"/>
                <w:lang w:val="vi-VN"/>
              </w:rPr>
              <w:t>Cung cấp hỗ trợ kỹ thuật:</w:t>
            </w:r>
            <w:r w:rsidRPr="004D4330">
              <w:rPr>
                <w:rFonts w:ascii="Arial" w:eastAsia="DengXian" w:hAnsi="Arial"/>
                <w:sz w:val="20"/>
                <w:szCs w:val="20"/>
                <w:lang w:val="vi-VN"/>
              </w:rPr>
              <w:t xml:space="preserve"> Đảm bảo hỗ trợ kỹ thuật liên tục cho các quốc gia thành viên ASEAN (AMS) trong việc nâng cấp hạ tầng thanh toán và khung khổ pháp lý.</w:t>
            </w:r>
          </w:p>
          <w:p w14:paraId="3C3B5702" w14:textId="77FACF76" w:rsidR="00470C18" w:rsidRPr="004F1D15" w:rsidRDefault="0042390C" w:rsidP="000323DE">
            <w:pPr>
              <w:pStyle w:val="ListParagraph"/>
              <w:numPr>
                <w:ilvl w:val="0"/>
                <w:numId w:val="19"/>
              </w:numPr>
              <w:ind w:left="357" w:hanging="357"/>
              <w:cnfStyle w:val="000000000000" w:firstRow="0" w:lastRow="0" w:firstColumn="0" w:lastColumn="0" w:oddVBand="0" w:evenVBand="0" w:oddHBand="0" w:evenHBand="0" w:firstRowFirstColumn="0" w:firstRowLastColumn="0" w:lastRowFirstColumn="0" w:lastRowLastColumn="0"/>
              <w:rPr>
                <w:rFonts w:ascii="Arial" w:hAnsi="Arial"/>
                <w:sz w:val="20"/>
                <w:szCs w:val="20"/>
                <w:lang w:val="en-GB"/>
              </w:rPr>
            </w:pPr>
            <w:r w:rsidRPr="0042390C">
              <w:rPr>
                <w:rFonts w:ascii="Arial" w:hAnsi="Arial"/>
                <w:b/>
                <w:bCs/>
                <w:sz w:val="20"/>
                <w:szCs w:val="20"/>
                <w:lang w:val="en-GB"/>
              </w:rPr>
              <w:t xml:space="preserve">Thúc đẩy nhận thức cộng đồng: </w:t>
            </w:r>
            <w:r w:rsidRPr="0042390C">
              <w:rPr>
                <w:rFonts w:ascii="Arial" w:hAnsi="Arial"/>
                <w:sz w:val="20"/>
                <w:szCs w:val="20"/>
                <w:lang w:val="en-GB"/>
              </w:rPr>
              <w:t>Tuyên truyền cho người tiêu dùng và doanh nghiệp về các lợi ích của hệ thống thanh toán số.</w:t>
            </w:r>
          </w:p>
        </w:tc>
      </w:tr>
      <w:tr w:rsidR="00470C18" w:rsidRPr="004F1D15" w14:paraId="49A2A4D2" w14:textId="77777777" w:rsidTr="6BB67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tcPr>
          <w:p w14:paraId="66961B61" w14:textId="283474A0" w:rsidR="00470C18" w:rsidRPr="004F1D15" w:rsidRDefault="000323DE" w:rsidP="00BF5F59">
            <w:pPr>
              <w:jc w:val="center"/>
              <w:rPr>
                <w:sz w:val="20"/>
                <w:szCs w:val="20"/>
              </w:rPr>
            </w:pPr>
            <w:r>
              <w:rPr>
                <w:sz w:val="20"/>
                <w:szCs w:val="20"/>
              </w:rPr>
              <w:t>6.2.6.2</w:t>
            </w:r>
            <w:r w:rsidR="00A01B9B" w:rsidRPr="004F1D15">
              <w:rPr>
                <w:sz w:val="20"/>
                <w:szCs w:val="20"/>
              </w:rPr>
              <w:t xml:space="preserve"> </w:t>
            </w:r>
            <w:r w:rsidR="0042390C" w:rsidRPr="004D4330">
              <w:rPr>
                <w:sz w:val="20"/>
                <w:szCs w:val="20"/>
                <w:lang w:val="vi-VN"/>
              </w:rPr>
              <w:t>Tăng cường năng lực thể chế của cơ quan quản lý và các tổ chức tài chính để triển khai ISO 20022</w:t>
            </w:r>
          </w:p>
        </w:tc>
        <w:tc>
          <w:tcPr>
            <w:tcW w:w="3764" w:type="dxa"/>
            <w:tcBorders>
              <w:left w:val="single" w:sz="4" w:space="0" w:color="156082"/>
              <w:right w:val="single" w:sz="4" w:space="0" w:color="156082"/>
            </w:tcBorders>
          </w:tcPr>
          <w:p w14:paraId="61B18152" w14:textId="607CED3D" w:rsidR="00E619D8" w:rsidRPr="00E619D8" w:rsidRDefault="00E619D8" w:rsidP="00E619D8">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vi-VN"/>
              </w:rPr>
            </w:pPr>
            <w:r w:rsidRPr="00E619D8">
              <w:rPr>
                <w:rFonts w:ascii="Arial" w:eastAsia="DengXian" w:hAnsi="Arial"/>
                <w:b/>
                <w:bCs/>
                <w:sz w:val="20"/>
                <w:szCs w:val="20"/>
                <w:lang w:val="vi-VN"/>
              </w:rPr>
              <w:t>Chương trình đào tạo:</w:t>
            </w:r>
            <w:r w:rsidRPr="00E619D8">
              <w:rPr>
                <w:rFonts w:ascii="Arial" w:eastAsia="DengXian" w:hAnsi="Arial"/>
                <w:sz w:val="20"/>
                <w:szCs w:val="20"/>
                <w:lang w:val="vi-VN"/>
              </w:rPr>
              <w:t xml:space="preserve"> Cung cấp các chương trình đào tạo chuyên biệt dành cho các tổ chức tài chính, cơ quan quản lý và các bên liên quan về lợi ích và các khía cạnh kỹ thuật của ISO 20022, đồng thời nâng cao nhận thức về các trường dữ liệu mở rộng và việc điều chỉnh theo các tiêu chuẩn toàn cầu như CBPR+, IP+, và các yêu cầu điều hòa của CPMI.</w:t>
            </w:r>
          </w:p>
          <w:p w14:paraId="09B82156" w14:textId="253CC2C3" w:rsidR="00470C18" w:rsidRPr="00E619D8" w:rsidRDefault="00E619D8" w:rsidP="00E619D8">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sz w:val="20"/>
                <w:szCs w:val="20"/>
                <w:lang w:val="en-GB"/>
              </w:rPr>
            </w:pPr>
            <w:r w:rsidRPr="00E619D8">
              <w:rPr>
                <w:rFonts w:ascii="Arial" w:eastAsia="DengXian" w:hAnsi="Arial"/>
                <w:b/>
                <w:bCs/>
                <w:sz w:val="20"/>
                <w:szCs w:val="20"/>
                <w:lang w:val="vi-VN"/>
              </w:rPr>
              <w:t>Chiến dịch nâng cao nhận thức cộng đồng:</w:t>
            </w:r>
            <w:r w:rsidRPr="00E619D8">
              <w:rPr>
                <w:rFonts w:ascii="Arial" w:eastAsia="DengXian" w:hAnsi="Arial"/>
                <w:sz w:val="20"/>
                <w:szCs w:val="20"/>
                <w:lang w:val="vi-VN"/>
              </w:rPr>
              <w:t xml:space="preserve"> Phối hợp với các bên liên quan chủ chốt, bao gồm các tổ chức tài chính, nhà cung cấp dịch vụ thanh toán và cơ quan quản lý, nhằm thúc đẩy nhận thức và cam kết trong việc áp dụng tiêu chuẩn ISO 20022</w:t>
            </w:r>
            <w:r w:rsidR="004E5772" w:rsidRPr="00E619D8">
              <w:rPr>
                <w:rFonts w:eastAsia="DengXian"/>
                <w:sz w:val="20"/>
                <w:szCs w:val="20"/>
              </w:rPr>
              <w:t>.</w:t>
            </w:r>
            <w:r w:rsidR="004E5772" w:rsidRPr="00E619D8">
              <w:rPr>
                <w:rFonts w:eastAsia="DengXian"/>
                <w:b/>
                <w:sz w:val="20"/>
                <w:szCs w:val="20"/>
              </w:rPr>
              <w:t xml:space="preserve"> </w:t>
            </w:r>
          </w:p>
        </w:tc>
        <w:tc>
          <w:tcPr>
            <w:tcW w:w="3764" w:type="dxa"/>
            <w:gridSpan w:val="2"/>
            <w:tcBorders>
              <w:left w:val="single" w:sz="4" w:space="0" w:color="156082"/>
              <w:right w:val="single" w:sz="4" w:space="0" w:color="156082"/>
            </w:tcBorders>
          </w:tcPr>
          <w:p w14:paraId="557A66C4" w14:textId="32383FDE" w:rsidR="004E5772" w:rsidRPr="00E619D8" w:rsidRDefault="00E619D8" w:rsidP="00E619D8">
            <w:pPr>
              <w:cnfStyle w:val="000000100000" w:firstRow="0" w:lastRow="0" w:firstColumn="0" w:lastColumn="0" w:oddVBand="0" w:evenVBand="0" w:oddHBand="1" w:evenHBand="0" w:firstRowFirstColumn="0" w:firstRowLastColumn="0" w:lastRowFirstColumn="0" w:lastRowLastColumn="0"/>
              <w:rPr>
                <w:sz w:val="20"/>
                <w:szCs w:val="20"/>
                <w:lang w:val="vi-VN"/>
              </w:rPr>
            </w:pPr>
            <w:r>
              <w:rPr>
                <w:sz w:val="20"/>
                <w:szCs w:val="20"/>
              </w:rPr>
              <w:t>Ngắn</w:t>
            </w:r>
            <w:r>
              <w:rPr>
                <w:sz w:val="20"/>
                <w:szCs w:val="20"/>
                <w:lang w:val="vi-VN"/>
              </w:rPr>
              <w:t xml:space="preserve"> hạn</w:t>
            </w:r>
            <w:r w:rsidR="00470C18" w:rsidRPr="004F1D15">
              <w:rPr>
                <w:sz w:val="20"/>
                <w:szCs w:val="20"/>
              </w:rPr>
              <w:t>:</w:t>
            </w:r>
          </w:p>
          <w:p w14:paraId="23989007" w14:textId="77777777" w:rsidR="00E619D8" w:rsidRPr="00E619D8" w:rsidRDefault="00E619D8" w:rsidP="00E619D8">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E619D8">
              <w:rPr>
                <w:rFonts w:ascii="Arial" w:eastAsia="DengXian" w:hAnsi="Arial"/>
                <w:sz w:val="20"/>
                <w:szCs w:val="20"/>
                <w:lang w:val="en-GB"/>
              </w:rPr>
              <w:t>Tiến hành đánh giá nhu cầu để xác định các yêu cầu đào tạo cụ thể đối với tổ chức tài chính, cơ quan quản lý và các bên liên quan khác.</w:t>
            </w:r>
          </w:p>
          <w:p w14:paraId="2EDA11AB" w14:textId="4906A9D3" w:rsidR="00E619D8" w:rsidRPr="00E619D8" w:rsidRDefault="00E619D8" w:rsidP="00E619D8">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E619D8">
              <w:rPr>
                <w:rFonts w:ascii="Arial" w:eastAsia="DengXian" w:hAnsi="Arial"/>
                <w:sz w:val="20"/>
                <w:szCs w:val="20"/>
                <w:lang w:val="en-GB"/>
              </w:rPr>
              <w:t>Xây dựng tài liệu và các mô-đun đào tạo toàn diện bao gồm lợi ích, khía cạnh kỹ thuật của ISO 20022, trường dữ liệu mở rộng, cũng như việc điều chỉnh theo các tiêu chuẩn toàn cầu như CBPR+, IP+ và hài hòa CPMI.</w:t>
            </w:r>
          </w:p>
          <w:p w14:paraId="7EE49EA4" w14:textId="6AC98B72" w:rsidR="00E619D8" w:rsidRPr="00E619D8" w:rsidRDefault="00E619D8" w:rsidP="00E619D8">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E619D8">
              <w:rPr>
                <w:rFonts w:ascii="Arial" w:eastAsia="DengXian" w:hAnsi="Arial"/>
                <w:sz w:val="20"/>
                <w:szCs w:val="20"/>
                <w:lang w:val="en-GB"/>
              </w:rPr>
              <w:t>Triển khai các phiên đào tạo thử nghiệm (pilot) nhằm đánh giá và hoàn thiện nội dung cũng như phương pháp đào tạo.</w:t>
            </w:r>
          </w:p>
          <w:p w14:paraId="23A6EB65" w14:textId="3BD79705" w:rsidR="00E619D8" w:rsidRPr="00E619D8" w:rsidRDefault="00E619D8" w:rsidP="00E619D8">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E619D8">
              <w:rPr>
                <w:rFonts w:ascii="Arial" w:eastAsia="DengXian" w:hAnsi="Arial"/>
                <w:sz w:val="20"/>
                <w:szCs w:val="20"/>
                <w:lang w:val="en-GB"/>
              </w:rPr>
              <w:t xml:space="preserve">Xây dựng chiến lược cho các chiến dịch nâng cao nhận thức cộng đồng, </w:t>
            </w:r>
            <w:r w:rsidRPr="00E619D8">
              <w:rPr>
                <w:rFonts w:ascii="Arial" w:eastAsia="DengXian" w:hAnsi="Arial"/>
                <w:sz w:val="20"/>
                <w:szCs w:val="20"/>
                <w:lang w:val="en-GB"/>
              </w:rPr>
              <w:lastRenderedPageBreak/>
              <w:t>bao gồm thông điệp trọng tâm, kênh truyền tải và phương thức tiếp cận.</w:t>
            </w:r>
          </w:p>
          <w:p w14:paraId="49FD77B3" w14:textId="0E314ABF" w:rsidR="004E5772" w:rsidRPr="006169D7" w:rsidRDefault="00E619D8" w:rsidP="006169D7">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E619D8">
              <w:rPr>
                <w:rFonts w:ascii="Arial" w:eastAsia="DengXian" w:hAnsi="Arial"/>
                <w:sz w:val="20"/>
                <w:szCs w:val="20"/>
                <w:lang w:val="en-GB"/>
              </w:rPr>
              <w:t>Khởi động giai đoạn đầu của chiến dịch nâng cao nhận thức, bao gồm hội thảo trực tuyến (webinar), bản tin và tài liệu truyền thông.</w:t>
            </w:r>
            <w:r w:rsidR="00560F72" w:rsidRPr="006169D7">
              <w:rPr>
                <w:rFonts w:eastAsia="DengXian"/>
                <w:sz w:val="20"/>
                <w:szCs w:val="20"/>
              </w:rPr>
              <w:br/>
            </w:r>
          </w:p>
          <w:p w14:paraId="1BE5F1C2" w14:textId="71EF1B6C" w:rsidR="00470C18" w:rsidRPr="004F1D15" w:rsidRDefault="006169D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Trung</w:t>
            </w:r>
            <w:r>
              <w:rPr>
                <w:sz w:val="20"/>
                <w:szCs w:val="20"/>
                <w:lang w:val="vi-VN"/>
              </w:rPr>
              <w:t xml:space="preserve"> hạn</w:t>
            </w:r>
            <w:r w:rsidR="00470C18" w:rsidRPr="004F1D15">
              <w:rPr>
                <w:sz w:val="20"/>
                <w:szCs w:val="20"/>
              </w:rPr>
              <w:t>:</w:t>
            </w:r>
          </w:p>
          <w:p w14:paraId="0AAB5722" w14:textId="77777777" w:rsidR="006169D7" w:rsidRPr="006169D7" w:rsidRDefault="006169D7" w:rsidP="006169D7">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bCs/>
                <w:sz w:val="20"/>
                <w:szCs w:val="20"/>
                <w:lang w:val="en-GB"/>
              </w:rPr>
            </w:pPr>
            <w:r w:rsidRPr="006169D7">
              <w:rPr>
                <w:rFonts w:ascii="Arial" w:eastAsia="DengXian" w:hAnsi="Arial"/>
                <w:bCs/>
                <w:sz w:val="20"/>
                <w:szCs w:val="20"/>
                <w:lang w:val="en-GB"/>
              </w:rPr>
              <w:t>Triển khai chương trình đào tạo toàn diện trên phạm vi rộng cho tất cả nhóm đối tượng, bao gồm các khóa đào tạo và hội thảo thường xuyên.</w:t>
            </w:r>
          </w:p>
          <w:p w14:paraId="2A7719BF" w14:textId="5B48B995" w:rsidR="004E5772" w:rsidRPr="006169D7" w:rsidRDefault="006169D7" w:rsidP="006169D7">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bCs/>
                <w:sz w:val="20"/>
                <w:szCs w:val="20"/>
                <w:lang w:val="en-GB"/>
              </w:rPr>
            </w:pPr>
            <w:r w:rsidRPr="006169D7">
              <w:rPr>
                <w:rFonts w:ascii="Arial" w:eastAsia="DengXian" w:hAnsi="Arial"/>
                <w:bCs/>
                <w:sz w:val="20"/>
                <w:szCs w:val="20"/>
                <w:lang w:val="en-GB"/>
              </w:rPr>
              <w:t>Duy trì hoạt động nâng cao nhận thức thông qua truyền thông và các chương trình tuyên truyền liên tục.</w:t>
            </w:r>
            <w:r w:rsidR="004E5772" w:rsidRPr="006169D7">
              <w:rPr>
                <w:rFonts w:eastAsia="DengXian"/>
                <w:sz w:val="20"/>
                <w:szCs w:val="20"/>
              </w:rPr>
              <w:t xml:space="preserve"> </w:t>
            </w:r>
            <w:r w:rsidR="00560F72" w:rsidRPr="006169D7">
              <w:rPr>
                <w:rFonts w:eastAsia="DengXian"/>
                <w:sz w:val="20"/>
                <w:szCs w:val="20"/>
              </w:rPr>
              <w:br/>
            </w:r>
          </w:p>
          <w:p w14:paraId="36238DB4" w14:textId="08B1F2EF" w:rsidR="004E5772" w:rsidRPr="004F1D15" w:rsidRDefault="006169D7" w:rsidP="004E577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Dài</w:t>
            </w:r>
            <w:r>
              <w:rPr>
                <w:sz w:val="20"/>
                <w:szCs w:val="20"/>
                <w:lang w:val="vi-VN"/>
              </w:rPr>
              <w:t xml:space="preserve"> hạn</w:t>
            </w:r>
            <w:r w:rsidR="004E5772" w:rsidRPr="004F1D15">
              <w:rPr>
                <w:sz w:val="20"/>
                <w:szCs w:val="20"/>
              </w:rPr>
              <w:t>:</w:t>
            </w:r>
          </w:p>
          <w:p w14:paraId="19E1F0CE" w14:textId="77777777" w:rsidR="006169D7" w:rsidRPr="006169D7" w:rsidRDefault="006169D7" w:rsidP="006169D7">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6169D7">
              <w:rPr>
                <w:rFonts w:ascii="Arial" w:eastAsia="DengXian" w:hAnsi="Arial"/>
                <w:sz w:val="20"/>
                <w:szCs w:val="20"/>
                <w:lang w:val="en-GB"/>
              </w:rPr>
              <w:t>Phát triển và triển khai các mô-đun đào tạo nâng cao nhằm cập nhật các xu hướng mới và diễn biến mới nhất liên quan tới ISO 20022 cũng như các tiêu chuẩn toàn cầu như CBPR+, IP+ và hài hòa CPMI.</w:t>
            </w:r>
          </w:p>
          <w:p w14:paraId="0BDFD559" w14:textId="0F021AAB" w:rsidR="006169D7" w:rsidRPr="006169D7" w:rsidRDefault="006169D7" w:rsidP="006169D7">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6169D7">
              <w:rPr>
                <w:rFonts w:ascii="Arial" w:eastAsia="DengXian" w:hAnsi="Arial"/>
                <w:sz w:val="20"/>
                <w:szCs w:val="20"/>
                <w:lang w:val="en-GB"/>
              </w:rPr>
              <w:t>Tiến hành đánh giá tác động toàn diện để đo lường hiệu quả dài hạn của các chương trình đào tạo và thực hiện điều chỉnh khi cần thiết.</w:t>
            </w:r>
          </w:p>
          <w:p w14:paraId="65B059BE" w14:textId="265EE69A" w:rsidR="00470C18" w:rsidRPr="004F1D15" w:rsidRDefault="006169D7" w:rsidP="006169D7">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6169D7">
              <w:rPr>
                <w:rFonts w:ascii="Arial" w:eastAsia="DengXian" w:hAnsi="Arial"/>
                <w:sz w:val="20"/>
                <w:szCs w:val="20"/>
                <w:lang w:val="en-GB"/>
              </w:rPr>
              <w:t>Tăng cường các mối quan hệ hợp tác dài hạn với các tổ chức đầu ngành và các bên liên quan để đảm bảo cam kết và hỗ trợ liên tục cho việc áp dụng ISO 20022.</w:t>
            </w:r>
          </w:p>
        </w:tc>
        <w:tc>
          <w:tcPr>
            <w:tcW w:w="2318" w:type="dxa"/>
            <w:gridSpan w:val="2"/>
            <w:tcBorders>
              <w:left w:val="single" w:sz="4" w:space="0" w:color="156082"/>
              <w:right w:val="single" w:sz="4" w:space="0" w:color="156082"/>
            </w:tcBorders>
          </w:tcPr>
          <w:p w14:paraId="176BCAD5" w14:textId="0A0ACE95" w:rsidR="00470C18" w:rsidRPr="00616538" w:rsidRDefault="00616538">
            <w:pPr>
              <w:cnfStyle w:val="000000100000" w:firstRow="0" w:lastRow="0" w:firstColumn="0" w:lastColumn="0" w:oddVBand="0" w:evenVBand="0" w:oddHBand="1" w:evenHBand="0" w:firstRowFirstColumn="0" w:firstRowLastColumn="0" w:lastRowFirstColumn="0" w:lastRowLastColumn="0"/>
              <w:rPr>
                <w:sz w:val="20"/>
                <w:szCs w:val="20"/>
                <w:lang w:val="vi-VN"/>
              </w:rPr>
            </w:pPr>
            <w:r>
              <w:rPr>
                <w:sz w:val="20"/>
                <w:szCs w:val="20"/>
                <w:lang w:val="vi-VN"/>
              </w:rPr>
              <w:lastRenderedPageBreak/>
              <w:t>Cơ quan điều phối chính:</w:t>
            </w:r>
          </w:p>
          <w:p w14:paraId="4807DE51" w14:textId="1C91273F" w:rsidR="004E5772" w:rsidRDefault="00FF7C76" w:rsidP="00C82E4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FF7C76">
              <w:rPr>
                <w:rFonts w:ascii="Arial" w:eastAsia="DengXian" w:hAnsi="Arial"/>
                <w:sz w:val="20"/>
                <w:szCs w:val="20"/>
                <w:lang w:val="en-GB"/>
              </w:rPr>
              <w:t xml:space="preserve">Ủy ban Công tác về Hệ thống Thanh toán và Quyết toán </w:t>
            </w:r>
            <w:r w:rsidR="004E5772" w:rsidRPr="004F1D15">
              <w:rPr>
                <w:rFonts w:ascii="Arial" w:eastAsia="DengXian" w:hAnsi="Arial"/>
                <w:sz w:val="20"/>
                <w:szCs w:val="20"/>
                <w:lang w:val="en-GB"/>
              </w:rPr>
              <w:t>(WC-PSS)​</w:t>
            </w:r>
          </w:p>
          <w:p w14:paraId="0B38078C" w14:textId="77777777" w:rsidR="00210C75" w:rsidRPr="00813FCC" w:rsidRDefault="00210C75" w:rsidP="00813FCC">
            <w:pPr>
              <w:cnfStyle w:val="000000100000" w:firstRow="0" w:lastRow="0" w:firstColumn="0" w:lastColumn="0" w:oddVBand="0" w:evenVBand="0" w:oddHBand="1" w:evenHBand="0" w:firstRowFirstColumn="0" w:firstRowLastColumn="0" w:lastRowFirstColumn="0" w:lastRowLastColumn="0"/>
              <w:rPr>
                <w:sz w:val="20"/>
                <w:szCs w:val="20"/>
              </w:rPr>
            </w:pPr>
          </w:p>
          <w:p w14:paraId="0F395069" w14:textId="148975B4" w:rsidR="00470C18" w:rsidRPr="004F1D15" w:rsidRDefault="00470C18" w:rsidP="00060300">
            <w:pPr>
              <w:pStyle w:val="ListParagraph"/>
              <w:numPr>
                <w:ilvl w:val="0"/>
                <w:numId w:val="0"/>
              </w:numPr>
              <w:spacing w:after="0"/>
              <w:ind w:left="36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p>
        </w:tc>
        <w:tc>
          <w:tcPr>
            <w:tcW w:w="3774" w:type="dxa"/>
            <w:gridSpan w:val="2"/>
            <w:tcBorders>
              <w:left w:val="single" w:sz="4" w:space="0" w:color="156082"/>
            </w:tcBorders>
          </w:tcPr>
          <w:p w14:paraId="70D66748" w14:textId="6D3B9A41" w:rsidR="00470C18" w:rsidRPr="004F1D15" w:rsidRDefault="00616538">
            <w:pPr>
              <w:cnfStyle w:val="000000100000" w:firstRow="0" w:lastRow="0" w:firstColumn="0" w:lastColumn="0" w:oddVBand="0" w:evenVBand="0" w:oddHBand="1" w:evenHBand="0" w:firstRowFirstColumn="0" w:firstRowLastColumn="0" w:lastRowFirstColumn="0" w:lastRowLastColumn="0"/>
              <w:rPr>
                <w:sz w:val="20"/>
                <w:szCs w:val="20"/>
              </w:rPr>
            </w:pPr>
            <w:r w:rsidRPr="00616538">
              <w:rPr>
                <w:sz w:val="20"/>
                <w:szCs w:val="20"/>
                <w:lang w:val="vi-VN"/>
              </w:rPr>
              <w:t>Các chỉ số đo lường tiến độ bao gồm</w:t>
            </w:r>
            <w:r w:rsidR="00470C18" w:rsidRPr="004F1D15">
              <w:rPr>
                <w:sz w:val="20"/>
                <w:szCs w:val="20"/>
              </w:rPr>
              <w:t>:</w:t>
            </w:r>
          </w:p>
          <w:p w14:paraId="2FBC3550" w14:textId="77777777" w:rsidR="00616538" w:rsidRPr="00616538" w:rsidRDefault="00616538" w:rsidP="00616538">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olor w:val="auto"/>
                <w:sz w:val="20"/>
                <w:szCs w:val="20"/>
                <w:lang w:val="en-GB"/>
              </w:rPr>
            </w:pPr>
            <w:r w:rsidRPr="00616538">
              <w:rPr>
                <w:rFonts w:ascii="Arial" w:hAnsi="Arial"/>
                <w:b/>
                <w:bCs/>
                <w:color w:val="auto"/>
                <w:sz w:val="20"/>
                <w:szCs w:val="20"/>
                <w:lang w:val="en-GB"/>
              </w:rPr>
              <w:t>Tham gia đào tạo:</w:t>
            </w:r>
            <w:r w:rsidRPr="00616538">
              <w:rPr>
                <w:rFonts w:ascii="Arial" w:hAnsi="Arial"/>
                <w:color w:val="auto"/>
                <w:sz w:val="20"/>
                <w:szCs w:val="20"/>
                <w:lang w:val="en-GB"/>
              </w:rPr>
              <w:t xml:space="preserve"> Số lượng người tham gia các chương trình đào tạo và hội thảo.</w:t>
            </w:r>
          </w:p>
          <w:p w14:paraId="62561042" w14:textId="4CFD97D7" w:rsidR="00616538" w:rsidRPr="00616538" w:rsidRDefault="00616538" w:rsidP="00616538">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olor w:val="auto"/>
                <w:sz w:val="20"/>
                <w:szCs w:val="20"/>
                <w:lang w:val="en-GB"/>
              </w:rPr>
            </w:pPr>
            <w:r w:rsidRPr="00616538">
              <w:rPr>
                <w:rFonts w:ascii="Arial" w:hAnsi="Arial"/>
                <w:b/>
                <w:bCs/>
                <w:color w:val="auto"/>
                <w:sz w:val="20"/>
                <w:szCs w:val="20"/>
                <w:lang w:val="en-GB"/>
              </w:rPr>
              <w:t>Chiến dịch nâng cao nhận thức</w:t>
            </w:r>
            <w:r w:rsidRPr="00616538">
              <w:rPr>
                <w:rFonts w:ascii="Arial" w:hAnsi="Arial"/>
                <w:color w:val="auto"/>
                <w:sz w:val="20"/>
                <w:szCs w:val="20"/>
                <w:lang w:val="en-GB"/>
              </w:rPr>
              <w:t>: Đo lường mức độ lan tỏa và tác động của chiến dịch thông qua các chỉ số tương tác.</w:t>
            </w:r>
          </w:p>
          <w:p w14:paraId="78128F43" w14:textId="5897FE1E" w:rsidR="00616538" w:rsidRPr="004F1D15" w:rsidRDefault="00616538" w:rsidP="00616538">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olor w:val="auto"/>
                <w:sz w:val="20"/>
                <w:szCs w:val="20"/>
                <w:lang w:val="en-GB"/>
              </w:rPr>
            </w:pPr>
            <w:r w:rsidRPr="00616538">
              <w:rPr>
                <w:rFonts w:ascii="Arial" w:hAnsi="Arial"/>
                <w:b/>
                <w:bCs/>
                <w:color w:val="auto"/>
                <w:sz w:val="20"/>
                <w:szCs w:val="20"/>
                <w:lang w:val="en-GB"/>
              </w:rPr>
              <w:t>Phản hồi và mức độ hiệu quả:</w:t>
            </w:r>
            <w:r w:rsidRPr="00616538">
              <w:rPr>
                <w:rFonts w:ascii="Arial" w:hAnsi="Arial"/>
                <w:color w:val="auto"/>
                <w:sz w:val="20"/>
                <w:szCs w:val="20"/>
                <w:lang w:val="en-GB"/>
              </w:rPr>
              <w:t xml:space="preserve"> Đánh giá hiệu quả của hoạt động đào tạo và truyền thông thông qua phản hồi của người tham gia và khảo sát tác động.</w:t>
            </w:r>
          </w:p>
          <w:p w14:paraId="17DB0D87" w14:textId="6D0841EF" w:rsidR="00470C18" w:rsidRPr="004F1D15" w:rsidRDefault="00470C18">
            <w:pPr>
              <w:cnfStyle w:val="000000100000" w:firstRow="0" w:lastRow="0" w:firstColumn="0" w:lastColumn="0" w:oddVBand="0" w:evenVBand="0" w:oddHBand="1" w:evenHBand="0" w:firstRowFirstColumn="0" w:firstRowLastColumn="0" w:lastRowFirstColumn="0" w:lastRowLastColumn="0"/>
              <w:rPr>
                <w:sz w:val="20"/>
                <w:szCs w:val="20"/>
              </w:rPr>
            </w:pPr>
          </w:p>
        </w:tc>
      </w:tr>
    </w:tbl>
    <w:p w14:paraId="127842D9" w14:textId="0D24634B" w:rsidR="00513FAE" w:rsidRPr="004F1D15" w:rsidRDefault="00513FAE">
      <w:pPr>
        <w:rPr>
          <w:rFonts w:eastAsia="Arial"/>
          <w:color w:val="657C9C" w:themeColor="text2" w:themeTint="BF"/>
          <w:sz w:val="20"/>
          <w:szCs w:val="20"/>
        </w:rPr>
      </w:pPr>
    </w:p>
    <w:p w14:paraId="175AF774" w14:textId="0DEB44EC" w:rsidR="005A7FFA" w:rsidRPr="004F1D15" w:rsidRDefault="00616538" w:rsidP="00C82E40">
      <w:pPr>
        <w:pStyle w:val="Heading4"/>
        <w:rPr>
          <w:sz w:val="20"/>
          <w:lang w:val="en-GB"/>
        </w:rPr>
      </w:pPr>
      <w:r>
        <w:rPr>
          <w:sz w:val="20"/>
          <w:lang w:val="en-GB"/>
        </w:rPr>
        <w:lastRenderedPageBreak/>
        <w:t>Danh</w:t>
      </w:r>
      <w:r>
        <w:rPr>
          <w:sz w:val="20"/>
          <w:lang w:val="vi-VN"/>
        </w:rPr>
        <w:t xml:space="preserve"> mục</w:t>
      </w:r>
      <w:r w:rsidR="00CC6EE0" w:rsidRPr="004F1D15">
        <w:rPr>
          <w:sz w:val="20"/>
          <w:lang w:val="en-GB"/>
        </w:rPr>
        <w:t xml:space="preserve"> </w:t>
      </w:r>
      <w:r w:rsidR="005A7FFA" w:rsidRPr="004F1D15">
        <w:rPr>
          <w:sz w:val="20"/>
          <w:lang w:val="en-GB"/>
        </w:rPr>
        <w:t xml:space="preserve">3: </w:t>
      </w:r>
      <w:r>
        <w:rPr>
          <w:sz w:val="20"/>
          <w:lang w:val="en-GB"/>
        </w:rPr>
        <w:t>Phát</w:t>
      </w:r>
      <w:r>
        <w:rPr>
          <w:sz w:val="20"/>
          <w:lang w:val="vi-VN"/>
        </w:rPr>
        <w:t xml:space="preserve"> triển Hạ tầng </w:t>
      </w:r>
      <w:r w:rsidR="00616696">
        <w:rPr>
          <w:sz w:val="20"/>
          <w:lang w:val="vi-VN"/>
        </w:rPr>
        <w:t>Số</w:t>
      </w:r>
    </w:p>
    <w:tbl>
      <w:tblPr>
        <w:tblStyle w:val="ListTable3-Accent11"/>
        <w:tblW w:w="15314" w:type="dxa"/>
        <w:tblLook w:val="04A0" w:firstRow="1" w:lastRow="0" w:firstColumn="1" w:lastColumn="0" w:noHBand="0" w:noVBand="1"/>
      </w:tblPr>
      <w:tblGrid>
        <w:gridCol w:w="1694"/>
        <w:gridCol w:w="3764"/>
        <w:gridCol w:w="7"/>
        <w:gridCol w:w="3757"/>
        <w:gridCol w:w="15"/>
        <w:gridCol w:w="2303"/>
        <w:gridCol w:w="14"/>
        <w:gridCol w:w="3760"/>
      </w:tblGrid>
      <w:tr w:rsidR="00470C18" w:rsidRPr="004F1D15" w14:paraId="22721B7A" w14:textId="77777777" w:rsidTr="28D8CFD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4" w:type="dxa"/>
            <w:tcBorders>
              <w:bottom w:val="single" w:sz="4" w:space="0" w:color="156082"/>
            </w:tcBorders>
            <w:shd w:val="clear" w:color="auto" w:fill="002060"/>
          </w:tcPr>
          <w:p w14:paraId="72CD04BA" w14:textId="177581A5" w:rsidR="00470C18" w:rsidRPr="00AB18EB" w:rsidRDefault="00AB18EB" w:rsidP="00BF5F59">
            <w:pPr>
              <w:jc w:val="center"/>
              <w:rPr>
                <w:sz w:val="20"/>
                <w:szCs w:val="20"/>
                <w:lang w:val="vi-VN"/>
              </w:rPr>
            </w:pPr>
            <w:r>
              <w:rPr>
                <w:sz w:val="20"/>
                <w:szCs w:val="20"/>
              </w:rPr>
              <w:t>Khu</w:t>
            </w:r>
            <w:r>
              <w:rPr>
                <w:sz w:val="20"/>
                <w:szCs w:val="20"/>
                <w:lang w:val="vi-VN"/>
              </w:rPr>
              <w:t xml:space="preserve"> vực hành động</w:t>
            </w:r>
          </w:p>
        </w:tc>
        <w:tc>
          <w:tcPr>
            <w:tcW w:w="3771" w:type="dxa"/>
            <w:gridSpan w:val="2"/>
            <w:shd w:val="clear" w:color="auto" w:fill="002060"/>
          </w:tcPr>
          <w:p w14:paraId="3E3B57D2" w14:textId="525386BE" w:rsidR="00470C18" w:rsidRPr="00AB18EB" w:rsidRDefault="00AB18EB" w:rsidP="00BF5F59">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Lĩnh</w:t>
            </w:r>
            <w:r>
              <w:rPr>
                <w:sz w:val="20"/>
                <w:szCs w:val="20"/>
                <w:lang w:val="vi-VN"/>
              </w:rPr>
              <w:t xml:space="preserve"> vực trọng tâm</w:t>
            </w:r>
          </w:p>
        </w:tc>
        <w:tc>
          <w:tcPr>
            <w:tcW w:w="3772" w:type="dxa"/>
            <w:gridSpan w:val="2"/>
            <w:shd w:val="clear" w:color="auto" w:fill="002060"/>
          </w:tcPr>
          <w:p w14:paraId="05A4DDB2" w14:textId="137E01BE" w:rsidR="00470C18" w:rsidRPr="004F1D15" w:rsidRDefault="00AB18EB" w:rsidP="00BF5F59">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Các</w:t>
            </w:r>
            <w:r>
              <w:rPr>
                <w:sz w:val="20"/>
                <w:szCs w:val="20"/>
                <w:lang w:val="vi-VN"/>
              </w:rPr>
              <w:t xml:space="preserve"> mốc dự kiến và khung thời gian tạm tính</w:t>
            </w:r>
            <w:r w:rsidR="00470C18" w:rsidRPr="004F1D15">
              <w:rPr>
                <w:sz w:val="20"/>
                <w:szCs w:val="20"/>
                <w:vertAlign w:val="superscript"/>
              </w:rPr>
              <w:footnoteReference w:id="345"/>
            </w:r>
          </w:p>
        </w:tc>
        <w:tc>
          <w:tcPr>
            <w:tcW w:w="2317" w:type="dxa"/>
            <w:gridSpan w:val="2"/>
            <w:shd w:val="clear" w:color="auto" w:fill="002060"/>
          </w:tcPr>
          <w:p w14:paraId="20D9B74E" w14:textId="7859FA24" w:rsidR="00470C18" w:rsidRPr="00AB18EB" w:rsidRDefault="00AB18EB" w:rsidP="00BF5F59">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Các</w:t>
            </w:r>
            <w:r>
              <w:rPr>
                <w:sz w:val="20"/>
                <w:szCs w:val="20"/>
                <w:lang w:val="vi-VN"/>
              </w:rPr>
              <w:t xml:space="preserve"> bên chịu trách nhiệm</w:t>
            </w:r>
          </w:p>
        </w:tc>
        <w:tc>
          <w:tcPr>
            <w:tcW w:w="3760" w:type="dxa"/>
            <w:shd w:val="clear" w:color="auto" w:fill="002060"/>
          </w:tcPr>
          <w:p w14:paraId="5B59E34E" w14:textId="70A5FF90" w:rsidR="00470C18" w:rsidRPr="00AB18EB" w:rsidRDefault="00AB18EB" w:rsidP="00BF5F59">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Thước</w:t>
            </w:r>
            <w:r>
              <w:rPr>
                <w:sz w:val="20"/>
                <w:szCs w:val="20"/>
                <w:lang w:val="vi-VN"/>
              </w:rPr>
              <w:t xml:space="preserve"> đo tiến độ</w:t>
            </w:r>
          </w:p>
        </w:tc>
      </w:tr>
      <w:tr w:rsidR="00470C18" w:rsidRPr="004F1D15" w14:paraId="2D0B60A7" w14:textId="77777777" w:rsidTr="28D8C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shd w:val="clear" w:color="auto" w:fill="00B0F0"/>
          </w:tcPr>
          <w:p w14:paraId="0E94DFA1" w14:textId="48B783F1" w:rsidR="00470C18" w:rsidRPr="00AB18EB" w:rsidRDefault="00AB18EB" w:rsidP="00BF5F59">
            <w:pPr>
              <w:jc w:val="center"/>
              <w:rPr>
                <w:sz w:val="20"/>
                <w:szCs w:val="20"/>
                <w:lang w:val="vi-VN"/>
              </w:rPr>
            </w:pPr>
            <w:r>
              <w:rPr>
                <w:sz w:val="20"/>
                <w:szCs w:val="20"/>
              </w:rPr>
              <w:t>Khu</w:t>
            </w:r>
            <w:r>
              <w:rPr>
                <w:sz w:val="20"/>
                <w:szCs w:val="20"/>
                <w:lang w:val="vi-VN"/>
              </w:rPr>
              <w:t xml:space="preserve"> vực hành động chính</w:t>
            </w:r>
          </w:p>
        </w:tc>
        <w:tc>
          <w:tcPr>
            <w:tcW w:w="13620" w:type="dxa"/>
            <w:gridSpan w:val="7"/>
            <w:tcBorders>
              <w:left w:val="single" w:sz="4" w:space="0" w:color="156082"/>
            </w:tcBorders>
            <w:shd w:val="clear" w:color="auto" w:fill="00B0F0"/>
          </w:tcPr>
          <w:p w14:paraId="0053E1D5" w14:textId="475FFD65" w:rsidR="00470C18" w:rsidRPr="004F1D15" w:rsidRDefault="004F5311" w:rsidP="28D8CFDA">
            <w:pPr>
              <w:cnfStyle w:val="000000100000" w:firstRow="0" w:lastRow="0" w:firstColumn="0" w:lastColumn="0" w:oddVBand="0" w:evenVBand="0" w:oddHBand="1" w:evenHBand="0" w:firstRowFirstColumn="0" w:firstRowLastColumn="0" w:lastRowFirstColumn="0" w:lastRowLastColumn="0"/>
              <w:rPr>
                <w:rFonts w:eastAsiaTheme="minorEastAsia"/>
                <w:b/>
                <w:bCs/>
                <w:sz w:val="20"/>
                <w:szCs w:val="20"/>
              </w:rPr>
            </w:pPr>
            <w:r w:rsidRPr="28D8CFDA">
              <w:rPr>
                <w:b/>
                <w:bCs/>
                <w:sz w:val="20"/>
                <w:szCs w:val="20"/>
              </w:rPr>
              <w:t>6.2.6.3</w:t>
            </w:r>
            <w:r w:rsidR="004E5772" w:rsidRPr="28D8CFDA">
              <w:rPr>
                <w:b/>
                <w:bCs/>
                <w:sz w:val="20"/>
                <w:szCs w:val="20"/>
              </w:rPr>
              <w:t xml:space="preserve"> </w:t>
            </w:r>
            <w:r w:rsidR="002B6624" w:rsidRPr="002B6624">
              <w:rPr>
                <w:b/>
                <w:bCs/>
                <w:sz w:val="20"/>
                <w:szCs w:val="20"/>
              </w:rPr>
              <w:t>Phát triển và nâng cấp hạ tầng thanh toán số phù hợp với các ưu tiên quốc tế và khu vực</w:t>
            </w:r>
          </w:p>
        </w:tc>
      </w:tr>
      <w:tr w:rsidR="00470C18" w:rsidRPr="004F1D15" w14:paraId="65E61306" w14:textId="77777777" w:rsidTr="28D8CFDA">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156082"/>
              <w:bottom w:val="single" w:sz="4" w:space="0" w:color="156082"/>
              <w:right w:val="single" w:sz="4" w:space="0" w:color="156082"/>
            </w:tcBorders>
            <w:shd w:val="clear" w:color="auto" w:fill="BDD6EE" w:themeFill="accent5" w:themeFillTint="66"/>
          </w:tcPr>
          <w:p w14:paraId="2887A9F5" w14:textId="0FD701AD" w:rsidR="00470C18" w:rsidRPr="00AB18EB" w:rsidRDefault="00AB18EB" w:rsidP="00BF5F59">
            <w:pPr>
              <w:jc w:val="center"/>
              <w:rPr>
                <w:sz w:val="20"/>
                <w:szCs w:val="20"/>
                <w:lang w:val="vi-VN"/>
              </w:rPr>
            </w:pPr>
            <w:r>
              <w:rPr>
                <w:sz w:val="20"/>
                <w:szCs w:val="20"/>
                <w:lang w:val="vi-VN"/>
              </w:rPr>
              <w:t>Mục tiêu</w:t>
            </w:r>
          </w:p>
        </w:tc>
        <w:tc>
          <w:tcPr>
            <w:tcW w:w="13620" w:type="dxa"/>
            <w:gridSpan w:val="7"/>
            <w:tcBorders>
              <w:left w:val="single" w:sz="4" w:space="0" w:color="156082"/>
            </w:tcBorders>
            <w:shd w:val="clear" w:color="auto" w:fill="BDD6EE" w:themeFill="accent5" w:themeFillTint="66"/>
          </w:tcPr>
          <w:p w14:paraId="3AA184F2" w14:textId="6E8147D9" w:rsidR="004E5772" w:rsidRPr="00516087" w:rsidRDefault="002B6624"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DengXian" w:hAnsi="Arial"/>
                <w:b/>
                <w:sz w:val="20"/>
                <w:szCs w:val="20"/>
                <w:lang w:val="en-GB"/>
              </w:rPr>
            </w:pPr>
            <w:r w:rsidRPr="002B6624">
              <w:rPr>
                <w:rFonts w:ascii="Arial" w:eastAsia="DengXian" w:hAnsi="Arial"/>
                <w:b/>
                <w:bCs/>
                <w:sz w:val="20"/>
                <w:szCs w:val="20"/>
                <w:lang w:val="vi-VN"/>
              </w:rPr>
              <w:t>Phát triển hệ thống thanh toán xuyên biên giới tích hợp:</w:t>
            </w:r>
            <w:r w:rsidRPr="002B6624">
              <w:rPr>
                <w:rFonts w:ascii="Arial" w:eastAsia="DengXian" w:hAnsi="Arial"/>
                <w:sz w:val="20"/>
                <w:szCs w:val="20"/>
                <w:lang w:val="vi-VN"/>
              </w:rPr>
              <w:t xml:space="preserve"> Xây dựng hạ tầng thanh toán cần thiết để hỗ trợ các sáng kiến quốc tế và khu vực như Project Nexus, Khung Mã QR Tương tác lẫn nhau của ASEAN (ASEAN Interoperable QR Code Framework) và Sáng kiến Kết nối Thanh toán Khu vực (Regional Payment Connectivity Initiative) nhằm tạo thuận lợi cho các giao dịch số xuyên biên giới có khả năng tương tác lẫn nhau.</w:t>
            </w:r>
          </w:p>
          <w:p w14:paraId="778FE235" w14:textId="10635045" w:rsidR="00470C18" w:rsidRPr="004F1D15" w:rsidRDefault="002B6624"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hAnsi="Arial"/>
                <w:sz w:val="20"/>
                <w:szCs w:val="20"/>
                <w:lang w:val="en-GB"/>
              </w:rPr>
            </w:pPr>
            <w:r>
              <w:rPr>
                <w:rFonts w:ascii="Arial" w:eastAsia="DengXian" w:hAnsi="Arial"/>
                <w:b/>
                <w:sz w:val="20"/>
                <w:szCs w:val="20"/>
                <w:lang w:val="en-GB"/>
              </w:rPr>
              <w:t>Tăng</w:t>
            </w:r>
            <w:r>
              <w:rPr>
                <w:rFonts w:ascii="Arial" w:eastAsia="DengXian" w:hAnsi="Arial"/>
                <w:b/>
                <w:sz w:val="20"/>
                <w:szCs w:val="20"/>
                <w:lang w:val="vi-VN"/>
              </w:rPr>
              <w:t xml:space="preserve"> </w:t>
            </w:r>
            <w:r w:rsidRPr="002B6624">
              <w:rPr>
                <w:rFonts w:ascii="Arial" w:hAnsi="Arial"/>
                <w:b/>
                <w:bCs/>
                <w:sz w:val="20"/>
                <w:szCs w:val="20"/>
                <w:lang w:val="vi-VN"/>
              </w:rPr>
              <w:t xml:space="preserve">cường mức độ chấp nhận thanh toán số và thanh toán di động: </w:t>
            </w:r>
            <w:r w:rsidRPr="002B6624">
              <w:rPr>
                <w:rFonts w:ascii="Arial" w:hAnsi="Arial"/>
                <w:sz w:val="20"/>
                <w:szCs w:val="20"/>
                <w:lang w:val="vi-VN"/>
              </w:rPr>
              <w:t>Cung cấp các giải pháp thanh toán đơn giản và an toàn cho người tiêu dùng thông qua việc cải thiện khả năng tiếp cận các công cụ thanh toán số.</w:t>
            </w:r>
          </w:p>
        </w:tc>
      </w:tr>
      <w:tr w:rsidR="00470C18" w:rsidRPr="004F1D15" w14:paraId="4FD3C3DA" w14:textId="77777777" w:rsidTr="28D8C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tcPr>
          <w:p w14:paraId="4674AC1D" w14:textId="5C1CEFC3" w:rsidR="00470C18" w:rsidRPr="004F1D15" w:rsidRDefault="004F5311" w:rsidP="00BF5F59">
            <w:pPr>
              <w:jc w:val="center"/>
              <w:rPr>
                <w:sz w:val="20"/>
                <w:szCs w:val="20"/>
              </w:rPr>
            </w:pPr>
            <w:r>
              <w:rPr>
                <w:sz w:val="20"/>
                <w:szCs w:val="20"/>
              </w:rPr>
              <w:t>6.2.6.3</w:t>
            </w:r>
            <w:r w:rsidR="00A01B9B" w:rsidRPr="004F1D15">
              <w:rPr>
                <w:sz w:val="20"/>
                <w:szCs w:val="20"/>
              </w:rPr>
              <w:t xml:space="preserve"> </w:t>
            </w:r>
            <w:r w:rsidR="002B6624" w:rsidRPr="002B6624">
              <w:rPr>
                <w:sz w:val="20"/>
                <w:szCs w:val="20"/>
              </w:rPr>
              <w:t>Phát triển và nâng cấp hạ tầng thanh toán số phù hợp với các ưu tiên quốc tế và khu vực</w:t>
            </w:r>
          </w:p>
        </w:tc>
        <w:tc>
          <w:tcPr>
            <w:tcW w:w="3764" w:type="dxa"/>
            <w:tcBorders>
              <w:left w:val="single" w:sz="4" w:space="0" w:color="156082"/>
              <w:right w:val="single" w:sz="4" w:space="0" w:color="156082"/>
            </w:tcBorders>
          </w:tcPr>
          <w:p w14:paraId="2A010F38" w14:textId="12C54F86" w:rsidR="004E5772" w:rsidRPr="004F1D15" w:rsidRDefault="00BC46FF" w:rsidP="00C82E40">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b/>
                <w:sz w:val="20"/>
                <w:szCs w:val="20"/>
                <w:lang w:val="en-GB"/>
              </w:rPr>
            </w:pPr>
            <w:r w:rsidRPr="00BC46FF">
              <w:rPr>
                <w:rFonts w:ascii="Arial" w:hAnsi="Arial"/>
                <w:b/>
                <w:bCs/>
                <w:sz w:val="20"/>
                <w:szCs w:val="20"/>
                <w:lang w:val="vi-VN"/>
              </w:rPr>
              <w:t xml:space="preserve">Đồng bộ hóa các hệ thống thanh toán: </w:t>
            </w:r>
            <w:r w:rsidRPr="00BC46FF">
              <w:rPr>
                <w:rFonts w:ascii="Arial" w:hAnsi="Arial"/>
                <w:sz w:val="20"/>
                <w:szCs w:val="20"/>
                <w:lang w:val="vi-VN"/>
              </w:rPr>
              <w:t>Đồng bộ hóa hệ thống đường ray thanh toán và hệ thống thanh toán trong nước với các tiêu chuẩn/hướng dẫn quốc tế trong Sổ tay Quy tắc của Chương trình Nexus (Nexus Scheme Rulebook) và Khung Mã QR Tương tác lẫn nhau của ASEAN (ASEAN Interoperable QR Code Framework), cũng như các tiêu chuẩn toàn cầu như CBPR+, IP+ và các yêu cầu hài hòa của Ủy ban về Thanh toán và Hạ tầng Thị trường (CPMI – Committee on Payments and Market Infrastructures) nhằm bảo đảm khả năng tương thích và khả năng tương tác.</w:t>
            </w:r>
          </w:p>
          <w:p w14:paraId="05B18DAC" w14:textId="710703FF" w:rsidR="004E5772" w:rsidRPr="004F1D15" w:rsidRDefault="00BC46FF" w:rsidP="00C82E40">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b/>
                <w:sz w:val="20"/>
                <w:szCs w:val="20"/>
                <w:lang w:val="en-GB"/>
              </w:rPr>
            </w:pPr>
            <w:r w:rsidRPr="00BC46FF">
              <w:rPr>
                <w:rFonts w:ascii="Arial" w:hAnsi="Arial"/>
                <w:b/>
                <w:bCs/>
                <w:sz w:val="20"/>
                <w:szCs w:val="20"/>
                <w:lang w:val="vi-VN"/>
              </w:rPr>
              <w:t>Tăng cường kết nối:</w:t>
            </w:r>
            <w:r w:rsidRPr="00BC46FF">
              <w:rPr>
                <w:rFonts w:ascii="Arial" w:hAnsi="Arial"/>
                <w:sz w:val="20"/>
                <w:szCs w:val="20"/>
                <w:lang w:val="vi-VN"/>
              </w:rPr>
              <w:t xml:space="preserve"> Mở rộng liên kết thanh toán tức thời xuyên biên giới giữa các quốc gia thành viên </w:t>
            </w:r>
            <w:r w:rsidRPr="00BC46FF">
              <w:rPr>
                <w:rFonts w:ascii="Arial" w:hAnsi="Arial"/>
                <w:sz w:val="20"/>
                <w:szCs w:val="20"/>
                <w:lang w:val="vi-VN"/>
              </w:rPr>
              <w:lastRenderedPageBreak/>
              <w:t>ASEAN (AMS). Mở rộng hạ tầng internet băng rộng và di động đến các khu vực chưa được phục vụ đầy đủ, qua đó bảo đảm khả năng tiếp cận liền mạch với các nền tảng thanh toán số và giảm chi phí liên quan.</w:t>
            </w:r>
          </w:p>
          <w:p w14:paraId="0794A70D" w14:textId="77B0094A" w:rsidR="004E5772" w:rsidRPr="00516087" w:rsidRDefault="00BC46FF" w:rsidP="00692546">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BC46FF">
              <w:rPr>
                <w:rFonts w:ascii="Arial" w:eastAsia="DengXian" w:hAnsi="Arial"/>
                <w:b/>
                <w:bCs/>
                <w:sz w:val="20"/>
                <w:szCs w:val="20"/>
                <w:lang w:val="vi-VN"/>
              </w:rPr>
              <w:t>Đầu tư hạ tầng dài hạn:</w:t>
            </w:r>
            <w:r w:rsidRPr="00BC46FF">
              <w:rPr>
                <w:rFonts w:ascii="Arial" w:eastAsia="DengXian" w:hAnsi="Arial"/>
                <w:sz w:val="20"/>
                <w:szCs w:val="20"/>
                <w:lang w:val="vi-VN"/>
              </w:rPr>
              <w:t xml:space="preserve"> Đầu tư vào phát triển dài hạn hạ tầng thanh toán số phù hợp với các tiêu chuẩn quốc tế nhằm hỗ trợ khả năng mở rộng và bảo đảm thích ứng với các tiến bộ công nghệ trong tương lai. Việc đầu tư này cần cân nhắc các công nghệ mới nổi như công nghệ sổ cái phân tán (DLT – Distributed Ledger Technology), đặc biệt trong bối cảnh khu vực đang nghiên cứu và thử nghiệm Tiền </w:t>
            </w:r>
            <w:r w:rsidR="00616696">
              <w:rPr>
                <w:rFonts w:ascii="Arial" w:eastAsia="DengXian" w:hAnsi="Arial"/>
                <w:sz w:val="20"/>
                <w:szCs w:val="20"/>
                <w:lang w:val="vi-VN"/>
              </w:rPr>
              <w:t>số</w:t>
            </w:r>
            <w:r w:rsidRPr="00BC46FF">
              <w:rPr>
                <w:rFonts w:ascii="Arial" w:eastAsia="DengXian" w:hAnsi="Arial"/>
                <w:sz w:val="20"/>
                <w:szCs w:val="20"/>
                <w:lang w:val="vi-VN"/>
              </w:rPr>
              <w:t xml:space="preserve"> của Ngân hàng Trung ương (CBDC – Central Bank Digital Currencies).</w:t>
            </w:r>
          </w:p>
          <w:p w14:paraId="4729815D" w14:textId="5C404E19" w:rsidR="00470C18" w:rsidRPr="004F1D15" w:rsidRDefault="00470C18">
            <w:pPr>
              <w:cnfStyle w:val="000000100000" w:firstRow="0" w:lastRow="0" w:firstColumn="0" w:lastColumn="0" w:oddVBand="0" w:evenVBand="0" w:oddHBand="1" w:evenHBand="0" w:firstRowFirstColumn="0" w:firstRowLastColumn="0" w:lastRowFirstColumn="0" w:lastRowLastColumn="0"/>
              <w:rPr>
                <w:sz w:val="20"/>
                <w:szCs w:val="20"/>
              </w:rPr>
            </w:pPr>
          </w:p>
        </w:tc>
        <w:tc>
          <w:tcPr>
            <w:tcW w:w="3764" w:type="dxa"/>
            <w:gridSpan w:val="2"/>
            <w:tcBorders>
              <w:left w:val="single" w:sz="4" w:space="0" w:color="156082"/>
              <w:right w:val="single" w:sz="4" w:space="0" w:color="156082"/>
            </w:tcBorders>
          </w:tcPr>
          <w:p w14:paraId="6CD94D99" w14:textId="5CA92CCF" w:rsidR="00470C18" w:rsidRPr="004F1D15" w:rsidRDefault="00BC46F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Ngắn</w:t>
            </w:r>
            <w:r>
              <w:rPr>
                <w:sz w:val="20"/>
                <w:szCs w:val="20"/>
                <w:lang w:val="vi-VN"/>
              </w:rPr>
              <w:t xml:space="preserve"> hạn</w:t>
            </w:r>
            <w:r w:rsidR="00470C18" w:rsidRPr="004F1D15">
              <w:rPr>
                <w:sz w:val="20"/>
                <w:szCs w:val="20"/>
              </w:rPr>
              <w:t>:</w:t>
            </w:r>
          </w:p>
          <w:p w14:paraId="0D3E7EBE" w14:textId="77777777" w:rsidR="002F6514" w:rsidRPr="002F6514" w:rsidRDefault="002F6514" w:rsidP="002F6514">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2F6514">
              <w:rPr>
                <w:rFonts w:ascii="Arial" w:eastAsia="DengXian" w:hAnsi="Arial"/>
                <w:sz w:val="20"/>
                <w:szCs w:val="20"/>
                <w:lang w:val="en-GB"/>
              </w:rPr>
              <w:t>Tiến hành rà soát toàn diện các hệ thống thanh toán trong nước theo Sổ tay Quy tắc Chương trình Nexus, Khung Mã QR ASEAN, và các tiêu chuẩn toàn cầu như CBPR+, IP+, và CPMI, để xây dựng kế hoạch triển khai ban đầu phù hợp với tiêu chuẩn quốc tế.</w:t>
            </w:r>
          </w:p>
          <w:p w14:paraId="319102E9" w14:textId="24D40703" w:rsidR="002F6514" w:rsidRPr="002F6514" w:rsidRDefault="002F6514" w:rsidP="002F6514">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2F6514">
              <w:rPr>
                <w:rFonts w:ascii="Arial" w:eastAsia="DengXian" w:hAnsi="Arial"/>
                <w:sz w:val="20"/>
                <w:szCs w:val="20"/>
                <w:lang w:val="en-GB"/>
              </w:rPr>
              <w:t>Rà soát toàn diện các hệ thống thanh toán tức thời quốc gia trong ASEAN, xác định các cơ hội tăng cường khả năng tương tác và các yêu cầu kỹ thuật cho liên kết xuyên biên giới.</w:t>
            </w:r>
          </w:p>
          <w:p w14:paraId="23296DDA" w14:textId="0F431893" w:rsidR="002F6514" w:rsidRPr="002F6514" w:rsidRDefault="002F6514" w:rsidP="002F6514">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2F6514">
              <w:rPr>
                <w:rFonts w:ascii="Arial" w:eastAsia="DengXian" w:hAnsi="Arial"/>
                <w:sz w:val="20"/>
                <w:szCs w:val="20"/>
                <w:lang w:val="en-GB"/>
              </w:rPr>
              <w:t>Đánh giá khoảng trống hạ tầng internet băng rộng và di động tại các khu vực chưa được phục vụ.</w:t>
            </w:r>
          </w:p>
          <w:p w14:paraId="709B5F9A" w14:textId="2931EE78" w:rsidR="004E5772" w:rsidRPr="002F6514" w:rsidRDefault="002F6514" w:rsidP="002F6514">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2F6514">
              <w:rPr>
                <w:rFonts w:ascii="Arial" w:eastAsia="DengXian" w:hAnsi="Arial"/>
                <w:sz w:val="20"/>
                <w:szCs w:val="20"/>
                <w:lang w:val="en-GB"/>
              </w:rPr>
              <w:lastRenderedPageBreak/>
              <w:t>Khởi động các dự án mở rộng ban đầu nhằm cải thiện kết nối số tại các khu vực ưu tiên.</w:t>
            </w:r>
            <w:r w:rsidR="007C10EB" w:rsidRPr="002F6514">
              <w:rPr>
                <w:rFonts w:eastAsia="DengXian"/>
                <w:sz w:val="20"/>
                <w:szCs w:val="20"/>
              </w:rPr>
              <w:br/>
            </w:r>
          </w:p>
          <w:p w14:paraId="13AF9068" w14:textId="3EC0881E" w:rsidR="00470C18" w:rsidRPr="004F1D15" w:rsidRDefault="002F651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Trung</w:t>
            </w:r>
            <w:r>
              <w:rPr>
                <w:sz w:val="20"/>
                <w:szCs w:val="20"/>
                <w:lang w:val="vi-VN"/>
              </w:rPr>
              <w:t xml:space="preserve"> hạn</w:t>
            </w:r>
            <w:r w:rsidR="00470C18" w:rsidRPr="004F1D15">
              <w:rPr>
                <w:sz w:val="20"/>
                <w:szCs w:val="20"/>
              </w:rPr>
              <w:t>:</w:t>
            </w:r>
          </w:p>
          <w:p w14:paraId="296EA9A6" w14:textId="77777777" w:rsidR="002F6514" w:rsidRPr="002F6514" w:rsidRDefault="002F6514" w:rsidP="002F6514">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2F6514">
              <w:rPr>
                <w:rFonts w:ascii="Arial" w:eastAsia="DengXian" w:hAnsi="Arial"/>
                <w:sz w:val="20"/>
                <w:szCs w:val="20"/>
                <w:lang w:val="en-GB"/>
              </w:rPr>
              <w:t>Triển khai từng giai đoạn việc nâng cấp hệ thống đường ray thanh toán trong nước để đáp ứng tiêu chuẩn quốc tế.</w:t>
            </w:r>
          </w:p>
          <w:p w14:paraId="156EFB55" w14:textId="64627C86" w:rsidR="002F6514" w:rsidRPr="002F6514" w:rsidRDefault="002F6514" w:rsidP="002F6514">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2F6514">
              <w:rPr>
                <w:rFonts w:ascii="Arial" w:eastAsia="DengXian" w:hAnsi="Arial"/>
                <w:sz w:val="20"/>
                <w:szCs w:val="20"/>
                <w:lang w:val="en-GB"/>
              </w:rPr>
              <w:t>Mở rộng các liên kết thanh toán tức thời xuyên biên giới giữa các AMS.</w:t>
            </w:r>
          </w:p>
          <w:p w14:paraId="5DAC9DEE" w14:textId="66755907" w:rsidR="002F6514" w:rsidRPr="002F6514" w:rsidRDefault="002F6514" w:rsidP="002F6514">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2F6514">
              <w:rPr>
                <w:rFonts w:ascii="Arial" w:eastAsia="DengXian" w:hAnsi="Arial"/>
                <w:sz w:val="20"/>
                <w:szCs w:val="20"/>
                <w:lang w:val="en-GB"/>
              </w:rPr>
              <w:t>Triển khai nâng cấp hạ tầng internet băng rộng và di động tại các khu vực ưu tiên.</w:t>
            </w:r>
          </w:p>
          <w:p w14:paraId="087516FD" w14:textId="5D707FF2" w:rsidR="004E5772" w:rsidRPr="002F6514" w:rsidRDefault="002F6514" w:rsidP="002F6514">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2F6514">
              <w:rPr>
                <w:rFonts w:ascii="Arial" w:eastAsia="DengXian" w:hAnsi="Arial"/>
                <w:sz w:val="20"/>
                <w:szCs w:val="20"/>
                <w:lang w:val="en-GB"/>
              </w:rPr>
              <w:t>Theo dõi tác động của việc tăng cường kết nối đối với tỷ lệ chấp nhận và sử dụng thanh toán số.</w:t>
            </w:r>
            <w:r w:rsidR="007C10EB" w:rsidRPr="002F6514">
              <w:rPr>
                <w:rFonts w:eastAsia="DengXian"/>
                <w:sz w:val="20"/>
                <w:szCs w:val="20"/>
              </w:rPr>
              <w:br/>
            </w:r>
          </w:p>
          <w:p w14:paraId="0EFF97B8" w14:textId="01A36FAC" w:rsidR="00470C18" w:rsidRPr="004F1D15" w:rsidRDefault="002F651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Dài</w:t>
            </w:r>
            <w:r>
              <w:rPr>
                <w:sz w:val="20"/>
                <w:szCs w:val="20"/>
                <w:lang w:val="vi-VN"/>
              </w:rPr>
              <w:t xml:space="preserve"> hạn</w:t>
            </w:r>
            <w:r w:rsidR="00470C18" w:rsidRPr="004F1D15">
              <w:rPr>
                <w:sz w:val="20"/>
                <w:szCs w:val="20"/>
              </w:rPr>
              <w:t>:</w:t>
            </w:r>
          </w:p>
          <w:p w14:paraId="4FEA77CB" w14:textId="443BE549" w:rsidR="00C438A8" w:rsidRPr="00C438A8" w:rsidRDefault="00C438A8" w:rsidP="00C438A8">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Pr>
                <w:rFonts w:ascii="Arial" w:eastAsia="DengXian" w:hAnsi="Arial"/>
                <w:sz w:val="20"/>
                <w:szCs w:val="20"/>
                <w:lang w:val="en-GB"/>
              </w:rPr>
              <w:t>H</w:t>
            </w:r>
            <w:r w:rsidRPr="00C438A8">
              <w:rPr>
                <w:rFonts w:ascii="Arial" w:eastAsia="DengXian" w:hAnsi="Arial"/>
                <w:sz w:val="20"/>
                <w:szCs w:val="20"/>
                <w:lang w:val="en-GB"/>
              </w:rPr>
              <w:t>oàn tất tích hợp toàn diện hệ thống thanh toán trong nước với Nexus Scheme Rulebook, ASEAN Interoperable QR Code Framework, và các tiêu chuẩn toàn cầu như CBPR+, IP+, và CPMI.</w:t>
            </w:r>
          </w:p>
          <w:p w14:paraId="7102780A" w14:textId="21E3DDCF" w:rsidR="00C438A8" w:rsidRPr="00C438A8" w:rsidRDefault="00C438A8" w:rsidP="00C438A8">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C438A8">
              <w:rPr>
                <w:rFonts w:ascii="Arial" w:eastAsia="DengXian" w:hAnsi="Arial"/>
                <w:sz w:val="20"/>
                <w:szCs w:val="20"/>
                <w:lang w:val="en-GB"/>
              </w:rPr>
              <w:t>Hoàn tất tích hợp đầy đủ các hệ thống thanh toán tức thời xuyên biên giới giữa tất cả các AMS, tạo điều kiện cho thanh toán tức thời xuyên biên giới liền mạch trong toàn khu vực.</w:t>
            </w:r>
          </w:p>
          <w:p w14:paraId="06C41AE9" w14:textId="34EAC7A9" w:rsidR="00C438A8" w:rsidRPr="00C438A8" w:rsidRDefault="00C438A8" w:rsidP="00C438A8">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C438A8">
              <w:rPr>
                <w:rFonts w:ascii="Arial" w:eastAsia="DengXian" w:hAnsi="Arial"/>
                <w:sz w:val="20"/>
                <w:szCs w:val="20"/>
                <w:lang w:val="en-GB"/>
              </w:rPr>
              <w:t xml:space="preserve">Khám phá khả năng kết nối hệ thống thanh toán xuyên biên giới ASEAN </w:t>
            </w:r>
            <w:r w:rsidRPr="00C438A8">
              <w:rPr>
                <w:rFonts w:ascii="Arial" w:eastAsia="DengXian" w:hAnsi="Arial"/>
                <w:sz w:val="20"/>
                <w:szCs w:val="20"/>
                <w:lang w:val="en-GB"/>
              </w:rPr>
              <w:lastRenderedPageBreak/>
              <w:t>với các mạng lưới toàn cầu khác, tạo điều kiện cho thanh toán tức thời ngoài khu vực.</w:t>
            </w:r>
          </w:p>
          <w:p w14:paraId="2C49191D" w14:textId="7C620D49" w:rsidR="00C438A8" w:rsidRPr="00C438A8" w:rsidRDefault="00C438A8" w:rsidP="00C438A8">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C438A8">
              <w:rPr>
                <w:rFonts w:ascii="Arial" w:eastAsia="DengXian" w:hAnsi="Arial"/>
                <w:sz w:val="20"/>
                <w:szCs w:val="20"/>
                <w:lang w:val="en-GB"/>
              </w:rPr>
              <w:t>Duy trì đầu tư ổn định vào bảo dưỡng và nâng cấp hạ tầng kết nối số.</w:t>
            </w:r>
          </w:p>
          <w:p w14:paraId="6B1C549F" w14:textId="1181A5A7" w:rsidR="00470C18" w:rsidRPr="00C438A8" w:rsidRDefault="00C438A8" w:rsidP="00C438A8">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C438A8">
              <w:rPr>
                <w:rFonts w:ascii="Arial" w:eastAsia="DengXian" w:hAnsi="Arial"/>
                <w:sz w:val="20"/>
                <w:szCs w:val="20"/>
                <w:lang w:val="en-GB"/>
              </w:rPr>
              <w:t>Lập kế hoạch cho các đợt nâng cấp và mở rộng tương lai của hạ tầng thanh toán số nhằm thích ứng với tiến bộ công nghệ.</w:t>
            </w:r>
          </w:p>
        </w:tc>
        <w:tc>
          <w:tcPr>
            <w:tcW w:w="2318" w:type="dxa"/>
            <w:gridSpan w:val="2"/>
            <w:tcBorders>
              <w:left w:val="single" w:sz="4" w:space="0" w:color="156082"/>
              <w:right w:val="single" w:sz="4" w:space="0" w:color="156082"/>
            </w:tcBorders>
          </w:tcPr>
          <w:p w14:paraId="5AD2B53D" w14:textId="41DAB787" w:rsidR="00470C18" w:rsidRPr="004F1D15" w:rsidRDefault="00C438A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lang w:val="vi-VN"/>
              </w:rPr>
              <w:lastRenderedPageBreak/>
              <w:t>Cơ quan đầu mối phụ trách</w:t>
            </w:r>
            <w:r w:rsidR="008828E7">
              <w:rPr>
                <w:sz w:val="20"/>
                <w:szCs w:val="20"/>
              </w:rPr>
              <w:t>:</w:t>
            </w:r>
          </w:p>
          <w:p w14:paraId="1A551C73" w14:textId="3F21A071" w:rsidR="00470C18" w:rsidRPr="004F1D15" w:rsidRDefault="00C438A8" w:rsidP="00C41091">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lang w:val="en-GB"/>
              </w:rPr>
            </w:pPr>
            <w:r w:rsidRPr="00C438A8">
              <w:rPr>
                <w:rFonts w:ascii="Arial" w:eastAsia="DengXian" w:hAnsi="Arial"/>
                <w:sz w:val="20"/>
                <w:szCs w:val="20"/>
                <w:lang w:val="en-GB"/>
              </w:rPr>
              <w:t xml:space="preserve">Ban Công tác về Hệ thống Thanh toán và Thanh toán Bù trừ </w:t>
            </w:r>
            <w:r w:rsidR="004E5772" w:rsidRPr="004F1D15">
              <w:rPr>
                <w:rFonts w:ascii="Arial" w:eastAsia="DengXian" w:hAnsi="Arial"/>
                <w:sz w:val="20"/>
                <w:szCs w:val="20"/>
                <w:lang w:val="en-GB"/>
              </w:rPr>
              <w:t>(WC-PSS)</w:t>
            </w:r>
          </w:p>
        </w:tc>
        <w:tc>
          <w:tcPr>
            <w:tcW w:w="3774" w:type="dxa"/>
            <w:gridSpan w:val="2"/>
            <w:tcBorders>
              <w:left w:val="single" w:sz="4" w:space="0" w:color="156082"/>
            </w:tcBorders>
          </w:tcPr>
          <w:p w14:paraId="5650ADCD" w14:textId="4FAEC0BE" w:rsidR="00470C18" w:rsidRPr="004F1D15" w:rsidRDefault="000464C6">
            <w:pPr>
              <w:cnfStyle w:val="000000100000" w:firstRow="0" w:lastRow="0" w:firstColumn="0" w:lastColumn="0" w:oddVBand="0" w:evenVBand="0" w:oddHBand="1" w:evenHBand="0" w:firstRowFirstColumn="0" w:firstRowLastColumn="0" w:lastRowFirstColumn="0" w:lastRowLastColumn="0"/>
              <w:rPr>
                <w:sz w:val="20"/>
                <w:szCs w:val="20"/>
              </w:rPr>
            </w:pPr>
            <w:r w:rsidRPr="000464C6">
              <w:rPr>
                <w:sz w:val="20"/>
                <w:szCs w:val="20"/>
              </w:rPr>
              <w:t>Các chỉ số đo lường tiến độ chung</w:t>
            </w:r>
            <w:r w:rsidR="00470C18" w:rsidRPr="004F1D15">
              <w:rPr>
                <w:sz w:val="20"/>
                <w:szCs w:val="20"/>
              </w:rPr>
              <w:t>:</w:t>
            </w:r>
          </w:p>
          <w:p w14:paraId="17388A28" w14:textId="77777777" w:rsidR="000464C6" w:rsidRPr="000464C6" w:rsidRDefault="000464C6" w:rsidP="000464C6">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bCs/>
                <w:sz w:val="20"/>
                <w:szCs w:val="20"/>
                <w:lang w:val="en-GB"/>
              </w:rPr>
            </w:pPr>
            <w:r w:rsidRPr="000464C6">
              <w:rPr>
                <w:rFonts w:ascii="Arial" w:hAnsi="Arial"/>
                <w:b/>
                <w:sz w:val="20"/>
                <w:szCs w:val="20"/>
                <w:lang w:val="en-GB"/>
              </w:rPr>
              <w:t xml:space="preserve">Mức độ đồng bộ hóa hệ thống đường ray thanh toán: </w:t>
            </w:r>
            <w:r w:rsidRPr="000464C6">
              <w:rPr>
                <w:rFonts w:ascii="Arial" w:hAnsi="Arial"/>
                <w:bCs/>
                <w:sz w:val="20"/>
                <w:szCs w:val="20"/>
                <w:lang w:val="en-GB"/>
              </w:rPr>
              <w:t>Tiến độ trong việc điều chỉnh hệ thống thanh toán khu vực theo tiêu chuẩn quốc tế.</w:t>
            </w:r>
          </w:p>
          <w:p w14:paraId="6F18EC48" w14:textId="698C3113" w:rsidR="000464C6" w:rsidRPr="000464C6" w:rsidRDefault="000464C6" w:rsidP="000464C6">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bCs/>
                <w:sz w:val="20"/>
                <w:szCs w:val="20"/>
                <w:lang w:val="en-GB"/>
              </w:rPr>
            </w:pPr>
            <w:r w:rsidRPr="000464C6">
              <w:rPr>
                <w:rFonts w:ascii="Arial" w:hAnsi="Arial"/>
                <w:b/>
                <w:sz w:val="20"/>
                <w:szCs w:val="20"/>
                <w:lang w:val="en-GB"/>
              </w:rPr>
              <w:t xml:space="preserve">Mức độ chấp nhận thanh toán di động: </w:t>
            </w:r>
            <w:r w:rsidRPr="000464C6">
              <w:rPr>
                <w:rFonts w:ascii="Arial" w:hAnsi="Arial"/>
                <w:bCs/>
                <w:sz w:val="20"/>
                <w:szCs w:val="20"/>
                <w:lang w:val="en-GB"/>
              </w:rPr>
              <w:t>Tỷ lệ giao dịch và mức độ sử dụng thanh toán di động trong các AMS.</w:t>
            </w:r>
          </w:p>
          <w:p w14:paraId="01A5C719" w14:textId="674DEB96" w:rsidR="00470C18" w:rsidRPr="000464C6" w:rsidRDefault="000464C6" w:rsidP="000464C6">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bCs/>
                <w:sz w:val="20"/>
                <w:szCs w:val="20"/>
                <w:lang w:val="en-GB"/>
              </w:rPr>
            </w:pPr>
            <w:r w:rsidRPr="000464C6">
              <w:rPr>
                <w:rFonts w:ascii="Arial" w:hAnsi="Arial"/>
                <w:b/>
                <w:sz w:val="20"/>
                <w:szCs w:val="20"/>
                <w:lang w:val="en-GB"/>
              </w:rPr>
              <w:t xml:space="preserve">Hệ thống thanh toán xuyên biên giới: </w:t>
            </w:r>
            <w:r w:rsidRPr="000464C6">
              <w:rPr>
                <w:rFonts w:ascii="Arial" w:hAnsi="Arial"/>
                <w:bCs/>
                <w:sz w:val="20"/>
                <w:szCs w:val="20"/>
                <w:lang w:val="en-GB"/>
              </w:rPr>
              <w:t>Khối lượng giao dịch xuyên biên giới thành công được hỗ trợ bởi các hệ thống mới.</w:t>
            </w:r>
          </w:p>
        </w:tc>
      </w:tr>
    </w:tbl>
    <w:p w14:paraId="6D00BEEC" w14:textId="77777777" w:rsidR="005017A6" w:rsidRPr="004F1D15" w:rsidRDefault="005017A6" w:rsidP="00F40893">
      <w:pPr>
        <w:rPr>
          <w:sz w:val="20"/>
          <w:szCs w:val="20"/>
        </w:rPr>
      </w:pPr>
    </w:p>
    <w:p w14:paraId="5612AC32" w14:textId="77777777" w:rsidR="00711529" w:rsidRDefault="00711529">
      <w:pPr>
        <w:spacing w:line="259" w:lineRule="auto"/>
        <w:jc w:val="left"/>
        <w:rPr>
          <w:rFonts w:eastAsia="Arial"/>
          <w:color w:val="ED7D31" w:themeColor="accent2"/>
        </w:rPr>
      </w:pPr>
      <w:r>
        <w:br w:type="page"/>
      </w:r>
    </w:p>
    <w:p w14:paraId="45756B01" w14:textId="48A9FD67" w:rsidR="005A7FFA" w:rsidRPr="00C835CD" w:rsidRDefault="00C835CD" w:rsidP="00B02B2A">
      <w:pPr>
        <w:pStyle w:val="Heading2"/>
        <w:numPr>
          <w:ilvl w:val="0"/>
          <w:numId w:val="0"/>
        </w:numPr>
        <w:rPr>
          <w:rFonts w:cs="Arial"/>
          <w:b/>
          <w:szCs w:val="24"/>
          <w:lang w:val="vi-VN"/>
        </w:rPr>
      </w:pPr>
      <w:bookmarkStart w:id="648" w:name="_Toc180743981"/>
      <w:r>
        <w:rPr>
          <w:rFonts w:cs="Arial"/>
          <w:b/>
          <w:color w:val="auto"/>
          <w:szCs w:val="24"/>
          <w:lang w:val="en-GB"/>
        </w:rPr>
        <w:lastRenderedPageBreak/>
        <w:t>Lộ</w:t>
      </w:r>
      <w:r>
        <w:rPr>
          <w:rFonts w:cs="Arial"/>
          <w:b/>
          <w:color w:val="auto"/>
          <w:szCs w:val="24"/>
          <w:lang w:val="vi-VN"/>
        </w:rPr>
        <w:t xml:space="preserve"> trình cho Khu vực Tương mại Số</w:t>
      </w:r>
      <w:r w:rsidRPr="00B02B2A">
        <w:rPr>
          <w:rFonts w:cs="Arial"/>
          <w:b/>
          <w:color w:val="auto"/>
          <w:szCs w:val="24"/>
          <w:lang w:val="en-GB"/>
        </w:rPr>
        <w:t xml:space="preserve"> 3: </w:t>
      </w:r>
      <w:bookmarkEnd w:id="648"/>
      <w:r>
        <w:rPr>
          <w:rFonts w:cs="Arial"/>
          <w:b/>
          <w:color w:val="auto"/>
          <w:szCs w:val="24"/>
          <w:lang w:val="en-GB"/>
        </w:rPr>
        <w:t>Niềm</w:t>
      </w:r>
      <w:r>
        <w:rPr>
          <w:rFonts w:cs="Arial"/>
          <w:b/>
          <w:color w:val="auto"/>
          <w:szCs w:val="24"/>
          <w:lang w:val="vi-VN"/>
        </w:rPr>
        <w:t xml:space="preserve"> tin Số</w:t>
      </w:r>
    </w:p>
    <w:p w14:paraId="4496EAAB" w14:textId="1484DF4B" w:rsidR="005A7FFA" w:rsidRPr="004F1D15" w:rsidRDefault="00C835CD" w:rsidP="005A7FFA">
      <w:pPr>
        <w:pStyle w:val="Heading3"/>
        <w:rPr>
          <w:szCs w:val="24"/>
          <w:lang w:val="en-GB"/>
        </w:rPr>
      </w:pPr>
      <w:r>
        <w:rPr>
          <w:szCs w:val="24"/>
          <w:lang w:val="en-GB"/>
        </w:rPr>
        <w:t>Tiểu</w:t>
      </w:r>
      <w:r>
        <w:rPr>
          <w:szCs w:val="24"/>
          <w:lang w:val="vi-VN"/>
        </w:rPr>
        <w:t xml:space="preserve"> lĩnh vực: Định danh Số và Xác thực</w:t>
      </w:r>
    </w:p>
    <w:p w14:paraId="6CB56BC6" w14:textId="411C03DC" w:rsidR="005A7FFA" w:rsidRPr="004F1D15" w:rsidRDefault="00C835CD" w:rsidP="00C82E40">
      <w:pPr>
        <w:pStyle w:val="Heading4"/>
        <w:rPr>
          <w:sz w:val="20"/>
          <w:lang w:val="en-GB"/>
        </w:rPr>
      </w:pPr>
      <w:r>
        <w:rPr>
          <w:sz w:val="20"/>
          <w:lang w:val="en-GB"/>
        </w:rPr>
        <w:t>Danh</w:t>
      </w:r>
      <w:r>
        <w:rPr>
          <w:sz w:val="20"/>
          <w:lang w:val="vi-VN"/>
        </w:rPr>
        <w:t xml:space="preserve"> mục</w:t>
      </w:r>
      <w:r w:rsidR="00CC6EE0" w:rsidRPr="004F1D15">
        <w:rPr>
          <w:sz w:val="20"/>
          <w:lang w:val="en-GB"/>
        </w:rPr>
        <w:t xml:space="preserve"> </w:t>
      </w:r>
      <w:r w:rsidR="005A7FFA" w:rsidRPr="004F1D15">
        <w:rPr>
          <w:sz w:val="20"/>
          <w:lang w:val="en-GB"/>
        </w:rPr>
        <w:t xml:space="preserve">1: </w:t>
      </w:r>
      <w:r>
        <w:rPr>
          <w:sz w:val="20"/>
          <w:lang w:val="en-GB"/>
        </w:rPr>
        <w:t>Điều</w:t>
      </w:r>
      <w:r>
        <w:rPr>
          <w:sz w:val="20"/>
          <w:lang w:val="vi-VN"/>
        </w:rPr>
        <w:t xml:space="preserve"> phối và Điều chỉnh chính </w:t>
      </w:r>
      <w:r w:rsidR="00382A37">
        <w:rPr>
          <w:sz w:val="20"/>
          <w:lang w:val="vi-VN"/>
        </w:rPr>
        <w:t>sách</w:t>
      </w:r>
    </w:p>
    <w:tbl>
      <w:tblPr>
        <w:tblStyle w:val="ListTable3-Accent11"/>
        <w:tblW w:w="15314" w:type="dxa"/>
        <w:tblLook w:val="04A0" w:firstRow="1" w:lastRow="0" w:firstColumn="1" w:lastColumn="0" w:noHBand="0" w:noVBand="1"/>
      </w:tblPr>
      <w:tblGrid>
        <w:gridCol w:w="1694"/>
        <w:gridCol w:w="3764"/>
        <w:gridCol w:w="7"/>
        <w:gridCol w:w="3757"/>
        <w:gridCol w:w="15"/>
        <w:gridCol w:w="2303"/>
        <w:gridCol w:w="14"/>
        <w:gridCol w:w="3760"/>
      </w:tblGrid>
      <w:tr w:rsidR="002732DC" w:rsidRPr="004F1D15" w14:paraId="68EB2923" w14:textId="77777777" w:rsidTr="00AC0A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4" w:type="dxa"/>
            <w:tcBorders>
              <w:bottom w:val="single" w:sz="4" w:space="0" w:color="156082"/>
            </w:tcBorders>
            <w:shd w:val="clear" w:color="auto" w:fill="002060"/>
          </w:tcPr>
          <w:p w14:paraId="6986CB9F" w14:textId="4A488C5F" w:rsidR="002732DC" w:rsidRPr="00382A37" w:rsidRDefault="00382A37" w:rsidP="00BF5F59">
            <w:pPr>
              <w:jc w:val="center"/>
              <w:rPr>
                <w:sz w:val="20"/>
                <w:szCs w:val="20"/>
                <w:lang w:val="vi-VN"/>
              </w:rPr>
            </w:pPr>
            <w:r>
              <w:rPr>
                <w:sz w:val="20"/>
                <w:szCs w:val="20"/>
              </w:rPr>
              <w:t>Khu</w:t>
            </w:r>
            <w:r>
              <w:rPr>
                <w:sz w:val="20"/>
                <w:szCs w:val="20"/>
                <w:lang w:val="vi-VN"/>
              </w:rPr>
              <w:t xml:space="preserve"> vực hành động</w:t>
            </w:r>
          </w:p>
        </w:tc>
        <w:tc>
          <w:tcPr>
            <w:tcW w:w="3771" w:type="dxa"/>
            <w:gridSpan w:val="2"/>
            <w:shd w:val="clear" w:color="auto" w:fill="002060"/>
          </w:tcPr>
          <w:p w14:paraId="733E8660" w14:textId="6548C730" w:rsidR="002732DC" w:rsidRPr="00382A37" w:rsidRDefault="00382A37" w:rsidP="00BF5F59">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Lĩnh</w:t>
            </w:r>
            <w:r>
              <w:rPr>
                <w:sz w:val="20"/>
                <w:szCs w:val="20"/>
                <w:lang w:val="vi-VN"/>
              </w:rPr>
              <w:t xml:space="preserve"> vực trọng tâm</w:t>
            </w:r>
          </w:p>
        </w:tc>
        <w:tc>
          <w:tcPr>
            <w:tcW w:w="3772" w:type="dxa"/>
            <w:gridSpan w:val="2"/>
            <w:shd w:val="clear" w:color="auto" w:fill="002060"/>
          </w:tcPr>
          <w:p w14:paraId="40B5F521" w14:textId="0DD4CA28" w:rsidR="002732DC" w:rsidRPr="004F1D15" w:rsidRDefault="00382A37" w:rsidP="00BF5F59">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Các</w:t>
            </w:r>
            <w:r>
              <w:rPr>
                <w:sz w:val="20"/>
                <w:szCs w:val="20"/>
                <w:lang w:val="vi-VN"/>
              </w:rPr>
              <w:t xml:space="preserve"> mốc dự kiến và khung thời gian tạm tính</w:t>
            </w:r>
            <w:r w:rsidR="002732DC" w:rsidRPr="004F1D15">
              <w:rPr>
                <w:sz w:val="20"/>
                <w:szCs w:val="20"/>
                <w:vertAlign w:val="superscript"/>
              </w:rPr>
              <w:footnoteReference w:id="346"/>
            </w:r>
          </w:p>
        </w:tc>
        <w:tc>
          <w:tcPr>
            <w:tcW w:w="2317" w:type="dxa"/>
            <w:gridSpan w:val="2"/>
            <w:shd w:val="clear" w:color="auto" w:fill="002060"/>
          </w:tcPr>
          <w:p w14:paraId="1F89CE54" w14:textId="5D8C99FC" w:rsidR="002732DC" w:rsidRPr="00382A37" w:rsidRDefault="00382A37" w:rsidP="00BF5F59">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Các</w:t>
            </w:r>
            <w:r>
              <w:rPr>
                <w:sz w:val="20"/>
                <w:szCs w:val="20"/>
                <w:lang w:val="vi-VN"/>
              </w:rPr>
              <w:t xml:space="preserve"> bên chịu trách nhiệm</w:t>
            </w:r>
          </w:p>
        </w:tc>
        <w:tc>
          <w:tcPr>
            <w:tcW w:w="3760" w:type="dxa"/>
            <w:shd w:val="clear" w:color="auto" w:fill="002060"/>
          </w:tcPr>
          <w:p w14:paraId="04BD301B" w14:textId="2AC9DA49" w:rsidR="002732DC" w:rsidRPr="00382A37" w:rsidRDefault="00382A37" w:rsidP="00BF5F59">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Thước</w:t>
            </w:r>
            <w:r>
              <w:rPr>
                <w:sz w:val="20"/>
                <w:szCs w:val="20"/>
                <w:lang w:val="vi-VN"/>
              </w:rPr>
              <w:t xml:space="preserve"> đo tiến độ</w:t>
            </w:r>
          </w:p>
        </w:tc>
      </w:tr>
      <w:tr w:rsidR="002732DC" w:rsidRPr="004F1D15" w14:paraId="766F7F65" w14:textId="77777777" w:rsidTr="6BB67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shd w:val="clear" w:color="auto" w:fill="9CC2E5" w:themeFill="accent5" w:themeFillTint="99"/>
          </w:tcPr>
          <w:p w14:paraId="20961FCC" w14:textId="7258DEE5" w:rsidR="002732DC" w:rsidRPr="00382A37" w:rsidRDefault="00382A37" w:rsidP="00BF5F59">
            <w:pPr>
              <w:jc w:val="center"/>
              <w:rPr>
                <w:sz w:val="20"/>
                <w:szCs w:val="20"/>
                <w:lang w:val="vi-VN"/>
              </w:rPr>
            </w:pPr>
            <w:r>
              <w:rPr>
                <w:sz w:val="20"/>
                <w:szCs w:val="20"/>
              </w:rPr>
              <w:t>Khu</w:t>
            </w:r>
            <w:r>
              <w:rPr>
                <w:sz w:val="20"/>
                <w:szCs w:val="20"/>
                <w:lang w:val="vi-VN"/>
              </w:rPr>
              <w:t xml:space="preserve"> vực hành động chính</w:t>
            </w:r>
          </w:p>
        </w:tc>
        <w:tc>
          <w:tcPr>
            <w:tcW w:w="13620" w:type="dxa"/>
            <w:gridSpan w:val="7"/>
            <w:tcBorders>
              <w:left w:val="single" w:sz="4" w:space="0" w:color="156082"/>
            </w:tcBorders>
            <w:shd w:val="clear" w:color="auto" w:fill="9CC2E5" w:themeFill="accent5" w:themeFillTint="99"/>
          </w:tcPr>
          <w:p w14:paraId="3A4EA728" w14:textId="7C480D36" w:rsidR="002732DC" w:rsidRPr="00382A37" w:rsidRDefault="00B02B2A">
            <w:pPr>
              <w:cnfStyle w:val="000000100000" w:firstRow="0" w:lastRow="0" w:firstColumn="0" w:lastColumn="0" w:oddVBand="0" w:evenVBand="0" w:oddHBand="1" w:evenHBand="0" w:firstRowFirstColumn="0" w:firstRowLastColumn="0" w:lastRowFirstColumn="0" w:lastRowLastColumn="0"/>
              <w:rPr>
                <w:rFonts w:eastAsiaTheme="minorEastAsia"/>
                <w:b/>
                <w:bCs/>
                <w:sz w:val="20"/>
                <w:szCs w:val="20"/>
                <w:lang w:val="vi-VN"/>
              </w:rPr>
            </w:pPr>
            <w:r>
              <w:rPr>
                <w:b/>
                <w:bCs/>
                <w:sz w:val="20"/>
                <w:szCs w:val="20"/>
              </w:rPr>
              <w:t>6.2.7</w:t>
            </w:r>
            <w:r w:rsidR="000931F3" w:rsidRPr="004F1D15">
              <w:rPr>
                <w:b/>
                <w:bCs/>
                <w:sz w:val="20"/>
                <w:szCs w:val="20"/>
              </w:rPr>
              <w:t xml:space="preserve">.1 </w:t>
            </w:r>
            <w:r w:rsidR="00382A37" w:rsidRPr="00382A37">
              <w:rPr>
                <w:b/>
                <w:sz w:val="20"/>
                <w:szCs w:val="20"/>
                <w:lang w:val="vi-VN"/>
              </w:rPr>
              <w:t>Xây dựng Lộ trình triển khai nhằm thiết lập Mã định danh và Xác thực Thống nhất Khu vực (UBIN) có thể so sánh và được công nhận trong toàn ASEAN</w:t>
            </w:r>
          </w:p>
        </w:tc>
      </w:tr>
      <w:tr w:rsidR="002732DC" w:rsidRPr="004F1D15" w14:paraId="41939B97" w14:textId="77777777" w:rsidTr="00AC0AE1">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156082"/>
              <w:bottom w:val="single" w:sz="4" w:space="0" w:color="156082"/>
              <w:right w:val="single" w:sz="4" w:space="0" w:color="156082"/>
            </w:tcBorders>
            <w:shd w:val="clear" w:color="auto" w:fill="BDD6EE" w:themeFill="accent5" w:themeFillTint="66"/>
          </w:tcPr>
          <w:p w14:paraId="2E774C0A" w14:textId="3A3C562D" w:rsidR="002732DC" w:rsidRPr="00382A37" w:rsidRDefault="00382A37" w:rsidP="00BF5F59">
            <w:pPr>
              <w:jc w:val="center"/>
              <w:rPr>
                <w:sz w:val="20"/>
                <w:szCs w:val="20"/>
                <w:lang w:val="vi-VN"/>
              </w:rPr>
            </w:pPr>
            <w:r>
              <w:rPr>
                <w:sz w:val="20"/>
                <w:szCs w:val="20"/>
              </w:rPr>
              <w:t>Mục</w:t>
            </w:r>
            <w:r>
              <w:rPr>
                <w:sz w:val="20"/>
                <w:szCs w:val="20"/>
                <w:lang w:val="vi-VN"/>
              </w:rPr>
              <w:t xml:space="preserve"> tiêu</w:t>
            </w:r>
          </w:p>
        </w:tc>
        <w:tc>
          <w:tcPr>
            <w:tcW w:w="13620" w:type="dxa"/>
            <w:gridSpan w:val="7"/>
            <w:tcBorders>
              <w:left w:val="single" w:sz="4" w:space="0" w:color="156082"/>
            </w:tcBorders>
            <w:shd w:val="clear" w:color="auto" w:fill="BDD6EE" w:themeFill="accent5" w:themeFillTint="66"/>
          </w:tcPr>
          <w:p w14:paraId="2A6BC320" w14:textId="01ECECC8" w:rsidR="000931F3" w:rsidRPr="00516087" w:rsidRDefault="001E4379"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DengXian" w:hAnsi="Arial"/>
                <w:sz w:val="20"/>
                <w:szCs w:val="20"/>
                <w:lang w:val="en-GB"/>
              </w:rPr>
            </w:pPr>
            <w:r w:rsidRPr="001E4379">
              <w:rPr>
                <w:rFonts w:ascii="Arial" w:eastAsia="DengXian" w:hAnsi="Arial"/>
                <w:b/>
                <w:bCs/>
                <w:sz w:val="20"/>
                <w:szCs w:val="20"/>
                <w:lang w:val="vi-VN"/>
              </w:rPr>
              <w:t>Hội tụ quy định:</w:t>
            </w:r>
            <w:r w:rsidRPr="001E4379">
              <w:rPr>
                <w:rFonts w:ascii="Arial" w:eastAsia="DengXian" w:hAnsi="Arial"/>
                <w:sz w:val="20"/>
                <w:szCs w:val="20"/>
                <w:lang w:val="vi-VN"/>
              </w:rPr>
              <w:t xml:space="preserve"> Xây dựng sự hiểu biết chung về định danh số và xác thực nhằm thúc đẩy hội tụ về quy định trong khu vực.</w:t>
            </w:r>
          </w:p>
          <w:p w14:paraId="51804994" w14:textId="51C66649" w:rsidR="002732DC" w:rsidRPr="00516087" w:rsidRDefault="001E4379"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hAnsi="Arial"/>
                <w:sz w:val="20"/>
                <w:szCs w:val="20"/>
                <w:lang w:val="en-GB"/>
              </w:rPr>
            </w:pPr>
            <w:r w:rsidRPr="001E4379">
              <w:rPr>
                <w:rFonts w:ascii="Arial" w:eastAsia="DengXian" w:hAnsi="Arial"/>
                <w:b/>
                <w:bCs/>
                <w:sz w:val="20"/>
                <w:szCs w:val="20"/>
                <w:lang w:val="vi-VN"/>
              </w:rPr>
              <w:t>Tăng cường thương mại và năng lực cạnh tranh kinh tế:</w:t>
            </w:r>
            <w:r w:rsidRPr="001E4379">
              <w:rPr>
                <w:rFonts w:ascii="Arial" w:eastAsia="DengXian" w:hAnsi="Arial"/>
                <w:sz w:val="20"/>
                <w:szCs w:val="20"/>
                <w:lang w:val="vi-VN"/>
              </w:rPr>
              <w:t xml:space="preserve"> Phát triển một hệ thống định danh số và xác thực có khả năng công nhận lẫn nhau và tương tác liên thông sẽ giúp tạo điều kiện cho các giao dịch xuyên biên giới an toàn và đáng tin cậy, từ đó thúc đẩy thương mại nội khối ASEAN cũng như nâng cao năng lực cạnh tranh kinh tế của ASEAN.</w:t>
            </w:r>
          </w:p>
        </w:tc>
      </w:tr>
      <w:tr w:rsidR="002732DC" w:rsidRPr="004F1D15" w14:paraId="27EE288A" w14:textId="77777777" w:rsidTr="6BB67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tcPr>
          <w:p w14:paraId="56C4CE1D" w14:textId="4D840561" w:rsidR="002732DC" w:rsidRPr="004F1D15" w:rsidRDefault="00B02B2A" w:rsidP="00BF5F59">
            <w:pPr>
              <w:jc w:val="center"/>
              <w:rPr>
                <w:sz w:val="20"/>
                <w:szCs w:val="20"/>
              </w:rPr>
            </w:pPr>
            <w:r>
              <w:rPr>
                <w:sz w:val="20"/>
                <w:szCs w:val="20"/>
              </w:rPr>
              <w:t>6.2.7</w:t>
            </w:r>
            <w:r w:rsidR="000931F3" w:rsidRPr="004F1D15">
              <w:rPr>
                <w:sz w:val="20"/>
                <w:szCs w:val="20"/>
              </w:rPr>
              <w:t xml:space="preserve">.1 </w:t>
            </w:r>
            <w:r w:rsidR="00382A37" w:rsidRPr="004F1D15">
              <w:rPr>
                <w:sz w:val="20"/>
                <w:szCs w:val="20"/>
              </w:rPr>
              <w:t xml:space="preserve">1 </w:t>
            </w:r>
            <w:r w:rsidR="00382A37" w:rsidRPr="00382A37">
              <w:rPr>
                <w:sz w:val="20"/>
                <w:szCs w:val="20"/>
                <w:lang w:val="vi-VN"/>
              </w:rPr>
              <w:t>Xây dựng Lộ trình triển khai nhằm thiết lập Mã định danh và Xác thực Thống nhất Khu vực (UBIN) có thể so sánh và được công nhận trong toàn ASEAN</w:t>
            </w:r>
          </w:p>
        </w:tc>
        <w:tc>
          <w:tcPr>
            <w:tcW w:w="3764" w:type="dxa"/>
            <w:tcBorders>
              <w:left w:val="single" w:sz="4" w:space="0" w:color="156082"/>
              <w:right w:val="single" w:sz="4" w:space="0" w:color="156082"/>
            </w:tcBorders>
          </w:tcPr>
          <w:p w14:paraId="712843A1" w14:textId="28194E9B" w:rsidR="000931F3" w:rsidRPr="004F1D15" w:rsidRDefault="001E4379" w:rsidP="00C82E40">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b/>
                <w:sz w:val="20"/>
                <w:szCs w:val="20"/>
                <w:lang w:val="en-GB"/>
              </w:rPr>
            </w:pPr>
            <w:r w:rsidRPr="001E4379">
              <w:rPr>
                <w:rFonts w:ascii="Arial" w:hAnsi="Arial"/>
                <w:b/>
                <w:sz w:val="20"/>
                <w:szCs w:val="20"/>
                <w:lang w:val="en-GB"/>
              </w:rPr>
              <w:t xml:space="preserve">Xây dựng Lộ trình triển khai nhằm thiết lập Mã định danh Doanh nghiệp Thống nhất Khu vực (UBIN) có thể so sánh và được công nhận trong toàn ASEAN: </w:t>
            </w:r>
            <w:r w:rsidRPr="001A3542">
              <w:rPr>
                <w:rFonts w:ascii="Arial" w:hAnsi="Arial"/>
                <w:bCs/>
                <w:sz w:val="20"/>
                <w:szCs w:val="20"/>
                <w:lang w:val="en-GB"/>
              </w:rPr>
              <w:t>Xây dựng một kế hoạch chiến lược và có cấu trúc để phát triển hạ tầng số tương tác liên thông, nhằm thúc đẩy khả năng liên thông giữa các hệ thống đăng ký doanh nghiệp của các Quốc gia Thành viên ASEAN (AMS).</w:t>
            </w:r>
          </w:p>
          <w:p w14:paraId="2F3B1610" w14:textId="2DD313E5" w:rsidR="000931F3" w:rsidRPr="00516087" w:rsidRDefault="001A3542" w:rsidP="0098474E">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sz w:val="20"/>
                <w:szCs w:val="20"/>
                <w:lang w:val="en-GB"/>
              </w:rPr>
            </w:pPr>
            <w:r w:rsidRPr="001A3542">
              <w:rPr>
                <w:rFonts w:asciiTheme="minorBidi" w:eastAsia="DengXian" w:hAnsiTheme="minorBidi" w:cstheme="minorBidi"/>
                <w:b/>
                <w:bCs/>
                <w:sz w:val="20"/>
                <w:szCs w:val="20"/>
                <w:lang w:val="vi-VN"/>
              </w:rPr>
              <w:t>Xây dựng Khung khu vực:</w:t>
            </w:r>
            <w:r w:rsidRPr="001A3542">
              <w:rPr>
                <w:rFonts w:asciiTheme="minorBidi" w:eastAsia="DengXian" w:hAnsiTheme="minorBidi" w:cstheme="minorBidi"/>
                <w:sz w:val="20"/>
                <w:szCs w:val="20"/>
                <w:lang w:val="vi-VN"/>
              </w:rPr>
              <w:t xml:space="preserve"> Xây dựng Khung khu vực ASEAN quy định các định nghĩa chủ chốt, nguyên tắc và tiêu chuẩn tối thiểu về định danh số và xác thực cho cả 10 nước ASEAN. Khung này cung cấp </w:t>
            </w:r>
            <w:r w:rsidRPr="001A3542">
              <w:rPr>
                <w:rFonts w:asciiTheme="minorBidi" w:eastAsia="DengXian" w:hAnsiTheme="minorBidi" w:cstheme="minorBidi"/>
                <w:sz w:val="20"/>
                <w:szCs w:val="20"/>
                <w:lang w:val="vi-VN"/>
              </w:rPr>
              <w:lastRenderedPageBreak/>
              <w:t>nền tảng chung để đảm bảo khả năng liên thông nhưng vẫn cho phép linh hoạt khi áp dụng ở cấp quốc gia.</w:t>
            </w:r>
          </w:p>
          <w:p w14:paraId="08CA417A" w14:textId="362517C9" w:rsidR="000931F3" w:rsidRPr="004F1D15" w:rsidRDefault="001A3542" w:rsidP="00C82E40">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1A3542">
              <w:rPr>
                <w:rFonts w:ascii="Arial" w:hAnsi="Arial"/>
                <w:b/>
                <w:bCs/>
                <w:sz w:val="20"/>
                <w:szCs w:val="20"/>
                <w:lang w:val="vi-VN"/>
              </w:rPr>
              <w:t>Tham vấn các bên liên quan:</w:t>
            </w:r>
            <w:r w:rsidRPr="001A3542">
              <w:rPr>
                <w:rFonts w:ascii="Arial" w:hAnsi="Arial"/>
                <w:sz w:val="20"/>
                <w:szCs w:val="20"/>
                <w:lang w:val="vi-VN"/>
              </w:rPr>
              <w:t xml:space="preserve"> Tăng cường tương tác với các bên liên quan chủ chốt, bao gồm nhà hoạch định chính sách và lãnh đạo ngành, nhằm hỗ trợ xây dựng Lộ trình UBIN.</w:t>
            </w:r>
          </w:p>
          <w:p w14:paraId="6A7539C9" w14:textId="77777777" w:rsidR="002732DC" w:rsidRPr="004F1D15" w:rsidRDefault="002732DC">
            <w:pPr>
              <w:cnfStyle w:val="000000100000" w:firstRow="0" w:lastRow="0" w:firstColumn="0" w:lastColumn="0" w:oddVBand="0" w:evenVBand="0" w:oddHBand="1" w:evenHBand="0" w:firstRowFirstColumn="0" w:firstRowLastColumn="0" w:lastRowFirstColumn="0" w:lastRowLastColumn="0"/>
              <w:rPr>
                <w:sz w:val="20"/>
                <w:szCs w:val="20"/>
              </w:rPr>
            </w:pPr>
          </w:p>
        </w:tc>
        <w:tc>
          <w:tcPr>
            <w:tcW w:w="3764" w:type="dxa"/>
            <w:gridSpan w:val="2"/>
            <w:tcBorders>
              <w:left w:val="single" w:sz="4" w:space="0" w:color="156082"/>
              <w:right w:val="single" w:sz="4" w:space="0" w:color="156082"/>
            </w:tcBorders>
          </w:tcPr>
          <w:p w14:paraId="2E36D246" w14:textId="1CA50B73" w:rsidR="002732DC" w:rsidRPr="004F1D15" w:rsidRDefault="001A354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Ngắn</w:t>
            </w:r>
            <w:r>
              <w:rPr>
                <w:sz w:val="20"/>
                <w:szCs w:val="20"/>
                <w:lang w:val="vi-VN"/>
              </w:rPr>
              <w:t xml:space="preserve"> hạn</w:t>
            </w:r>
            <w:r w:rsidR="002732DC" w:rsidRPr="004F1D15">
              <w:rPr>
                <w:sz w:val="20"/>
                <w:szCs w:val="20"/>
              </w:rPr>
              <w:t>:</w:t>
            </w:r>
          </w:p>
          <w:p w14:paraId="43BF4B96" w14:textId="6155A2AA" w:rsidR="001A3542" w:rsidRPr="001A3542" w:rsidRDefault="001A3542" w:rsidP="001A3542">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bCs/>
                <w:sz w:val="20"/>
                <w:szCs w:val="20"/>
                <w:lang w:val="en-GB"/>
              </w:rPr>
            </w:pPr>
            <w:r w:rsidRPr="001A3542">
              <w:rPr>
                <w:rFonts w:ascii="Arial" w:eastAsia="DengXian" w:hAnsi="Arial"/>
                <w:bCs/>
                <w:sz w:val="20"/>
                <w:szCs w:val="20"/>
                <w:lang w:val="en-GB"/>
              </w:rPr>
              <w:t>Tiến hành tham vấn các bên liên quan để thu thập phản hồi và xây dựng đồng thuận.</w:t>
            </w:r>
          </w:p>
          <w:p w14:paraId="18A416C6" w14:textId="1D95096B" w:rsidR="001A3542" w:rsidRPr="001A3542" w:rsidRDefault="001A3542" w:rsidP="001A3542">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bCs/>
                <w:sz w:val="20"/>
                <w:szCs w:val="20"/>
                <w:lang w:val="en-GB"/>
              </w:rPr>
            </w:pPr>
            <w:r w:rsidRPr="001A3542">
              <w:rPr>
                <w:rFonts w:ascii="Arial" w:eastAsia="DengXian" w:hAnsi="Arial"/>
                <w:bCs/>
                <w:sz w:val="20"/>
                <w:szCs w:val="20"/>
                <w:lang w:val="en-GB"/>
              </w:rPr>
              <w:t>Thực hiện rà soát toàn diện các luật, quy định và tiêu chuẩn hiện hành hoặc đang xây dựng liên quan đến định danh số và xác thực trong ASEAN nhằm xác định các khoảng trống và cơ hội hài hòa hóa.</w:t>
            </w:r>
          </w:p>
          <w:p w14:paraId="2D1B1485" w14:textId="7F315136" w:rsidR="001A3542" w:rsidRPr="001A3542" w:rsidRDefault="001A3542" w:rsidP="001A3542">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bCs/>
                <w:sz w:val="20"/>
                <w:szCs w:val="20"/>
                <w:lang w:val="en-GB"/>
              </w:rPr>
            </w:pPr>
            <w:r w:rsidRPr="001A3542">
              <w:rPr>
                <w:rFonts w:ascii="Arial" w:eastAsia="DengXian" w:hAnsi="Arial"/>
                <w:bCs/>
                <w:sz w:val="20"/>
                <w:szCs w:val="20"/>
                <w:lang w:val="en-GB"/>
              </w:rPr>
              <w:t>Triển khai các nghiên cứu chuyên sâu để xác định yêu cầu kỹ thuật, vận hành và pháp lý cho Lộ trình UBIN.</w:t>
            </w:r>
          </w:p>
          <w:p w14:paraId="02EF03EB" w14:textId="455B655A" w:rsidR="001A3542" w:rsidRPr="001A3542" w:rsidRDefault="001A3542" w:rsidP="001A3542">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bCs/>
                <w:sz w:val="20"/>
                <w:szCs w:val="20"/>
                <w:lang w:val="en-GB"/>
              </w:rPr>
            </w:pPr>
            <w:r w:rsidRPr="001A3542">
              <w:rPr>
                <w:rFonts w:ascii="Arial" w:eastAsia="DengXian" w:hAnsi="Arial"/>
                <w:bCs/>
                <w:sz w:val="20"/>
                <w:szCs w:val="20"/>
                <w:lang w:val="en-GB"/>
              </w:rPr>
              <w:t xml:space="preserve">Thiết lập các định nghĩa, nguyên tắc, tiêu chuẩn, thông lệ và giao thức </w:t>
            </w:r>
            <w:r w:rsidRPr="001A3542">
              <w:rPr>
                <w:rFonts w:ascii="Arial" w:eastAsia="DengXian" w:hAnsi="Arial"/>
                <w:bCs/>
                <w:sz w:val="20"/>
                <w:szCs w:val="20"/>
                <w:lang w:val="en-GB"/>
              </w:rPr>
              <w:lastRenderedPageBreak/>
              <w:t>chung cho Lộ trình UBIN và cho cơ chế định danh số khu vực ASEAN.</w:t>
            </w:r>
          </w:p>
          <w:p w14:paraId="17152050" w14:textId="24CA0FF4" w:rsidR="001A3542" w:rsidRPr="001A3542" w:rsidRDefault="001A3542" w:rsidP="001A3542">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bCs/>
                <w:sz w:val="20"/>
                <w:szCs w:val="20"/>
                <w:lang w:val="en-GB"/>
              </w:rPr>
            </w:pPr>
            <w:r w:rsidRPr="001A3542">
              <w:rPr>
                <w:rFonts w:ascii="Arial" w:eastAsia="DengXian" w:hAnsi="Arial"/>
                <w:bCs/>
                <w:sz w:val="20"/>
                <w:szCs w:val="20"/>
                <w:lang w:val="en-GB"/>
              </w:rPr>
              <w:t>Soạn thảo và phê duyệt khung khu vực ASEAN về định danh số và xác thực, có tích hợp phản hồi của các chuyên gia ngành.</w:t>
            </w:r>
          </w:p>
          <w:p w14:paraId="1BD13A38" w14:textId="31F5C3D1" w:rsidR="000931F3" w:rsidRPr="001A3542" w:rsidRDefault="001A3542" w:rsidP="001A3542">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bCs/>
                <w:sz w:val="20"/>
                <w:szCs w:val="20"/>
                <w:lang w:val="en-GB"/>
              </w:rPr>
            </w:pPr>
            <w:r w:rsidRPr="001A3542">
              <w:rPr>
                <w:rFonts w:ascii="Arial" w:eastAsia="DengXian" w:hAnsi="Arial"/>
                <w:bCs/>
                <w:sz w:val="20"/>
                <w:szCs w:val="20"/>
                <w:lang w:val="en-GB"/>
              </w:rPr>
              <w:t>Soạn thảo và phê duyệt Lộ trình UBIN, bao gồm xác định các cột mốc, hoạt động, thời gian và nguồn lực cần thiết ở cả cấp quốc gia và khu vực.</w:t>
            </w:r>
            <w:r w:rsidR="0098474E" w:rsidRPr="001A3542">
              <w:rPr>
                <w:rFonts w:asciiTheme="minorBidi" w:eastAsia="DengXian" w:hAnsiTheme="minorBidi" w:cstheme="minorBidi"/>
                <w:sz w:val="20"/>
                <w:szCs w:val="20"/>
              </w:rPr>
              <w:br/>
            </w:r>
          </w:p>
          <w:p w14:paraId="44B33356" w14:textId="2EBF9B72" w:rsidR="000931F3" w:rsidRPr="004F1D15" w:rsidRDefault="001A3542" w:rsidP="000931F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Trung</w:t>
            </w:r>
            <w:r>
              <w:rPr>
                <w:sz w:val="20"/>
                <w:szCs w:val="20"/>
                <w:lang w:val="vi-VN"/>
              </w:rPr>
              <w:t xml:space="preserve"> hạn</w:t>
            </w:r>
            <w:r w:rsidR="000931F3" w:rsidRPr="004F1D15">
              <w:rPr>
                <w:sz w:val="20"/>
                <w:szCs w:val="20"/>
              </w:rPr>
              <w:t>:</w:t>
            </w:r>
          </w:p>
          <w:p w14:paraId="62EB9960" w14:textId="77777777" w:rsidR="001A3542" w:rsidRPr="001A3542" w:rsidRDefault="001A3542" w:rsidP="001A3542">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1A3542">
              <w:rPr>
                <w:rFonts w:ascii="Arial" w:eastAsia="DengXian" w:hAnsi="Arial"/>
                <w:sz w:val="20"/>
                <w:szCs w:val="20"/>
                <w:lang w:val="en-GB"/>
              </w:rPr>
              <w:t>Hài hòa hóa luật pháp và quy định liên quan đến định danh số và xác thực giữa các Quốc gia Thành viên ASEAN.</w:t>
            </w:r>
          </w:p>
          <w:p w14:paraId="41696534" w14:textId="527CECE1" w:rsidR="001A3542" w:rsidRPr="001A3542" w:rsidRDefault="001A3542" w:rsidP="001A3542">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1A3542">
              <w:rPr>
                <w:rFonts w:ascii="Arial" w:eastAsia="DengXian" w:hAnsi="Arial"/>
                <w:sz w:val="20"/>
                <w:szCs w:val="20"/>
                <w:lang w:val="en-GB"/>
              </w:rPr>
              <w:t>Thiết lập sandbox quản lý cấp khu vực ASEAN để thử nghiệm và điều chỉnh hệ thống UBIN.</w:t>
            </w:r>
          </w:p>
          <w:p w14:paraId="0896B581" w14:textId="78F020E6" w:rsidR="001A3542" w:rsidRPr="001A3542" w:rsidRDefault="001A3542" w:rsidP="001A3542">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1A3542">
              <w:rPr>
                <w:rFonts w:ascii="Arial" w:eastAsia="DengXian" w:hAnsi="Arial"/>
                <w:sz w:val="20"/>
                <w:szCs w:val="20"/>
                <w:lang w:val="en-GB"/>
              </w:rPr>
              <w:t>Thí điểm hệ thống UBIN thông qua một số nghiên cứu điển hình.</w:t>
            </w:r>
          </w:p>
          <w:p w14:paraId="5DFBF741" w14:textId="6144C7A5" w:rsidR="000931F3" w:rsidRPr="001A3542" w:rsidRDefault="001A3542" w:rsidP="001A3542">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1A3542">
              <w:rPr>
                <w:rFonts w:ascii="Arial" w:eastAsia="DengXian" w:hAnsi="Arial"/>
                <w:sz w:val="20"/>
                <w:szCs w:val="20"/>
                <w:lang w:val="en-GB"/>
              </w:rPr>
              <w:t>Thí điểm cơ chế định danh số khu vực ASEAN có khả năng tương tác liên thông trong một số trường hợp sử dụng ưu tiên.</w:t>
            </w:r>
            <w:r w:rsidR="00E51F92" w:rsidRPr="001A3542">
              <w:rPr>
                <w:rFonts w:eastAsia="DengXian"/>
                <w:sz w:val="20"/>
                <w:szCs w:val="20"/>
              </w:rPr>
              <w:br/>
            </w:r>
          </w:p>
          <w:p w14:paraId="26495BD2" w14:textId="135F2658" w:rsidR="000931F3" w:rsidRPr="004F1D15" w:rsidRDefault="001A3542" w:rsidP="000931F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Dài</w:t>
            </w:r>
            <w:r>
              <w:rPr>
                <w:sz w:val="20"/>
                <w:szCs w:val="20"/>
                <w:lang w:val="vi-VN"/>
              </w:rPr>
              <w:t xml:space="preserve"> hạn</w:t>
            </w:r>
            <w:r w:rsidR="000931F3" w:rsidRPr="004F1D15">
              <w:rPr>
                <w:sz w:val="20"/>
                <w:szCs w:val="20"/>
              </w:rPr>
              <w:t>:</w:t>
            </w:r>
          </w:p>
          <w:p w14:paraId="2D13DFFA" w14:textId="77777777" w:rsidR="00BA7735" w:rsidRPr="00BA7735" w:rsidRDefault="00BA7735" w:rsidP="00BA7735">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BA7735">
              <w:rPr>
                <w:rFonts w:ascii="Arial" w:eastAsia="DengXian" w:hAnsi="Arial"/>
                <w:sz w:val="20"/>
                <w:szCs w:val="20"/>
                <w:lang w:val="en-GB"/>
              </w:rPr>
              <w:t>Cập nhật hệ thống UBIN dựa trên kết quả từ các giai đoạn thí điểm.</w:t>
            </w:r>
          </w:p>
          <w:p w14:paraId="60BC036B" w14:textId="0692A5D1" w:rsidR="00BA7735" w:rsidRPr="00BA7735" w:rsidRDefault="00BA7735" w:rsidP="00BA7735">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BA7735">
              <w:rPr>
                <w:rFonts w:ascii="Arial" w:eastAsia="DengXian" w:hAnsi="Arial"/>
                <w:sz w:val="20"/>
                <w:szCs w:val="20"/>
                <w:lang w:val="en-GB"/>
              </w:rPr>
              <w:t>Triển khai đầy đủ hệ thống UBIN và cơ chế định danh số khu vực ASEAN.</w:t>
            </w:r>
          </w:p>
          <w:p w14:paraId="29056857" w14:textId="7A541D21" w:rsidR="002732DC" w:rsidRPr="00BA7735" w:rsidRDefault="00BA7735" w:rsidP="00BA7735">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BA7735">
              <w:rPr>
                <w:rFonts w:ascii="Arial" w:eastAsia="DengXian" w:hAnsi="Arial"/>
                <w:sz w:val="20"/>
                <w:szCs w:val="20"/>
                <w:lang w:val="en-GB"/>
              </w:rPr>
              <w:lastRenderedPageBreak/>
              <w:t>Theo dõi, cập nhật và nâng cấp liên tục hệ thống UBIN và cơ chế định danh số khu vực ASEAN dựa trên phản hồi và tiến bộ công nghệ.</w:t>
            </w:r>
          </w:p>
        </w:tc>
        <w:tc>
          <w:tcPr>
            <w:tcW w:w="2318" w:type="dxa"/>
            <w:gridSpan w:val="2"/>
            <w:tcBorders>
              <w:left w:val="single" w:sz="4" w:space="0" w:color="156082"/>
              <w:right w:val="single" w:sz="4" w:space="0" w:color="156082"/>
            </w:tcBorders>
          </w:tcPr>
          <w:p w14:paraId="4F80ACCB" w14:textId="199B20C1" w:rsidR="002732DC" w:rsidRPr="004F1D15" w:rsidRDefault="00BA7735">
            <w:pPr>
              <w:cnfStyle w:val="000000100000" w:firstRow="0" w:lastRow="0" w:firstColumn="0" w:lastColumn="0" w:oddVBand="0" w:evenVBand="0" w:oddHBand="1" w:evenHBand="0" w:firstRowFirstColumn="0" w:firstRowLastColumn="0" w:lastRowFirstColumn="0" w:lastRowLastColumn="0"/>
              <w:rPr>
                <w:sz w:val="20"/>
                <w:szCs w:val="20"/>
              </w:rPr>
            </w:pPr>
            <w:r w:rsidRPr="00BA7735">
              <w:rPr>
                <w:sz w:val="20"/>
                <w:szCs w:val="20"/>
                <w:lang w:val="vi-VN"/>
              </w:rPr>
              <w:lastRenderedPageBreak/>
              <w:t xml:space="preserve">Cơ quan </w:t>
            </w:r>
            <w:r>
              <w:rPr>
                <w:sz w:val="20"/>
                <w:szCs w:val="20"/>
                <w:lang w:val="vi-VN"/>
              </w:rPr>
              <w:t>điều phối</w:t>
            </w:r>
            <w:r w:rsidR="008828E7">
              <w:rPr>
                <w:sz w:val="20"/>
                <w:szCs w:val="20"/>
              </w:rPr>
              <w:t>:</w:t>
            </w:r>
          </w:p>
          <w:p w14:paraId="691C1F06" w14:textId="4EC1DE18" w:rsidR="00EB60DD" w:rsidRDefault="00BA7735" w:rsidP="00EB60D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BA7735">
              <w:rPr>
                <w:rFonts w:ascii="Arial" w:eastAsia="DengXian" w:hAnsi="Arial"/>
                <w:sz w:val="20"/>
                <w:szCs w:val="20"/>
                <w:lang w:val="en-GB"/>
              </w:rPr>
              <w:t xml:space="preserve">Ủy ban Điều phối ASEAN về Doanh nghiệp Vi mô, Nhỏ và Vừa </w:t>
            </w:r>
            <w:r w:rsidR="00EB60DD" w:rsidRPr="004F1D15">
              <w:rPr>
                <w:rFonts w:ascii="Arial" w:eastAsia="DengXian" w:hAnsi="Arial"/>
                <w:sz w:val="20"/>
                <w:szCs w:val="20"/>
                <w:lang w:val="en-GB"/>
              </w:rPr>
              <w:t>(ACCMSME)​</w:t>
            </w:r>
          </w:p>
          <w:p w14:paraId="12266C57" w14:textId="77777777" w:rsidR="00EB60DD" w:rsidRDefault="00EB60DD" w:rsidP="00EB60DD">
            <w:pPr>
              <w:pStyle w:val="ListParagraph"/>
              <w:numPr>
                <w:ilvl w:val="0"/>
                <w:numId w:val="0"/>
              </w:numPr>
              <w:spacing w:after="0"/>
              <w:ind w:left="36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p>
          <w:p w14:paraId="2113E7F4" w14:textId="24BE0280" w:rsidR="00A148D4" w:rsidRPr="00A148D4" w:rsidRDefault="00BA7735" w:rsidP="00A148D4">
            <w:pPr>
              <w:cnfStyle w:val="000000100000" w:firstRow="0" w:lastRow="0" w:firstColumn="0" w:lastColumn="0" w:oddVBand="0" w:evenVBand="0" w:oddHBand="1" w:evenHBand="0" w:firstRowFirstColumn="0" w:firstRowLastColumn="0" w:lastRowFirstColumn="0" w:lastRowLastColumn="0"/>
              <w:rPr>
                <w:sz w:val="20"/>
                <w:szCs w:val="20"/>
              </w:rPr>
            </w:pPr>
            <w:r w:rsidRPr="00BA7735">
              <w:rPr>
                <w:sz w:val="20"/>
                <w:szCs w:val="20"/>
              </w:rPr>
              <w:t>Các cơ quan hỗ trợ</w:t>
            </w:r>
            <w:r w:rsidR="00A148D4">
              <w:rPr>
                <w:sz w:val="20"/>
                <w:szCs w:val="20"/>
              </w:rPr>
              <w:t xml:space="preserve">: </w:t>
            </w:r>
          </w:p>
          <w:p w14:paraId="5F7C58F4" w14:textId="3D7D7891" w:rsidR="00EB60DD" w:rsidRPr="00184CE8" w:rsidRDefault="00762946" w:rsidP="00EB60D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762946">
              <w:rPr>
                <w:rFonts w:ascii="Arial" w:eastAsia="DengXian" w:hAnsi="Arial"/>
                <w:sz w:val="20"/>
                <w:szCs w:val="20"/>
                <w:lang w:val="en-GB"/>
              </w:rPr>
              <w:t>Ủy ban Điều phối ASEAN về Thương mại Điện tử và Kinh tế Số</w:t>
            </w:r>
            <w:r w:rsidR="00EB60DD" w:rsidRPr="00B02B2A">
              <w:rPr>
                <w:rFonts w:ascii="Arial" w:eastAsia="DengXian" w:hAnsi="Arial"/>
                <w:sz w:val="20"/>
                <w:szCs w:val="20"/>
                <w:lang w:val="en-GB"/>
              </w:rPr>
              <w:t xml:space="preserve"> </w:t>
            </w:r>
            <w:r w:rsidR="00EB60DD">
              <w:rPr>
                <w:rFonts w:ascii="Arial" w:eastAsia="DengXian" w:hAnsi="Arial"/>
                <w:sz w:val="20"/>
                <w:szCs w:val="20"/>
                <w:lang w:val="en-GB"/>
              </w:rPr>
              <w:t>(ACCED)</w:t>
            </w:r>
            <w:r w:rsidR="00EB60DD">
              <w:rPr>
                <w:rFonts w:ascii="Arial" w:eastAsia="DengXian" w:hAnsi="Arial"/>
                <w:sz w:val="20"/>
                <w:szCs w:val="20"/>
                <w:lang w:val="en-GB"/>
              </w:rPr>
              <w:br/>
            </w:r>
          </w:p>
          <w:p w14:paraId="7F95157D" w14:textId="38D8DBDC" w:rsidR="00184CE8" w:rsidRPr="00184CE8" w:rsidRDefault="00762946" w:rsidP="00184CE8">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762946">
              <w:rPr>
                <w:rFonts w:ascii="Arial" w:eastAsia="DengXian" w:hAnsi="Arial"/>
                <w:sz w:val="20"/>
                <w:szCs w:val="20"/>
                <w:lang w:val="en-GB"/>
              </w:rPr>
              <w:t xml:space="preserve">Ủy ban Phụ nữ ASEAN </w:t>
            </w:r>
            <w:r w:rsidR="00184CE8">
              <w:rPr>
                <w:rFonts w:ascii="Arial" w:eastAsia="DengXian" w:hAnsi="Arial"/>
                <w:sz w:val="20"/>
                <w:szCs w:val="20"/>
                <w:lang w:val="en-GB"/>
              </w:rPr>
              <w:t>(ACW)</w:t>
            </w:r>
          </w:p>
          <w:p w14:paraId="060F19DD" w14:textId="77777777" w:rsidR="002732DC" w:rsidRPr="00516087" w:rsidRDefault="002732DC" w:rsidP="00730133">
            <w:pPr>
              <w:pStyle w:val="ListParagraph"/>
              <w:numPr>
                <w:ilvl w:val="0"/>
                <w:numId w:val="0"/>
              </w:numPr>
              <w:spacing w:after="0"/>
              <w:ind w:left="360"/>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3774" w:type="dxa"/>
            <w:gridSpan w:val="2"/>
            <w:tcBorders>
              <w:left w:val="single" w:sz="4" w:space="0" w:color="156082"/>
            </w:tcBorders>
          </w:tcPr>
          <w:p w14:paraId="0C5FE929" w14:textId="1A8B1D1D" w:rsidR="002732DC" w:rsidRPr="004F1D15" w:rsidRDefault="00762946">
            <w:pPr>
              <w:cnfStyle w:val="000000100000" w:firstRow="0" w:lastRow="0" w:firstColumn="0" w:lastColumn="0" w:oddVBand="0" w:evenVBand="0" w:oddHBand="1" w:evenHBand="0" w:firstRowFirstColumn="0" w:firstRowLastColumn="0" w:lastRowFirstColumn="0" w:lastRowLastColumn="0"/>
              <w:rPr>
                <w:sz w:val="20"/>
                <w:szCs w:val="20"/>
              </w:rPr>
            </w:pPr>
            <w:r w:rsidRPr="00762946">
              <w:rPr>
                <w:sz w:val="20"/>
                <w:szCs w:val="20"/>
                <w:lang w:val="vi-VN"/>
              </w:rPr>
              <w:t>Các thước đo tiến độ chung</w:t>
            </w:r>
            <w:r w:rsidR="002732DC" w:rsidRPr="004F1D15">
              <w:rPr>
                <w:sz w:val="20"/>
                <w:szCs w:val="20"/>
              </w:rPr>
              <w:t>:</w:t>
            </w:r>
          </w:p>
          <w:p w14:paraId="06FD7536" w14:textId="77777777" w:rsidR="00762946" w:rsidRPr="00762946" w:rsidRDefault="00762946" w:rsidP="00762946">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762946">
              <w:rPr>
                <w:rFonts w:ascii="Arial" w:eastAsia="DengXian" w:hAnsi="Arial"/>
                <w:b/>
                <w:bCs/>
                <w:sz w:val="20"/>
                <w:szCs w:val="20"/>
                <w:lang w:val="en-GB"/>
              </w:rPr>
              <w:t>Hài hòa hóa quy định:</w:t>
            </w:r>
            <w:r w:rsidRPr="00762946">
              <w:rPr>
                <w:rFonts w:ascii="Arial" w:eastAsia="DengXian" w:hAnsi="Arial"/>
                <w:sz w:val="20"/>
                <w:szCs w:val="20"/>
                <w:lang w:val="en-GB"/>
              </w:rPr>
              <w:t xml:space="preserve"> Mức độ hài hòa hóa các khuôn khổ pháp lý và quy định giữa các Quốc gia Thành viên ASEAN.</w:t>
            </w:r>
          </w:p>
          <w:p w14:paraId="448656E2" w14:textId="4AF49558" w:rsidR="00762946" w:rsidRPr="00762946" w:rsidRDefault="00762946" w:rsidP="00762946">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762946">
              <w:rPr>
                <w:rFonts w:ascii="Arial" w:eastAsia="DengXian" w:hAnsi="Arial"/>
                <w:b/>
                <w:bCs/>
                <w:sz w:val="20"/>
                <w:szCs w:val="20"/>
                <w:lang w:val="en-GB"/>
              </w:rPr>
              <w:t>Tỷ lệ áp dụng:</w:t>
            </w:r>
            <w:r w:rsidRPr="00762946">
              <w:rPr>
                <w:rFonts w:ascii="Arial" w:eastAsia="DengXian" w:hAnsi="Arial"/>
                <w:sz w:val="20"/>
                <w:szCs w:val="20"/>
                <w:lang w:val="en-GB"/>
              </w:rPr>
              <w:t xml:space="preserve"> Số lượng doanh nghiệp áp dụng hệ thống UBIN ASEAN trong khung thời gian quy định, và số lượng người dùng áp dụng các cơ chế định danh số khu vực.</w:t>
            </w:r>
          </w:p>
          <w:p w14:paraId="3FDB6116" w14:textId="35CCEED7" w:rsidR="000931F3" w:rsidRPr="00762946" w:rsidRDefault="00762946" w:rsidP="00762946">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762946">
              <w:rPr>
                <w:rFonts w:ascii="Arial" w:eastAsia="DengXian" w:hAnsi="Arial"/>
                <w:b/>
                <w:bCs/>
                <w:sz w:val="20"/>
                <w:szCs w:val="20"/>
                <w:lang w:val="en-GB"/>
              </w:rPr>
              <w:t>Khả năng liên thông:</w:t>
            </w:r>
            <w:r w:rsidRPr="00762946">
              <w:rPr>
                <w:rFonts w:ascii="Arial" w:eastAsia="DengXian" w:hAnsi="Arial"/>
                <w:sz w:val="20"/>
                <w:szCs w:val="20"/>
                <w:lang w:val="en-GB"/>
              </w:rPr>
              <w:t xml:space="preserve"> Số lượng dịch vụ và giao dịch xuyên biên giới được hỗ trợ bởi hệ thống UBIN và cơ chế định danh số khu vực.</w:t>
            </w:r>
          </w:p>
          <w:p w14:paraId="267314B5" w14:textId="77777777" w:rsidR="002732DC" w:rsidRPr="004F1D15" w:rsidRDefault="002732DC">
            <w:pPr>
              <w:cnfStyle w:val="000000100000" w:firstRow="0" w:lastRow="0" w:firstColumn="0" w:lastColumn="0" w:oddVBand="0" w:evenVBand="0" w:oddHBand="1" w:evenHBand="0" w:firstRowFirstColumn="0" w:firstRowLastColumn="0" w:lastRowFirstColumn="0" w:lastRowLastColumn="0"/>
              <w:rPr>
                <w:sz w:val="20"/>
                <w:szCs w:val="20"/>
              </w:rPr>
            </w:pPr>
          </w:p>
        </w:tc>
      </w:tr>
    </w:tbl>
    <w:p w14:paraId="64DC69F5" w14:textId="77777777" w:rsidR="00513FAE" w:rsidRPr="004F1D15" w:rsidRDefault="00513FAE" w:rsidP="00BB5B3F">
      <w:pPr>
        <w:rPr>
          <w:sz w:val="20"/>
          <w:szCs w:val="20"/>
        </w:rPr>
      </w:pPr>
    </w:p>
    <w:p w14:paraId="562EB224" w14:textId="7C9C0C4C" w:rsidR="005A7FFA" w:rsidRPr="004F1D15" w:rsidRDefault="00D6764D" w:rsidP="00C82E40">
      <w:pPr>
        <w:pStyle w:val="Heading4"/>
        <w:rPr>
          <w:sz w:val="20"/>
          <w:lang w:val="en-GB"/>
        </w:rPr>
      </w:pPr>
      <w:r w:rsidRPr="00D6764D">
        <w:rPr>
          <w:sz w:val="20"/>
          <w:lang w:val="vi-VN"/>
        </w:rPr>
        <w:t>Danh mục 2: Xây dựng năng lực và hỗ trợ kỹ thuật</w:t>
      </w:r>
    </w:p>
    <w:tbl>
      <w:tblPr>
        <w:tblStyle w:val="ListTable3-Accent11"/>
        <w:tblW w:w="15314" w:type="dxa"/>
        <w:tblLook w:val="04A0" w:firstRow="1" w:lastRow="0" w:firstColumn="1" w:lastColumn="0" w:noHBand="0" w:noVBand="1"/>
      </w:tblPr>
      <w:tblGrid>
        <w:gridCol w:w="1694"/>
        <w:gridCol w:w="3764"/>
        <w:gridCol w:w="7"/>
        <w:gridCol w:w="3757"/>
        <w:gridCol w:w="15"/>
        <w:gridCol w:w="2303"/>
        <w:gridCol w:w="14"/>
        <w:gridCol w:w="3760"/>
      </w:tblGrid>
      <w:tr w:rsidR="00EC69B5" w:rsidRPr="004F1D15" w14:paraId="7B6F7708" w14:textId="77777777" w:rsidTr="00AC0A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4" w:type="dxa"/>
            <w:tcBorders>
              <w:bottom w:val="single" w:sz="4" w:space="0" w:color="156082"/>
            </w:tcBorders>
            <w:shd w:val="clear" w:color="auto" w:fill="002060"/>
          </w:tcPr>
          <w:p w14:paraId="5A5B69A9" w14:textId="6ABEF43D" w:rsidR="00EC69B5" w:rsidRPr="00D6764D" w:rsidRDefault="00D6764D" w:rsidP="00BF5F59">
            <w:pPr>
              <w:jc w:val="center"/>
              <w:rPr>
                <w:sz w:val="20"/>
                <w:szCs w:val="20"/>
                <w:lang w:val="vi-VN"/>
              </w:rPr>
            </w:pPr>
            <w:r>
              <w:rPr>
                <w:sz w:val="20"/>
                <w:szCs w:val="20"/>
              </w:rPr>
              <w:t>Khu</w:t>
            </w:r>
            <w:r>
              <w:rPr>
                <w:sz w:val="20"/>
                <w:szCs w:val="20"/>
                <w:lang w:val="vi-VN"/>
              </w:rPr>
              <w:t xml:space="preserve"> vực hành động</w:t>
            </w:r>
          </w:p>
        </w:tc>
        <w:tc>
          <w:tcPr>
            <w:tcW w:w="3771" w:type="dxa"/>
            <w:gridSpan w:val="2"/>
            <w:shd w:val="clear" w:color="auto" w:fill="002060"/>
          </w:tcPr>
          <w:p w14:paraId="7FF16E8E" w14:textId="402FD1B0" w:rsidR="00EC69B5" w:rsidRPr="00D6764D" w:rsidRDefault="00D6764D" w:rsidP="00BF5F59">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Lĩnh</w:t>
            </w:r>
            <w:r>
              <w:rPr>
                <w:sz w:val="20"/>
                <w:szCs w:val="20"/>
                <w:lang w:val="vi-VN"/>
              </w:rPr>
              <w:t xml:space="preserve"> vực trọng tâm</w:t>
            </w:r>
          </w:p>
        </w:tc>
        <w:tc>
          <w:tcPr>
            <w:tcW w:w="3772" w:type="dxa"/>
            <w:gridSpan w:val="2"/>
            <w:shd w:val="clear" w:color="auto" w:fill="002060"/>
          </w:tcPr>
          <w:p w14:paraId="6C2B2895" w14:textId="11E6F736" w:rsidR="00EC69B5" w:rsidRPr="004F1D15" w:rsidRDefault="00D6764D" w:rsidP="00BF5F59">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Các</w:t>
            </w:r>
            <w:r>
              <w:rPr>
                <w:sz w:val="20"/>
                <w:szCs w:val="20"/>
                <w:lang w:val="vi-VN"/>
              </w:rPr>
              <w:t xml:space="preserve"> mốc dự kiến và khung thời gian tạm tính</w:t>
            </w:r>
            <w:r w:rsidR="00EC69B5" w:rsidRPr="004F1D15">
              <w:rPr>
                <w:sz w:val="20"/>
                <w:szCs w:val="20"/>
                <w:vertAlign w:val="superscript"/>
              </w:rPr>
              <w:footnoteReference w:id="347"/>
            </w:r>
          </w:p>
        </w:tc>
        <w:tc>
          <w:tcPr>
            <w:tcW w:w="2317" w:type="dxa"/>
            <w:gridSpan w:val="2"/>
            <w:shd w:val="clear" w:color="auto" w:fill="002060"/>
          </w:tcPr>
          <w:p w14:paraId="4EC0C4A7" w14:textId="7A9E35B8" w:rsidR="00EC69B5" w:rsidRPr="00D6764D" w:rsidRDefault="00D6764D" w:rsidP="00BF5F59">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Các</w:t>
            </w:r>
            <w:r>
              <w:rPr>
                <w:sz w:val="20"/>
                <w:szCs w:val="20"/>
                <w:lang w:val="vi-VN"/>
              </w:rPr>
              <w:t xml:space="preserve"> bên chịu trách nhiệm</w:t>
            </w:r>
          </w:p>
        </w:tc>
        <w:tc>
          <w:tcPr>
            <w:tcW w:w="3760" w:type="dxa"/>
            <w:shd w:val="clear" w:color="auto" w:fill="002060"/>
          </w:tcPr>
          <w:p w14:paraId="5445237E" w14:textId="01207482" w:rsidR="00EC69B5" w:rsidRPr="00D6764D" w:rsidRDefault="00D6764D" w:rsidP="00BF5F59">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Thước</w:t>
            </w:r>
            <w:r>
              <w:rPr>
                <w:sz w:val="20"/>
                <w:szCs w:val="20"/>
                <w:lang w:val="vi-VN"/>
              </w:rPr>
              <w:t xml:space="preserve"> đo tiến độ</w:t>
            </w:r>
          </w:p>
        </w:tc>
      </w:tr>
      <w:tr w:rsidR="00EC69B5" w:rsidRPr="004F1D15" w14:paraId="66E57C93" w14:textId="77777777" w:rsidTr="00AC0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shd w:val="clear" w:color="auto" w:fill="BDD6EE" w:themeFill="accent5" w:themeFillTint="66"/>
          </w:tcPr>
          <w:p w14:paraId="7E365B13" w14:textId="64757613" w:rsidR="00EC69B5" w:rsidRPr="00D6764D" w:rsidRDefault="00D6764D" w:rsidP="00BF5F59">
            <w:pPr>
              <w:jc w:val="center"/>
              <w:rPr>
                <w:sz w:val="20"/>
                <w:szCs w:val="20"/>
                <w:lang w:val="vi-VN"/>
              </w:rPr>
            </w:pPr>
            <w:r>
              <w:rPr>
                <w:sz w:val="20"/>
                <w:szCs w:val="20"/>
              </w:rPr>
              <w:t>Khu</w:t>
            </w:r>
            <w:r>
              <w:rPr>
                <w:sz w:val="20"/>
                <w:szCs w:val="20"/>
                <w:lang w:val="vi-VN"/>
              </w:rPr>
              <w:t xml:space="preserve"> vực hành động chính</w:t>
            </w:r>
          </w:p>
        </w:tc>
        <w:tc>
          <w:tcPr>
            <w:tcW w:w="13620" w:type="dxa"/>
            <w:gridSpan w:val="7"/>
            <w:tcBorders>
              <w:left w:val="single" w:sz="4" w:space="0" w:color="156082"/>
            </w:tcBorders>
            <w:shd w:val="clear" w:color="auto" w:fill="BDD6EE" w:themeFill="accent5" w:themeFillTint="66"/>
          </w:tcPr>
          <w:p w14:paraId="0650DAC5" w14:textId="32EB1DCB" w:rsidR="00EC69B5" w:rsidRPr="00D6764D" w:rsidRDefault="00B01ABA">
            <w:pPr>
              <w:cnfStyle w:val="000000100000" w:firstRow="0" w:lastRow="0" w:firstColumn="0" w:lastColumn="0" w:oddVBand="0" w:evenVBand="0" w:oddHBand="1" w:evenHBand="0" w:firstRowFirstColumn="0" w:firstRowLastColumn="0" w:lastRowFirstColumn="0" w:lastRowLastColumn="0"/>
              <w:rPr>
                <w:rFonts w:eastAsiaTheme="minorEastAsia"/>
                <w:b/>
                <w:bCs/>
                <w:sz w:val="20"/>
                <w:szCs w:val="20"/>
                <w:lang w:val="vi-VN"/>
              </w:rPr>
            </w:pPr>
            <w:r>
              <w:rPr>
                <w:b/>
                <w:bCs/>
                <w:sz w:val="20"/>
                <w:szCs w:val="20"/>
              </w:rPr>
              <w:t>6.2.7.2</w:t>
            </w:r>
            <w:r w:rsidR="00C56C77" w:rsidRPr="004F1D15">
              <w:rPr>
                <w:b/>
                <w:bCs/>
                <w:sz w:val="20"/>
                <w:szCs w:val="20"/>
              </w:rPr>
              <w:t xml:space="preserve"> </w:t>
            </w:r>
            <w:r w:rsidR="00D6764D" w:rsidRPr="00D6764D">
              <w:rPr>
                <w:b/>
                <w:bCs/>
                <w:sz w:val="20"/>
                <w:szCs w:val="20"/>
                <w:lang w:val="vi-VN"/>
              </w:rPr>
              <w:t>Thúc đẩy áp dụng rộng rãi Hệ thống Định danh số và Xác thực số</w:t>
            </w:r>
          </w:p>
        </w:tc>
      </w:tr>
      <w:tr w:rsidR="00EC69B5" w:rsidRPr="004F1D15" w14:paraId="6D96FC05" w14:textId="77777777" w:rsidTr="00AC0AE1">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156082"/>
              <w:bottom w:val="single" w:sz="4" w:space="0" w:color="156082"/>
              <w:right w:val="single" w:sz="4" w:space="0" w:color="156082"/>
            </w:tcBorders>
            <w:shd w:val="clear" w:color="auto" w:fill="BDD6EE" w:themeFill="accent5" w:themeFillTint="66"/>
          </w:tcPr>
          <w:p w14:paraId="0CE8F869" w14:textId="6CBA0395" w:rsidR="00EC69B5" w:rsidRPr="00D6764D" w:rsidRDefault="00D6764D" w:rsidP="00BF5F59">
            <w:pPr>
              <w:jc w:val="center"/>
              <w:rPr>
                <w:sz w:val="20"/>
                <w:szCs w:val="20"/>
                <w:lang w:val="vi-VN"/>
              </w:rPr>
            </w:pPr>
            <w:r>
              <w:rPr>
                <w:sz w:val="20"/>
                <w:szCs w:val="20"/>
              </w:rPr>
              <w:t>Mục</w:t>
            </w:r>
            <w:r>
              <w:rPr>
                <w:sz w:val="20"/>
                <w:szCs w:val="20"/>
                <w:lang w:val="vi-VN"/>
              </w:rPr>
              <w:t xml:space="preserve"> tiêu </w:t>
            </w:r>
          </w:p>
        </w:tc>
        <w:tc>
          <w:tcPr>
            <w:tcW w:w="13620" w:type="dxa"/>
            <w:gridSpan w:val="7"/>
            <w:tcBorders>
              <w:left w:val="single" w:sz="4" w:space="0" w:color="156082"/>
            </w:tcBorders>
            <w:shd w:val="clear" w:color="auto" w:fill="BDD6EE" w:themeFill="accent5" w:themeFillTint="66"/>
          </w:tcPr>
          <w:p w14:paraId="1712E959" w14:textId="194D8469" w:rsidR="00C56C77" w:rsidRPr="00516087" w:rsidRDefault="00434A35"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DengXian" w:hAnsi="Arial"/>
                <w:b/>
                <w:sz w:val="20"/>
                <w:szCs w:val="20"/>
                <w:lang w:val="en-GB"/>
              </w:rPr>
            </w:pPr>
            <w:r w:rsidRPr="00434A35">
              <w:rPr>
                <w:rFonts w:ascii="Arial" w:eastAsia="DengXian" w:hAnsi="Arial"/>
                <w:b/>
                <w:bCs/>
                <w:sz w:val="20"/>
                <w:szCs w:val="20"/>
                <w:lang w:val="vi-VN"/>
              </w:rPr>
              <w:t>Xây dựng năng lực kỹ thuật:</w:t>
            </w:r>
            <w:r w:rsidRPr="00434A35">
              <w:rPr>
                <w:rFonts w:ascii="Arial" w:eastAsia="DengXian" w:hAnsi="Arial"/>
                <w:sz w:val="20"/>
                <w:szCs w:val="20"/>
                <w:lang w:val="vi-VN"/>
              </w:rPr>
              <w:t xml:space="preserve"> Phát triển năng lực kỹ thuật của các Quốc gia Thành viên ASEAN (AMS) trong lĩnh vực định danh số và xác thực nhằm đảm bảo việc xây dựng, áp dụng và triển khai hiệu quả Lộ trình UBIN và Cơ chế Định danh số Khu vực ASEAN.</w:t>
            </w:r>
          </w:p>
          <w:p w14:paraId="4B8EB600" w14:textId="22D139D2" w:rsidR="00C56C77" w:rsidRPr="00516087" w:rsidRDefault="00434A35"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DengXian" w:hAnsi="Arial"/>
                <w:b/>
                <w:sz w:val="20"/>
                <w:szCs w:val="20"/>
                <w:lang w:val="en-GB"/>
              </w:rPr>
            </w:pPr>
            <w:r w:rsidRPr="00434A35">
              <w:rPr>
                <w:rFonts w:ascii="Arial" w:eastAsia="DengXian" w:hAnsi="Arial"/>
                <w:b/>
                <w:bCs/>
                <w:sz w:val="20"/>
                <w:szCs w:val="20"/>
                <w:lang w:val="vi-VN"/>
              </w:rPr>
              <w:t>Nâng cao nhận thức:</w:t>
            </w:r>
            <w:r w:rsidRPr="00434A35">
              <w:rPr>
                <w:rFonts w:ascii="Arial" w:eastAsia="DengXian" w:hAnsi="Arial"/>
                <w:sz w:val="20"/>
                <w:szCs w:val="20"/>
                <w:lang w:val="vi-VN"/>
              </w:rPr>
              <w:t xml:space="preserve"> Nâng cao nhận thức và cải thiện mức độ hiểu biết về lợi ích và cách sử dụng UBIN và cơ chế định danh số khu vực.</w:t>
            </w:r>
          </w:p>
          <w:p w14:paraId="561B3A43" w14:textId="7036AAB1" w:rsidR="00EC69B5" w:rsidRPr="004F1D15" w:rsidRDefault="00434A35"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hAnsi="Arial"/>
                <w:sz w:val="20"/>
                <w:szCs w:val="20"/>
                <w:lang w:val="en-GB"/>
              </w:rPr>
            </w:pPr>
            <w:r w:rsidRPr="00434A35">
              <w:rPr>
                <w:rFonts w:ascii="Arial" w:eastAsia="DengXian" w:hAnsi="Arial"/>
                <w:b/>
                <w:bCs/>
                <w:sz w:val="20"/>
                <w:szCs w:val="20"/>
                <w:lang w:val="vi-VN"/>
              </w:rPr>
              <w:t>Tăng cường năng lực và mức độ sẵn sàng của các cơ quan:</w:t>
            </w:r>
            <w:r w:rsidRPr="00434A35">
              <w:rPr>
                <w:rFonts w:ascii="Arial" w:eastAsia="DengXian" w:hAnsi="Arial"/>
                <w:sz w:val="20"/>
                <w:szCs w:val="20"/>
                <w:lang w:val="vi-VN"/>
              </w:rPr>
              <w:t xml:space="preserve"> Cung cấp hỗ trợ cho các cơ quan trong các Quốc gia Thành viên ASEAN để triển khai UBIN và cơ chế định danh số khu vực.</w:t>
            </w:r>
          </w:p>
        </w:tc>
      </w:tr>
      <w:tr w:rsidR="00EC69B5" w:rsidRPr="004F1D15" w14:paraId="4FF08DF7" w14:textId="77777777" w:rsidTr="6BB67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tcPr>
          <w:p w14:paraId="544F4A4B" w14:textId="0909FDD7" w:rsidR="00EC69B5" w:rsidRPr="004F1D15" w:rsidRDefault="008C150D" w:rsidP="00BF5F59">
            <w:pPr>
              <w:jc w:val="center"/>
              <w:rPr>
                <w:sz w:val="20"/>
                <w:szCs w:val="20"/>
              </w:rPr>
            </w:pPr>
            <w:r>
              <w:rPr>
                <w:sz w:val="20"/>
                <w:szCs w:val="20"/>
              </w:rPr>
              <w:t>6.2.7.2</w:t>
            </w:r>
            <w:r w:rsidR="00444160" w:rsidRPr="004F1D15">
              <w:rPr>
                <w:sz w:val="20"/>
                <w:szCs w:val="20"/>
              </w:rPr>
              <w:t xml:space="preserve"> </w:t>
            </w:r>
            <w:r w:rsidR="00D6764D" w:rsidRPr="00D6764D">
              <w:rPr>
                <w:sz w:val="20"/>
                <w:szCs w:val="20"/>
              </w:rPr>
              <w:t>Thúc đẩy áp dụng rộng rãi Hệ thống Định danh số và Xác thực số</w:t>
            </w:r>
          </w:p>
        </w:tc>
        <w:tc>
          <w:tcPr>
            <w:tcW w:w="3764" w:type="dxa"/>
            <w:tcBorders>
              <w:left w:val="single" w:sz="4" w:space="0" w:color="156082"/>
              <w:right w:val="single" w:sz="4" w:space="0" w:color="156082"/>
            </w:tcBorders>
          </w:tcPr>
          <w:p w14:paraId="00A03EA5" w14:textId="6C5058E6" w:rsidR="00C56C77" w:rsidRPr="004F1D15" w:rsidRDefault="0021414C" w:rsidP="00C82E40">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b/>
                <w:sz w:val="20"/>
                <w:szCs w:val="20"/>
                <w:lang w:val="en-GB"/>
              </w:rPr>
            </w:pPr>
            <w:r w:rsidRPr="0021414C">
              <w:rPr>
                <w:rFonts w:ascii="Arial" w:hAnsi="Arial"/>
                <w:b/>
                <w:bCs/>
                <w:sz w:val="20"/>
                <w:szCs w:val="20"/>
                <w:lang w:val="vi-VN"/>
              </w:rPr>
              <w:t>Đào tạo kỹ năng số:</w:t>
            </w:r>
            <w:r w:rsidRPr="0021414C">
              <w:rPr>
                <w:rFonts w:ascii="Arial" w:hAnsi="Arial"/>
                <w:sz w:val="20"/>
                <w:szCs w:val="20"/>
                <w:lang w:val="vi-VN"/>
              </w:rPr>
              <w:t xml:space="preserve"> Xây dựng và triển khai các chương trình đào tạo kỹ năng số dành cho người tiêu dùng và doanh nghiệp, đặc biệt là các doanh nghiệp siêu nhỏ, nhỏ và vừa (MSME), về các trường hợp sử dụng, mục đích và lợi ích của định danh số và cơ chế xác thực số.</w:t>
            </w:r>
          </w:p>
          <w:p w14:paraId="606380C4" w14:textId="13D682C1" w:rsidR="00C56C77" w:rsidRPr="004F1D15" w:rsidRDefault="0021414C" w:rsidP="00C82E40">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sz w:val="20"/>
                <w:szCs w:val="20"/>
                <w:lang w:val="en-GB"/>
              </w:rPr>
            </w:pPr>
            <w:r w:rsidRPr="0021414C">
              <w:rPr>
                <w:rFonts w:ascii="Arial" w:hAnsi="Arial"/>
                <w:b/>
                <w:bCs/>
                <w:sz w:val="20"/>
                <w:szCs w:val="20"/>
                <w:lang w:val="vi-VN"/>
              </w:rPr>
              <w:t>Chiến dịch nâng cao nhận thức cộng đồng:</w:t>
            </w:r>
            <w:r w:rsidRPr="0021414C">
              <w:rPr>
                <w:rFonts w:ascii="Arial" w:hAnsi="Arial"/>
                <w:sz w:val="20"/>
                <w:szCs w:val="20"/>
                <w:lang w:val="vi-VN"/>
              </w:rPr>
              <w:t xml:space="preserve"> Xây dựng và triển khai các chiến dịch truyền thông nhằm thúc đẩy việc áp dụng định danh số và xác thực số, bao gồm cả UBIN.</w:t>
            </w:r>
          </w:p>
          <w:p w14:paraId="3F5413E8" w14:textId="029DDD4C" w:rsidR="00EC69B5" w:rsidRPr="00516087" w:rsidRDefault="0021414C" w:rsidP="003A7F3A">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sz w:val="20"/>
                <w:szCs w:val="20"/>
                <w:lang w:val="en-GB"/>
              </w:rPr>
            </w:pPr>
            <w:r w:rsidRPr="0021414C">
              <w:rPr>
                <w:rFonts w:ascii="Arial" w:eastAsia="DengXian" w:hAnsi="Arial"/>
                <w:b/>
                <w:bCs/>
                <w:sz w:val="20"/>
                <w:szCs w:val="20"/>
                <w:lang w:val="vi-VN"/>
              </w:rPr>
              <w:lastRenderedPageBreak/>
              <w:t>Hỗ trợ thể chế và hỗ trợ kỹ thuật:</w:t>
            </w:r>
            <w:r w:rsidRPr="0021414C">
              <w:rPr>
                <w:rFonts w:ascii="Arial" w:eastAsia="DengXian" w:hAnsi="Arial"/>
                <w:sz w:val="20"/>
                <w:szCs w:val="20"/>
                <w:lang w:val="vi-VN"/>
              </w:rPr>
              <w:t xml:space="preserve"> Tăng cường năng lực của các cơ quan quốc gia nhằm hỗ trợ triển khai Hệ thống UBIN và Cơ chế Định danh số Khu vực ASEAN; đồng thời củng cố hợp tác và chia sẻ thông tin giữa các Quốc gia Thành viên ASEAN (AMS) để giải quyết thách thức và chia sẻ thực tiễn tốt. Cung cấp hỗ trợ kỹ thuật cho chính phủ và các cơ quan của các Quốc gia Thành viên ASEAN trong việc triển khai và giám sát Hệ thống UBIN và Cơ chế Định danh số Khu vực ASEAN.</w:t>
            </w:r>
          </w:p>
        </w:tc>
        <w:tc>
          <w:tcPr>
            <w:tcW w:w="3764" w:type="dxa"/>
            <w:gridSpan w:val="2"/>
            <w:tcBorders>
              <w:left w:val="single" w:sz="4" w:space="0" w:color="156082"/>
              <w:right w:val="single" w:sz="4" w:space="0" w:color="156082"/>
            </w:tcBorders>
          </w:tcPr>
          <w:p w14:paraId="04D9F887" w14:textId="25733D71" w:rsidR="00EC69B5" w:rsidRPr="004F1D15" w:rsidRDefault="0021414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Ngắn</w:t>
            </w:r>
            <w:r>
              <w:rPr>
                <w:sz w:val="20"/>
                <w:szCs w:val="20"/>
                <w:lang w:val="vi-VN"/>
              </w:rPr>
              <w:t xml:space="preserve"> hạn</w:t>
            </w:r>
            <w:r w:rsidR="00EC69B5" w:rsidRPr="004F1D15">
              <w:rPr>
                <w:sz w:val="20"/>
                <w:szCs w:val="20"/>
              </w:rPr>
              <w:t>:</w:t>
            </w:r>
          </w:p>
          <w:p w14:paraId="72AD5606" w14:textId="77777777" w:rsidR="00912E7F" w:rsidRPr="00912E7F" w:rsidRDefault="00912E7F" w:rsidP="00912E7F">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912E7F">
              <w:rPr>
                <w:rFonts w:ascii="Arial" w:eastAsia="DengXian" w:hAnsi="Arial"/>
                <w:sz w:val="20"/>
                <w:szCs w:val="20"/>
                <w:lang w:val="en-GB"/>
              </w:rPr>
              <w:t>Đánh giá nhu cầu đào tạo và các khoảng trống về kỹ năng số trong khu vực tư nhân và xã hội tại các Quốc gia Thành viên ASEAN.</w:t>
            </w:r>
          </w:p>
          <w:p w14:paraId="7ECA173B" w14:textId="09E85D71" w:rsidR="00912E7F" w:rsidRPr="00912E7F" w:rsidRDefault="00912E7F" w:rsidP="00912E7F">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912E7F">
              <w:rPr>
                <w:rFonts w:ascii="Arial" w:eastAsia="DengXian" w:hAnsi="Arial"/>
                <w:sz w:val="20"/>
                <w:szCs w:val="20"/>
                <w:lang w:val="en-GB"/>
              </w:rPr>
              <w:t>Triển khai các chương trình đào tạo thí điểm tại một số quốc gia, tập trung vào các kỹ năng và năng lực thiết yếu cho người dùng và MSME.</w:t>
            </w:r>
          </w:p>
          <w:p w14:paraId="29EA1C02" w14:textId="14247389" w:rsidR="00912E7F" w:rsidRPr="00912E7F" w:rsidRDefault="00912E7F" w:rsidP="00912E7F">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912E7F">
              <w:rPr>
                <w:rFonts w:ascii="Arial" w:eastAsia="DengXian" w:hAnsi="Arial"/>
                <w:sz w:val="20"/>
                <w:szCs w:val="20"/>
                <w:lang w:val="en-GB"/>
              </w:rPr>
              <w:t>Khởi động các chiến dịch truyền thông nâng cao nhận thức về định danh số và xác thực số trong ASEAN.</w:t>
            </w:r>
          </w:p>
          <w:p w14:paraId="042D066A" w14:textId="55D204D6" w:rsidR="00C56C77" w:rsidRPr="00912E7F" w:rsidRDefault="00912E7F" w:rsidP="00912E7F">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912E7F">
              <w:rPr>
                <w:rFonts w:ascii="Arial" w:eastAsia="DengXian" w:hAnsi="Arial"/>
                <w:sz w:val="20"/>
                <w:szCs w:val="20"/>
                <w:lang w:val="en-GB"/>
              </w:rPr>
              <w:lastRenderedPageBreak/>
              <w:t>Đánh giá các khoảng trống trong năng lực thể chế hiện tại và xây dựng cơ chế hợp tác khu vực dành cho khu vực công trong chia sẻ thông tin giữa các Quốc gia Thành viên ASEAN.</w:t>
            </w:r>
            <w:r w:rsidR="00214953" w:rsidRPr="00912E7F">
              <w:rPr>
                <w:rFonts w:asciiTheme="minorBidi" w:eastAsia="DengXian" w:hAnsiTheme="minorBidi" w:cstheme="minorBidi"/>
                <w:sz w:val="20"/>
                <w:szCs w:val="20"/>
              </w:rPr>
              <w:br/>
            </w:r>
          </w:p>
          <w:p w14:paraId="4E5BC1A9" w14:textId="7AFE0740" w:rsidR="00C56C77" w:rsidRPr="004F1D15" w:rsidRDefault="00912E7F" w:rsidP="00C56C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Trung</w:t>
            </w:r>
            <w:r>
              <w:rPr>
                <w:sz w:val="20"/>
                <w:szCs w:val="20"/>
                <w:lang w:val="vi-VN"/>
              </w:rPr>
              <w:t xml:space="preserve"> hạn</w:t>
            </w:r>
            <w:r w:rsidR="00C56C77" w:rsidRPr="004F1D15">
              <w:rPr>
                <w:sz w:val="20"/>
                <w:szCs w:val="20"/>
              </w:rPr>
              <w:t>:</w:t>
            </w:r>
          </w:p>
          <w:p w14:paraId="20154FB8" w14:textId="77777777" w:rsidR="00912E7F" w:rsidRPr="00912E7F" w:rsidRDefault="00912E7F" w:rsidP="00912E7F">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Theme="minorBidi" w:eastAsia="DengXian" w:hAnsiTheme="minorBidi" w:cstheme="minorBidi"/>
                <w:sz w:val="20"/>
                <w:szCs w:val="20"/>
                <w:lang w:val="en-GB"/>
              </w:rPr>
            </w:pPr>
            <w:r w:rsidRPr="00912E7F">
              <w:rPr>
                <w:rFonts w:asciiTheme="minorBidi" w:eastAsia="DengXian" w:hAnsiTheme="minorBidi" w:cstheme="minorBidi"/>
                <w:sz w:val="20"/>
                <w:szCs w:val="20"/>
                <w:lang w:val="en-GB"/>
              </w:rPr>
              <w:t>Đánh giá hiệu quả của các chương trình thí điểm và mở rộng phạm vi đào tạo dựa trên phản hồi thu thập được.</w:t>
            </w:r>
          </w:p>
          <w:p w14:paraId="6CA01198" w14:textId="6F9C3FFA" w:rsidR="00912E7F" w:rsidRPr="00912E7F" w:rsidRDefault="00912E7F" w:rsidP="00912E7F">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Theme="minorBidi" w:eastAsia="DengXian" w:hAnsiTheme="minorBidi" w:cstheme="minorBidi"/>
                <w:sz w:val="20"/>
                <w:szCs w:val="20"/>
                <w:lang w:val="en-GB"/>
              </w:rPr>
            </w:pPr>
            <w:r w:rsidRPr="00912E7F">
              <w:rPr>
                <w:rFonts w:asciiTheme="minorBidi" w:eastAsia="DengXian" w:hAnsiTheme="minorBidi" w:cstheme="minorBidi"/>
                <w:sz w:val="20"/>
                <w:szCs w:val="20"/>
                <w:lang w:val="en-GB"/>
              </w:rPr>
              <w:t>Phát triển quan hệ hợp tác với các cơ sở giáo dục và hiệp hội ngành để cung cấp cơ hội học tập liên tục.</w:t>
            </w:r>
          </w:p>
          <w:p w14:paraId="53CFE68F" w14:textId="7526C1FA" w:rsidR="00912E7F" w:rsidRPr="00912E7F" w:rsidRDefault="00912E7F" w:rsidP="00912E7F">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Theme="minorBidi" w:eastAsia="DengXian" w:hAnsiTheme="minorBidi" w:cstheme="minorBidi"/>
                <w:sz w:val="20"/>
                <w:szCs w:val="20"/>
                <w:lang w:val="en-GB"/>
              </w:rPr>
            </w:pPr>
            <w:r w:rsidRPr="00912E7F">
              <w:rPr>
                <w:rFonts w:asciiTheme="minorBidi" w:eastAsia="DengXian" w:hAnsiTheme="minorBidi" w:cstheme="minorBidi"/>
                <w:sz w:val="20"/>
                <w:szCs w:val="20"/>
                <w:lang w:val="en-GB"/>
              </w:rPr>
              <w:t>Duy trì các nỗ lực nâng cao nhận thức thông qua hoạt động tiếp cận và giáo dục thường xuyên.</w:t>
            </w:r>
          </w:p>
          <w:p w14:paraId="551F9EFE" w14:textId="0759CF34" w:rsidR="00C56C77" w:rsidRPr="00516087" w:rsidRDefault="00912E7F" w:rsidP="00912E7F">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Theme="minorBidi" w:eastAsia="DengXian" w:hAnsiTheme="minorBidi" w:cstheme="minorBidi"/>
                <w:b/>
                <w:sz w:val="20"/>
                <w:szCs w:val="20"/>
                <w:lang w:val="en-GB"/>
              </w:rPr>
            </w:pPr>
            <w:r w:rsidRPr="00912E7F">
              <w:rPr>
                <w:rFonts w:asciiTheme="minorBidi" w:eastAsia="DengXian" w:hAnsiTheme="minorBidi" w:cstheme="minorBidi"/>
                <w:sz w:val="20"/>
                <w:szCs w:val="20"/>
                <w:lang w:val="en-GB"/>
              </w:rPr>
              <w:t>Mở rộng cơ chế hỗ trợ khu vực công để cung cấp hỗ trợ kỹ thuật trong triển khai và giám sát Hệ thống UBIN và Cơ chế Định danh số Khu vực ASEAN</w:t>
            </w:r>
            <w:r w:rsidR="00C56C77" w:rsidRPr="00516087">
              <w:rPr>
                <w:rFonts w:asciiTheme="minorBidi" w:eastAsia="DengXian" w:hAnsiTheme="minorBidi" w:cstheme="minorBidi"/>
                <w:sz w:val="20"/>
                <w:szCs w:val="20"/>
                <w:lang w:val="en-GB"/>
              </w:rPr>
              <w:t xml:space="preserve">. </w:t>
            </w:r>
            <w:r w:rsidR="00214953" w:rsidRPr="00516087">
              <w:rPr>
                <w:rFonts w:asciiTheme="minorBidi" w:eastAsia="DengXian" w:hAnsiTheme="minorBidi" w:cstheme="minorBidi"/>
                <w:sz w:val="20"/>
                <w:szCs w:val="20"/>
                <w:lang w:val="en-GB"/>
              </w:rPr>
              <w:br/>
            </w:r>
          </w:p>
          <w:p w14:paraId="39235B34" w14:textId="6F0DA792" w:rsidR="00C56C77" w:rsidRPr="004F1D15" w:rsidRDefault="00912E7F" w:rsidP="00C56C7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Dài</w:t>
            </w:r>
            <w:r>
              <w:rPr>
                <w:sz w:val="20"/>
                <w:szCs w:val="20"/>
                <w:lang w:val="vi-VN"/>
              </w:rPr>
              <w:t xml:space="preserve"> hạn</w:t>
            </w:r>
            <w:r w:rsidR="00C56C77" w:rsidRPr="004F1D15">
              <w:rPr>
                <w:sz w:val="20"/>
                <w:szCs w:val="20"/>
              </w:rPr>
              <w:t>:</w:t>
            </w:r>
          </w:p>
          <w:p w14:paraId="382BC639" w14:textId="77777777" w:rsidR="00DF66BE" w:rsidRPr="00DF66BE" w:rsidRDefault="00DF66BE" w:rsidP="00DF66BE">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DF66BE">
              <w:rPr>
                <w:rFonts w:ascii="Arial" w:eastAsia="DengXian" w:hAnsi="Arial"/>
                <w:sz w:val="20"/>
                <w:szCs w:val="20"/>
                <w:lang w:val="en-GB"/>
              </w:rPr>
              <w:t>Thể chế hóa các chương trình phát triển chuyên môn liên tục.</w:t>
            </w:r>
          </w:p>
          <w:p w14:paraId="02603ADF" w14:textId="5E96A6B0" w:rsidR="00DF66BE" w:rsidRPr="00DF66BE" w:rsidRDefault="00DF66BE" w:rsidP="00DF66BE">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DF66BE">
              <w:rPr>
                <w:rFonts w:ascii="Arial" w:eastAsia="DengXian" w:hAnsi="Arial"/>
                <w:sz w:val="20"/>
                <w:szCs w:val="20"/>
                <w:lang w:val="en-GB"/>
              </w:rPr>
              <w:t>Thường xuyên cập nhật nội dung đào tạo để phản ánh tiến bộ công nghệ, động lực thị trường, cùng sự thay đổi của khung pháp lý và chính sách.</w:t>
            </w:r>
          </w:p>
          <w:p w14:paraId="40BF3F66" w14:textId="23EFD55C" w:rsidR="00DF66BE" w:rsidRPr="00DF66BE" w:rsidRDefault="00DF66BE" w:rsidP="00DF66BE">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DF66BE">
              <w:rPr>
                <w:rFonts w:ascii="Arial" w:eastAsia="DengXian" w:hAnsi="Arial"/>
                <w:sz w:val="20"/>
                <w:szCs w:val="20"/>
                <w:lang w:val="en-GB"/>
              </w:rPr>
              <w:lastRenderedPageBreak/>
              <w:t>Duy trì năng lực thể chế vững mạnh nhằm hỗ trợ Hệ thống UBIN và Cơ chế Định danh số Khu vực ASEAN.</w:t>
            </w:r>
          </w:p>
          <w:p w14:paraId="79D81AE6" w14:textId="774C3289" w:rsidR="00EC69B5" w:rsidRPr="00DF66BE" w:rsidRDefault="00DF66BE" w:rsidP="00DF66BE">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DF66BE">
              <w:rPr>
                <w:rFonts w:ascii="Arial" w:eastAsia="DengXian" w:hAnsi="Arial"/>
                <w:sz w:val="20"/>
                <w:szCs w:val="20"/>
                <w:lang w:val="en-GB"/>
              </w:rPr>
              <w:t>Tăng cường hợp tác với các đối tác toàn cầu để tiếp thu thực tiễn tốt nhất trong phát triển hệ thống định danh số và xác thực số.</w:t>
            </w:r>
          </w:p>
        </w:tc>
        <w:tc>
          <w:tcPr>
            <w:tcW w:w="2318" w:type="dxa"/>
            <w:gridSpan w:val="2"/>
            <w:tcBorders>
              <w:left w:val="single" w:sz="4" w:space="0" w:color="156082"/>
              <w:right w:val="single" w:sz="4" w:space="0" w:color="156082"/>
            </w:tcBorders>
          </w:tcPr>
          <w:p w14:paraId="53D7D176" w14:textId="2F062FAD" w:rsidR="00EC69B5" w:rsidRPr="004F1D15" w:rsidRDefault="00DF66BE">
            <w:pPr>
              <w:cnfStyle w:val="000000100000" w:firstRow="0" w:lastRow="0" w:firstColumn="0" w:lastColumn="0" w:oddVBand="0" w:evenVBand="0" w:oddHBand="1" w:evenHBand="0" w:firstRowFirstColumn="0" w:firstRowLastColumn="0" w:lastRowFirstColumn="0" w:lastRowLastColumn="0"/>
              <w:rPr>
                <w:sz w:val="20"/>
                <w:szCs w:val="20"/>
              </w:rPr>
            </w:pPr>
            <w:r w:rsidRPr="00DF66BE">
              <w:rPr>
                <w:sz w:val="20"/>
                <w:szCs w:val="20"/>
                <w:lang w:val="vi-VN"/>
              </w:rPr>
              <w:lastRenderedPageBreak/>
              <w:t>Cơ quan điều phối:</w:t>
            </w:r>
            <w:r w:rsidR="44A2C2F2" w:rsidRPr="004F1D15">
              <w:rPr>
                <w:sz w:val="20"/>
                <w:szCs w:val="20"/>
              </w:rPr>
              <w:t>:</w:t>
            </w:r>
          </w:p>
          <w:p w14:paraId="3DEFF0C8" w14:textId="406C355D" w:rsidR="00EB60DD" w:rsidRPr="00676969" w:rsidRDefault="00DF66BE" w:rsidP="00EB60D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DF66BE">
              <w:rPr>
                <w:rFonts w:ascii="Arial" w:eastAsia="DengXian" w:hAnsi="Arial"/>
                <w:sz w:val="20"/>
                <w:szCs w:val="20"/>
                <w:lang w:val="en-GB"/>
              </w:rPr>
              <w:t xml:space="preserve">Ủy ban Điều phối ASEAN về Doanh nghiệp Vi mô, Nhỏ và Vừa </w:t>
            </w:r>
            <w:r w:rsidR="00EB60DD" w:rsidRPr="00676969">
              <w:rPr>
                <w:rFonts w:ascii="Arial" w:eastAsia="DengXian" w:hAnsi="Arial"/>
                <w:sz w:val="20"/>
                <w:szCs w:val="20"/>
                <w:lang w:val="en-GB"/>
              </w:rPr>
              <w:t>(ACCMSME)​</w:t>
            </w:r>
          </w:p>
          <w:p w14:paraId="38F50F02" w14:textId="77777777" w:rsidR="00EB60DD" w:rsidRDefault="00EB60DD" w:rsidP="00EB60DD">
            <w:pPr>
              <w:pStyle w:val="ListParagraph"/>
              <w:numPr>
                <w:ilvl w:val="0"/>
                <w:numId w:val="0"/>
              </w:numPr>
              <w:spacing w:after="0"/>
              <w:ind w:left="36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p>
          <w:p w14:paraId="2C4D9E36" w14:textId="491FD0F7" w:rsidR="00EB60DD" w:rsidRPr="00DF66BE" w:rsidRDefault="00DF66BE" w:rsidP="00EB60DD">
            <w:pPr>
              <w:cnfStyle w:val="000000100000" w:firstRow="0" w:lastRow="0" w:firstColumn="0" w:lastColumn="0" w:oddVBand="0" w:evenVBand="0" w:oddHBand="1" w:evenHBand="0" w:firstRowFirstColumn="0" w:firstRowLastColumn="0" w:lastRowFirstColumn="0" w:lastRowLastColumn="0"/>
              <w:rPr>
                <w:sz w:val="20"/>
                <w:szCs w:val="20"/>
                <w:lang w:val="vi-VN"/>
              </w:rPr>
            </w:pPr>
            <w:r w:rsidRPr="00DF66BE">
              <w:rPr>
                <w:sz w:val="20"/>
                <w:szCs w:val="20"/>
                <w:lang w:val="vi-VN"/>
              </w:rPr>
              <w:t>Cơ quan hỗ trợ:</w:t>
            </w:r>
          </w:p>
          <w:p w14:paraId="065ED1F2" w14:textId="68ED8B4B" w:rsidR="00EB60DD" w:rsidRPr="00184CE8" w:rsidRDefault="00DF66BE" w:rsidP="00EB60D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DF66BE">
              <w:rPr>
                <w:rFonts w:ascii="Arial" w:eastAsia="DengXian" w:hAnsi="Arial"/>
                <w:sz w:val="20"/>
                <w:szCs w:val="20"/>
                <w:lang w:val="en-GB"/>
              </w:rPr>
              <w:t xml:space="preserve">Ủy ban Phụ nữ ASEAN </w:t>
            </w:r>
            <w:r w:rsidR="00EB60DD">
              <w:rPr>
                <w:rFonts w:ascii="Arial" w:eastAsia="DengXian" w:hAnsi="Arial"/>
                <w:sz w:val="20"/>
                <w:szCs w:val="20"/>
                <w:lang w:val="en-GB"/>
              </w:rPr>
              <w:t>(ACW)</w:t>
            </w:r>
          </w:p>
          <w:p w14:paraId="137B7494" w14:textId="77777777" w:rsidR="00EC69B5" w:rsidRPr="003A7F3A" w:rsidRDefault="00EC69B5" w:rsidP="008E713C">
            <w:pPr>
              <w:cnfStyle w:val="000000100000" w:firstRow="0" w:lastRow="0" w:firstColumn="0" w:lastColumn="0" w:oddVBand="0" w:evenVBand="0" w:oddHBand="1" w:evenHBand="0" w:firstRowFirstColumn="0" w:firstRowLastColumn="0" w:lastRowFirstColumn="0" w:lastRowLastColumn="0"/>
            </w:pPr>
          </w:p>
        </w:tc>
        <w:tc>
          <w:tcPr>
            <w:tcW w:w="3774" w:type="dxa"/>
            <w:gridSpan w:val="2"/>
            <w:tcBorders>
              <w:left w:val="single" w:sz="4" w:space="0" w:color="156082"/>
            </w:tcBorders>
          </w:tcPr>
          <w:p w14:paraId="356F5774" w14:textId="4CD0B83B" w:rsidR="00EC69B5" w:rsidRPr="004F1D15" w:rsidRDefault="00DF5A04">
            <w:pPr>
              <w:cnfStyle w:val="000000100000" w:firstRow="0" w:lastRow="0" w:firstColumn="0" w:lastColumn="0" w:oddVBand="0" w:evenVBand="0" w:oddHBand="1" w:evenHBand="0" w:firstRowFirstColumn="0" w:firstRowLastColumn="0" w:lastRowFirstColumn="0" w:lastRowLastColumn="0"/>
              <w:rPr>
                <w:sz w:val="20"/>
                <w:szCs w:val="20"/>
              </w:rPr>
            </w:pPr>
            <w:r w:rsidRPr="00DF5A04">
              <w:rPr>
                <w:sz w:val="20"/>
                <w:szCs w:val="20"/>
                <w:lang w:val="vi-VN"/>
              </w:rPr>
              <w:t>Các thước đo tiến độ chung gồm</w:t>
            </w:r>
            <w:r w:rsidR="00EC69B5" w:rsidRPr="004F1D15">
              <w:rPr>
                <w:sz w:val="20"/>
                <w:szCs w:val="20"/>
              </w:rPr>
              <w:t>:</w:t>
            </w:r>
          </w:p>
          <w:p w14:paraId="7F7ADC52" w14:textId="77777777" w:rsidR="00DF5A04" w:rsidRPr="00DF5A04" w:rsidRDefault="00DF5A04" w:rsidP="00DF5A04">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bCs/>
                <w:sz w:val="20"/>
                <w:szCs w:val="20"/>
                <w:lang w:val="en-GB"/>
              </w:rPr>
            </w:pPr>
            <w:r w:rsidRPr="00DF5A04">
              <w:rPr>
                <w:rFonts w:ascii="Arial" w:hAnsi="Arial"/>
                <w:b/>
                <w:sz w:val="20"/>
                <w:szCs w:val="20"/>
                <w:lang w:val="en-GB"/>
              </w:rPr>
              <w:t xml:space="preserve">Tỷ lệ tham gia: </w:t>
            </w:r>
            <w:r w:rsidRPr="00DF5A04">
              <w:rPr>
                <w:rFonts w:ascii="Arial" w:hAnsi="Arial"/>
                <w:bCs/>
                <w:sz w:val="20"/>
                <w:szCs w:val="20"/>
                <w:lang w:val="en-GB"/>
              </w:rPr>
              <w:t>Đo lường số lượng cá nhân tham gia các chương trình phát triển kỹ năng về an ninh mạng trong các Quốc gia Thành viên ASEAN, bao gồm số người ghi danh các khóa đào tạo, hội thảo và chương trình chứng nhận.</w:t>
            </w:r>
          </w:p>
          <w:p w14:paraId="27633EC3" w14:textId="494F033D" w:rsidR="00DF5A04" w:rsidRPr="00DF5A04" w:rsidRDefault="00DF5A04" w:rsidP="00DF5A04">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b/>
                <w:sz w:val="20"/>
                <w:szCs w:val="20"/>
                <w:lang w:val="en-GB"/>
              </w:rPr>
            </w:pPr>
            <w:r w:rsidRPr="00DF5A04">
              <w:rPr>
                <w:rFonts w:ascii="Arial" w:hAnsi="Arial"/>
                <w:b/>
                <w:sz w:val="20"/>
                <w:szCs w:val="20"/>
                <w:lang w:val="en-GB"/>
              </w:rPr>
              <w:t xml:space="preserve">Tỷ lệ áp dụng: </w:t>
            </w:r>
            <w:r w:rsidRPr="00DF5A04">
              <w:rPr>
                <w:rFonts w:ascii="Arial" w:hAnsi="Arial"/>
                <w:bCs/>
                <w:sz w:val="20"/>
                <w:szCs w:val="20"/>
                <w:lang w:val="en-GB"/>
              </w:rPr>
              <w:t>Số lượng doanh nghiệp áp dụng Hệ thống UBIN ASEAN trong thời gian quy định, và số người dùng áp dụng các cơ chế định danh số khu vực.</w:t>
            </w:r>
          </w:p>
          <w:p w14:paraId="256B73D1" w14:textId="55D3801F" w:rsidR="00DF5A04" w:rsidRPr="00DF5A04" w:rsidRDefault="00DF5A04" w:rsidP="00DF5A04">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bCs/>
                <w:sz w:val="20"/>
                <w:szCs w:val="20"/>
                <w:lang w:val="en-GB"/>
              </w:rPr>
            </w:pPr>
            <w:r w:rsidRPr="00DF5A04">
              <w:rPr>
                <w:rFonts w:ascii="Arial" w:hAnsi="Arial"/>
                <w:b/>
                <w:sz w:val="20"/>
                <w:szCs w:val="20"/>
                <w:lang w:val="en-GB"/>
              </w:rPr>
              <w:lastRenderedPageBreak/>
              <w:t xml:space="preserve">Chỉ số cải thiện kỹ năng: </w:t>
            </w:r>
            <w:r w:rsidRPr="00DF5A04">
              <w:rPr>
                <w:rFonts w:ascii="Arial" w:hAnsi="Arial"/>
                <w:bCs/>
                <w:sz w:val="20"/>
                <w:szCs w:val="20"/>
                <w:lang w:val="en-GB"/>
              </w:rPr>
              <w:t>Mức độ cải thiện kỹ năng của người tham gia, được đánh giá qua kiểm tra trước và sau đào tạo.</w:t>
            </w:r>
          </w:p>
          <w:p w14:paraId="79ABD3FD" w14:textId="0BA2AEC3" w:rsidR="00EC69B5" w:rsidRPr="00DF5A04" w:rsidRDefault="00DF5A04" w:rsidP="00DF5A04">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bCs/>
                <w:sz w:val="20"/>
                <w:szCs w:val="20"/>
                <w:lang w:val="en-GB"/>
              </w:rPr>
            </w:pPr>
            <w:r w:rsidRPr="00DF5A04">
              <w:rPr>
                <w:rFonts w:ascii="Arial" w:hAnsi="Arial"/>
                <w:b/>
                <w:sz w:val="20"/>
                <w:szCs w:val="20"/>
                <w:lang w:val="en-GB"/>
              </w:rPr>
              <w:t xml:space="preserve">Mức độ tham gia của các bên liên quan: </w:t>
            </w:r>
            <w:r w:rsidRPr="00DF5A04">
              <w:rPr>
                <w:rFonts w:ascii="Arial" w:hAnsi="Arial"/>
                <w:bCs/>
                <w:sz w:val="20"/>
                <w:szCs w:val="20"/>
                <w:lang w:val="en-GB"/>
              </w:rPr>
              <w:t>Số lượng các bên liên quan tham gia và phản hồi được thu thập.</w:t>
            </w:r>
          </w:p>
        </w:tc>
      </w:tr>
    </w:tbl>
    <w:p w14:paraId="626C21CE" w14:textId="2327E9CE" w:rsidR="00444160" w:rsidRPr="004F1D15" w:rsidRDefault="00444160">
      <w:pPr>
        <w:spacing w:line="259" w:lineRule="auto"/>
        <w:jc w:val="left"/>
        <w:rPr>
          <w:rFonts w:eastAsia="Arial"/>
          <w:i/>
          <w:color w:val="657C9C" w:themeColor="text2" w:themeTint="BF"/>
          <w:sz w:val="20"/>
          <w:szCs w:val="20"/>
        </w:rPr>
      </w:pPr>
    </w:p>
    <w:p w14:paraId="1C3CD051" w14:textId="29EBEE36" w:rsidR="005A7FFA" w:rsidRPr="004F1D15" w:rsidRDefault="00513789" w:rsidP="00C82E40">
      <w:pPr>
        <w:pStyle w:val="Heading4"/>
        <w:rPr>
          <w:sz w:val="20"/>
          <w:lang w:val="en-GB"/>
        </w:rPr>
      </w:pPr>
      <w:r>
        <w:rPr>
          <w:sz w:val="20"/>
          <w:lang w:val="en-GB"/>
        </w:rPr>
        <w:t>Danh</w:t>
      </w:r>
      <w:r>
        <w:rPr>
          <w:sz w:val="20"/>
          <w:lang w:val="vi-VN"/>
        </w:rPr>
        <w:t xml:space="preserve"> mục</w:t>
      </w:r>
      <w:r w:rsidR="00CC6EE0" w:rsidRPr="004F1D15">
        <w:rPr>
          <w:sz w:val="20"/>
          <w:lang w:val="en-GB"/>
        </w:rPr>
        <w:t xml:space="preserve"> </w:t>
      </w:r>
      <w:r w:rsidR="005A7FFA" w:rsidRPr="004F1D15">
        <w:rPr>
          <w:sz w:val="20"/>
          <w:lang w:val="en-GB"/>
        </w:rPr>
        <w:t xml:space="preserve">3: </w:t>
      </w:r>
      <w:r w:rsidR="008E2D30">
        <w:rPr>
          <w:sz w:val="20"/>
          <w:lang w:val="en-GB"/>
        </w:rPr>
        <w:t>Phát</w:t>
      </w:r>
      <w:r w:rsidR="008E2D30">
        <w:rPr>
          <w:sz w:val="20"/>
          <w:lang w:val="vi-VN"/>
        </w:rPr>
        <w:t xml:space="preserve"> triển Hạ tầng </w:t>
      </w:r>
      <w:r w:rsidR="00616696">
        <w:rPr>
          <w:sz w:val="20"/>
          <w:lang w:val="vi-VN"/>
        </w:rPr>
        <w:t>Số</w:t>
      </w:r>
    </w:p>
    <w:tbl>
      <w:tblPr>
        <w:tblStyle w:val="ListTable3-Accent11"/>
        <w:tblW w:w="15314" w:type="dxa"/>
        <w:tblLook w:val="04A0" w:firstRow="1" w:lastRow="0" w:firstColumn="1" w:lastColumn="0" w:noHBand="0" w:noVBand="1"/>
      </w:tblPr>
      <w:tblGrid>
        <w:gridCol w:w="1694"/>
        <w:gridCol w:w="3764"/>
        <w:gridCol w:w="7"/>
        <w:gridCol w:w="3757"/>
        <w:gridCol w:w="15"/>
        <w:gridCol w:w="2303"/>
        <w:gridCol w:w="14"/>
        <w:gridCol w:w="3760"/>
      </w:tblGrid>
      <w:tr w:rsidR="00EC69B5" w:rsidRPr="004F1D15" w14:paraId="01F00B4E" w14:textId="77777777" w:rsidTr="00AC0A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4" w:type="dxa"/>
            <w:tcBorders>
              <w:bottom w:val="single" w:sz="4" w:space="0" w:color="156082"/>
            </w:tcBorders>
            <w:shd w:val="clear" w:color="auto" w:fill="002060"/>
          </w:tcPr>
          <w:p w14:paraId="511F9FFF" w14:textId="2EB05F6E" w:rsidR="00EC69B5" w:rsidRPr="00A83BE6" w:rsidRDefault="00A83BE6" w:rsidP="00BF5F59">
            <w:pPr>
              <w:jc w:val="center"/>
              <w:rPr>
                <w:sz w:val="20"/>
                <w:szCs w:val="20"/>
                <w:lang w:val="vi-VN"/>
              </w:rPr>
            </w:pPr>
            <w:r>
              <w:rPr>
                <w:sz w:val="20"/>
                <w:szCs w:val="20"/>
              </w:rPr>
              <w:t>Khu</w:t>
            </w:r>
            <w:r>
              <w:rPr>
                <w:sz w:val="20"/>
                <w:szCs w:val="20"/>
                <w:lang w:val="vi-VN"/>
              </w:rPr>
              <w:t xml:space="preserve"> vực hành động</w:t>
            </w:r>
          </w:p>
        </w:tc>
        <w:tc>
          <w:tcPr>
            <w:tcW w:w="3771" w:type="dxa"/>
            <w:gridSpan w:val="2"/>
            <w:shd w:val="clear" w:color="auto" w:fill="002060"/>
          </w:tcPr>
          <w:p w14:paraId="4549D37A" w14:textId="1417E97A" w:rsidR="00EC69B5" w:rsidRPr="00A83BE6" w:rsidRDefault="00A83BE6" w:rsidP="00BF5F59">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Lĩnh</w:t>
            </w:r>
            <w:r>
              <w:rPr>
                <w:sz w:val="20"/>
                <w:szCs w:val="20"/>
                <w:lang w:val="vi-VN"/>
              </w:rPr>
              <w:t xml:space="preserve"> vực trọng tâm</w:t>
            </w:r>
          </w:p>
        </w:tc>
        <w:tc>
          <w:tcPr>
            <w:tcW w:w="3772" w:type="dxa"/>
            <w:gridSpan w:val="2"/>
            <w:shd w:val="clear" w:color="auto" w:fill="002060"/>
          </w:tcPr>
          <w:p w14:paraId="3C42C0FE" w14:textId="09DFB1C4" w:rsidR="00EC69B5" w:rsidRPr="004F1D15" w:rsidRDefault="00A83BE6" w:rsidP="00BF5F59">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Các</w:t>
            </w:r>
            <w:r>
              <w:rPr>
                <w:sz w:val="20"/>
                <w:szCs w:val="20"/>
                <w:lang w:val="vi-VN"/>
              </w:rPr>
              <w:t xml:space="preserve"> mốc dự kiến và khung thời gian tạm tính</w:t>
            </w:r>
            <w:r w:rsidR="00EC69B5" w:rsidRPr="004F1D15">
              <w:rPr>
                <w:sz w:val="20"/>
                <w:szCs w:val="20"/>
                <w:vertAlign w:val="superscript"/>
              </w:rPr>
              <w:footnoteReference w:id="348"/>
            </w:r>
          </w:p>
        </w:tc>
        <w:tc>
          <w:tcPr>
            <w:tcW w:w="2317" w:type="dxa"/>
            <w:gridSpan w:val="2"/>
            <w:shd w:val="clear" w:color="auto" w:fill="002060"/>
          </w:tcPr>
          <w:p w14:paraId="67F2A9A9" w14:textId="14C5A12F" w:rsidR="00EC69B5" w:rsidRPr="00A83BE6" w:rsidRDefault="00A83BE6" w:rsidP="00BF5F59">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lang w:val="vi-VN"/>
              </w:rPr>
              <w:t>Các bên chịu trách nhiệm</w:t>
            </w:r>
          </w:p>
        </w:tc>
        <w:tc>
          <w:tcPr>
            <w:tcW w:w="3760" w:type="dxa"/>
            <w:shd w:val="clear" w:color="auto" w:fill="002060"/>
          </w:tcPr>
          <w:p w14:paraId="6363ACFB" w14:textId="6AC6A3DC" w:rsidR="00EC69B5" w:rsidRPr="008E2D30" w:rsidRDefault="008E2D30" w:rsidP="00BF5F59">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Thước</w:t>
            </w:r>
            <w:r>
              <w:rPr>
                <w:sz w:val="20"/>
                <w:szCs w:val="20"/>
                <w:lang w:val="vi-VN"/>
              </w:rPr>
              <w:t xml:space="preserve"> đo tiến độ</w:t>
            </w:r>
          </w:p>
        </w:tc>
      </w:tr>
      <w:tr w:rsidR="00EC69B5" w:rsidRPr="004F1D15" w14:paraId="1841436B" w14:textId="77777777" w:rsidTr="00AC0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shd w:val="clear" w:color="auto" w:fill="00B0F0"/>
          </w:tcPr>
          <w:p w14:paraId="70EE54F3" w14:textId="0EE0E7C5" w:rsidR="00EC69B5" w:rsidRPr="008E2D30" w:rsidRDefault="008E2D30" w:rsidP="00BF5F59">
            <w:pPr>
              <w:jc w:val="center"/>
              <w:rPr>
                <w:sz w:val="20"/>
                <w:szCs w:val="20"/>
                <w:lang w:val="vi-VN"/>
              </w:rPr>
            </w:pPr>
            <w:r>
              <w:rPr>
                <w:sz w:val="20"/>
                <w:szCs w:val="20"/>
              </w:rPr>
              <w:t>Khu</w:t>
            </w:r>
            <w:r>
              <w:rPr>
                <w:sz w:val="20"/>
                <w:szCs w:val="20"/>
                <w:lang w:val="vi-VN"/>
              </w:rPr>
              <w:t xml:space="preserve"> vực hành động chính</w:t>
            </w:r>
          </w:p>
        </w:tc>
        <w:tc>
          <w:tcPr>
            <w:tcW w:w="13620" w:type="dxa"/>
            <w:gridSpan w:val="7"/>
            <w:tcBorders>
              <w:left w:val="single" w:sz="4" w:space="0" w:color="156082"/>
            </w:tcBorders>
            <w:shd w:val="clear" w:color="auto" w:fill="00B0F0"/>
          </w:tcPr>
          <w:p w14:paraId="023DCF2B" w14:textId="06A28999" w:rsidR="00EC69B5" w:rsidRPr="00E81A2D" w:rsidRDefault="008E713C">
            <w:pPr>
              <w:cnfStyle w:val="000000100000" w:firstRow="0" w:lastRow="0" w:firstColumn="0" w:lastColumn="0" w:oddVBand="0" w:evenVBand="0" w:oddHBand="1" w:evenHBand="0" w:firstRowFirstColumn="0" w:firstRowLastColumn="0" w:lastRowFirstColumn="0" w:lastRowLastColumn="0"/>
              <w:rPr>
                <w:rFonts w:eastAsiaTheme="minorEastAsia"/>
                <w:b/>
                <w:bCs/>
                <w:sz w:val="20"/>
                <w:szCs w:val="20"/>
                <w:lang w:val="vi-VN"/>
              </w:rPr>
            </w:pPr>
            <w:r>
              <w:rPr>
                <w:b/>
                <w:sz w:val="20"/>
                <w:szCs w:val="20"/>
              </w:rPr>
              <w:t>6.2.7.3</w:t>
            </w:r>
            <w:r w:rsidR="00444160" w:rsidRPr="004F1D15">
              <w:rPr>
                <w:b/>
                <w:sz w:val="20"/>
                <w:szCs w:val="20"/>
              </w:rPr>
              <w:t xml:space="preserve"> </w:t>
            </w:r>
            <w:r w:rsidR="00E81A2D" w:rsidRPr="00E81A2D">
              <w:rPr>
                <w:b/>
                <w:sz w:val="20"/>
                <w:szCs w:val="20"/>
                <w:lang w:val="vi-VN"/>
              </w:rPr>
              <w:t>Tăng cường Hạ tầng Số Nền tảng cho Hệ thống UBIN ASEAN và Cơ chế Định danh Số Khu vực</w:t>
            </w:r>
          </w:p>
        </w:tc>
      </w:tr>
      <w:tr w:rsidR="00EC69B5" w:rsidRPr="004F1D15" w14:paraId="38C814C6" w14:textId="77777777" w:rsidTr="00AC0AE1">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156082"/>
              <w:bottom w:val="single" w:sz="4" w:space="0" w:color="156082"/>
              <w:right w:val="single" w:sz="4" w:space="0" w:color="156082"/>
            </w:tcBorders>
            <w:shd w:val="clear" w:color="auto" w:fill="BDD6EE" w:themeFill="accent5" w:themeFillTint="66"/>
          </w:tcPr>
          <w:p w14:paraId="1AC42C74" w14:textId="1F8439BA" w:rsidR="00EC69B5" w:rsidRPr="008E2D30" w:rsidRDefault="008E2D30" w:rsidP="00BF5F59">
            <w:pPr>
              <w:jc w:val="center"/>
              <w:rPr>
                <w:sz w:val="20"/>
                <w:szCs w:val="20"/>
                <w:lang w:val="vi-VN"/>
              </w:rPr>
            </w:pPr>
            <w:r>
              <w:rPr>
                <w:sz w:val="20"/>
                <w:szCs w:val="20"/>
              </w:rPr>
              <w:t>Mục</w:t>
            </w:r>
            <w:r>
              <w:rPr>
                <w:sz w:val="20"/>
                <w:szCs w:val="20"/>
                <w:lang w:val="vi-VN"/>
              </w:rPr>
              <w:t xml:space="preserve"> tiêu</w:t>
            </w:r>
          </w:p>
        </w:tc>
        <w:tc>
          <w:tcPr>
            <w:tcW w:w="13620" w:type="dxa"/>
            <w:gridSpan w:val="7"/>
            <w:tcBorders>
              <w:left w:val="single" w:sz="4" w:space="0" w:color="156082"/>
            </w:tcBorders>
            <w:shd w:val="clear" w:color="auto" w:fill="BDD6EE" w:themeFill="accent5" w:themeFillTint="66"/>
          </w:tcPr>
          <w:p w14:paraId="6D57DB93" w14:textId="6B82207D" w:rsidR="00C56C77" w:rsidRPr="00516087" w:rsidRDefault="00D54266"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hAnsi="Arial"/>
                <w:sz w:val="20"/>
                <w:szCs w:val="20"/>
                <w:lang w:val="en-GB"/>
              </w:rPr>
            </w:pPr>
            <w:r w:rsidRPr="00D54266">
              <w:rPr>
                <w:rFonts w:ascii="Arial" w:eastAsia="DengXian" w:hAnsi="Arial"/>
                <w:b/>
                <w:bCs/>
                <w:sz w:val="20"/>
                <w:szCs w:val="20"/>
                <w:lang w:val="vi-VN"/>
              </w:rPr>
              <w:t>Phát triển Hệ thống Định danh Số và Xác thực Số có Khả năng Tương tác:</w:t>
            </w:r>
            <w:r w:rsidRPr="00D54266">
              <w:rPr>
                <w:rFonts w:ascii="Arial" w:eastAsia="DengXian" w:hAnsi="Arial"/>
                <w:sz w:val="20"/>
                <w:szCs w:val="20"/>
                <w:lang w:val="vi-VN"/>
              </w:rPr>
              <w:t xml:space="preserve"> Phát triển hạ tầng định danh số và xác thực số có khả năng tương tác để hỗ trợ hệ thống UBIN và các cơ chế định danh số quốc gia, tạo điều kiện cho các giao dịch xuyên biên giới diễn ra liền mạch.</w:t>
            </w:r>
          </w:p>
          <w:p w14:paraId="1A0E7C6D" w14:textId="737C14FC" w:rsidR="00EC69B5" w:rsidRPr="004F1D15" w:rsidRDefault="00913050"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hAnsi="Arial"/>
                <w:sz w:val="20"/>
                <w:szCs w:val="20"/>
                <w:lang w:val="en-GB"/>
              </w:rPr>
            </w:pPr>
            <w:r w:rsidRPr="00913050">
              <w:rPr>
                <w:rFonts w:ascii="Arial" w:eastAsia="DengXian" w:hAnsi="Arial"/>
                <w:b/>
                <w:bCs/>
                <w:sz w:val="20"/>
                <w:szCs w:val="20"/>
                <w:lang w:val="vi-VN"/>
              </w:rPr>
              <w:t xml:space="preserve">Thúc đẩy Ứng dụng Định danh Số và Xác thực Số: </w:t>
            </w:r>
            <w:r w:rsidRPr="00913050">
              <w:rPr>
                <w:rFonts w:ascii="Arial" w:eastAsia="DengXian" w:hAnsi="Arial"/>
                <w:sz w:val="20"/>
                <w:szCs w:val="20"/>
                <w:lang w:val="vi-VN"/>
              </w:rPr>
              <w:t>Cung cấp các giải pháp định danh số và xác thực số đơn giản và an toàn cho người tiêu dùng và doanh nghiệp.</w:t>
            </w:r>
          </w:p>
        </w:tc>
      </w:tr>
      <w:tr w:rsidR="00EC69B5" w:rsidRPr="004F1D15" w14:paraId="4D6F9A82" w14:textId="77777777" w:rsidTr="6BB67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tcPr>
          <w:p w14:paraId="6ED1CC17" w14:textId="7DE43F59" w:rsidR="00EC69B5" w:rsidRPr="004F1D15" w:rsidRDefault="008E713C" w:rsidP="00BF5F59">
            <w:pPr>
              <w:jc w:val="center"/>
              <w:rPr>
                <w:sz w:val="20"/>
                <w:szCs w:val="20"/>
              </w:rPr>
            </w:pPr>
            <w:r>
              <w:rPr>
                <w:bCs w:val="0"/>
                <w:sz w:val="20"/>
                <w:szCs w:val="20"/>
              </w:rPr>
              <w:t>6.2.7.3</w:t>
            </w:r>
            <w:r w:rsidR="00444160" w:rsidRPr="004F1D15">
              <w:rPr>
                <w:bCs w:val="0"/>
                <w:sz w:val="20"/>
                <w:szCs w:val="20"/>
              </w:rPr>
              <w:t xml:space="preserve"> </w:t>
            </w:r>
            <w:r w:rsidR="00E81A2D" w:rsidRPr="00E81A2D">
              <w:rPr>
                <w:bCs w:val="0"/>
                <w:sz w:val="20"/>
                <w:szCs w:val="20"/>
              </w:rPr>
              <w:t>Tăng cường Hạ tầng Số Nền tảng cho Hệ thống UBIN ASEAN và Cơ chế Định danh Số Khu vực</w:t>
            </w:r>
          </w:p>
        </w:tc>
        <w:tc>
          <w:tcPr>
            <w:tcW w:w="3764" w:type="dxa"/>
            <w:tcBorders>
              <w:left w:val="single" w:sz="4" w:space="0" w:color="156082"/>
              <w:right w:val="single" w:sz="4" w:space="0" w:color="156082"/>
            </w:tcBorders>
          </w:tcPr>
          <w:p w14:paraId="7BBBAD06" w14:textId="2EB1114C" w:rsidR="00C57E02" w:rsidRPr="00A974FC" w:rsidRDefault="00557994" w:rsidP="00A974FC">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557994">
              <w:rPr>
                <w:rFonts w:ascii="Arial" w:eastAsia="DengXian" w:hAnsi="Arial"/>
                <w:b/>
                <w:bCs/>
                <w:sz w:val="20"/>
                <w:szCs w:val="20"/>
                <w:lang w:val="vi-VN"/>
              </w:rPr>
              <w:t>Hệ thống có Khả năng Tương tác:</w:t>
            </w:r>
            <w:r w:rsidRPr="00557994">
              <w:rPr>
                <w:rFonts w:ascii="Arial" w:eastAsia="DengXian" w:hAnsi="Arial"/>
                <w:sz w:val="20"/>
                <w:szCs w:val="20"/>
                <w:lang w:val="vi-VN"/>
              </w:rPr>
              <w:t xml:space="preserve"> Cập nhật hệ thống định danh số quốc gia hiện có hoặc phát triển mới để thúc đẩy khả năng tương tác xuyên biên giới giữa các quốc gia thành viên ASEAN.</w:t>
            </w:r>
          </w:p>
          <w:p w14:paraId="17E20946" w14:textId="582AA001" w:rsidR="00874F75" w:rsidRPr="00516087" w:rsidRDefault="00557994" w:rsidP="00874F75">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557994">
              <w:rPr>
                <w:rFonts w:ascii="Arial" w:eastAsia="DengXian" w:hAnsi="Arial"/>
                <w:b/>
                <w:bCs/>
                <w:sz w:val="20"/>
                <w:szCs w:val="20"/>
                <w:lang w:val="vi-VN"/>
              </w:rPr>
              <w:t>Hạ tầng Số cho UBIN:</w:t>
            </w:r>
            <w:r w:rsidRPr="00557994">
              <w:rPr>
                <w:rFonts w:ascii="Arial" w:eastAsia="DengXian" w:hAnsi="Arial"/>
                <w:sz w:val="20"/>
                <w:szCs w:val="20"/>
                <w:lang w:val="vi-VN"/>
              </w:rPr>
              <w:t xml:space="preserve"> Triển khai các giải pháp kỹ thuật nhằm thiết lập hệ thống UBIN phân tán, có khả năng tương tác trong toàn ASEAN.</w:t>
            </w:r>
          </w:p>
          <w:p w14:paraId="69E9C90C" w14:textId="77D6618A" w:rsidR="00C57E02" w:rsidRPr="004F1D15" w:rsidRDefault="00557994" w:rsidP="00A974FC">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557994">
              <w:rPr>
                <w:rFonts w:ascii="Arial" w:hAnsi="Arial"/>
                <w:b/>
                <w:bCs/>
                <w:sz w:val="20"/>
                <w:szCs w:val="20"/>
                <w:lang w:val="vi-VN"/>
              </w:rPr>
              <w:lastRenderedPageBreak/>
              <w:t>Hạ tầng An ninh Mạng:</w:t>
            </w:r>
            <w:r w:rsidRPr="00557994">
              <w:rPr>
                <w:rFonts w:ascii="Arial" w:hAnsi="Arial"/>
                <w:sz w:val="20"/>
                <w:szCs w:val="20"/>
                <w:lang w:val="vi-VN"/>
              </w:rPr>
              <w:t xml:space="preserve"> Tăng cường các biện pháp an ninh mạng nhằm bảo vệ dữ liệu trong các cơ chế định danh số và xác thực số cho người tiêu dùng và doanh nghiệp.</w:t>
            </w:r>
          </w:p>
          <w:p w14:paraId="50A8D566" w14:textId="4B7E6F55" w:rsidR="00EC69B5" w:rsidRPr="00516087" w:rsidRDefault="00557994" w:rsidP="00A974FC">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sz w:val="20"/>
                <w:szCs w:val="20"/>
                <w:lang w:val="en-GB"/>
              </w:rPr>
            </w:pPr>
            <w:r w:rsidRPr="00557994">
              <w:rPr>
                <w:rFonts w:ascii="Arial" w:eastAsia="DengXian" w:hAnsi="Arial"/>
                <w:b/>
                <w:bCs/>
                <w:sz w:val="20"/>
                <w:szCs w:val="20"/>
                <w:lang w:val="vi-VN"/>
              </w:rPr>
              <w:t>Tăng cường Kết nối:</w:t>
            </w:r>
            <w:r w:rsidRPr="00557994">
              <w:rPr>
                <w:rFonts w:ascii="Arial" w:eastAsia="DengXian" w:hAnsi="Arial"/>
                <w:sz w:val="20"/>
                <w:szCs w:val="20"/>
                <w:lang w:val="vi-VN"/>
              </w:rPr>
              <w:t xml:space="preserve"> Mở rộng hạ tầng băng thông rộng và internet di động tới các khu vực chưa được phục vụ đầy đủ, nhằm tạo khả năng tiếp cận liền mạch đối với các cơ chế định danh số khu vực và giảm chi phí liên quan.</w:t>
            </w:r>
          </w:p>
        </w:tc>
        <w:tc>
          <w:tcPr>
            <w:tcW w:w="3764" w:type="dxa"/>
            <w:gridSpan w:val="2"/>
            <w:tcBorders>
              <w:left w:val="single" w:sz="4" w:space="0" w:color="156082"/>
              <w:right w:val="single" w:sz="4" w:space="0" w:color="156082"/>
            </w:tcBorders>
          </w:tcPr>
          <w:p w14:paraId="047CF2AD" w14:textId="19BBC55A" w:rsidR="00EC69B5" w:rsidRPr="004F1D15" w:rsidRDefault="00406EE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Ngắn</w:t>
            </w:r>
            <w:r>
              <w:rPr>
                <w:sz w:val="20"/>
                <w:szCs w:val="20"/>
                <w:lang w:val="vi-VN"/>
              </w:rPr>
              <w:t xml:space="preserve"> hạn</w:t>
            </w:r>
            <w:r w:rsidR="00EC69B5" w:rsidRPr="004F1D15">
              <w:rPr>
                <w:sz w:val="20"/>
                <w:szCs w:val="20"/>
              </w:rPr>
              <w:t>:</w:t>
            </w:r>
          </w:p>
          <w:p w14:paraId="24D6BF0C" w14:textId="77777777" w:rsidR="00406EE7" w:rsidRPr="00406EE7" w:rsidRDefault="00406EE7" w:rsidP="00406EE7">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406EE7">
              <w:rPr>
                <w:rFonts w:ascii="Arial" w:eastAsia="DengXian" w:hAnsi="Arial"/>
                <w:sz w:val="20"/>
                <w:szCs w:val="20"/>
                <w:lang w:val="en-GB"/>
              </w:rPr>
              <w:t>Đánh giá nhu cầu an ninh mạng hiện tại đối với một cơ chế định danh số khu vực trong ASEAN.</w:t>
            </w:r>
          </w:p>
          <w:p w14:paraId="5D6C07B3" w14:textId="608A82F4" w:rsidR="00406EE7" w:rsidRPr="00406EE7" w:rsidRDefault="00406EE7" w:rsidP="00406EE7">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406EE7">
              <w:rPr>
                <w:rFonts w:ascii="Arial" w:eastAsia="DengXian" w:hAnsi="Arial"/>
                <w:sz w:val="20"/>
                <w:szCs w:val="20"/>
                <w:lang w:val="en-GB"/>
              </w:rPr>
              <w:t>Đánh giá và xây dựng các phương án giải pháp kỹ thuật cho hệ thống UBIN và cơ chế định danh số khu vực.</w:t>
            </w:r>
          </w:p>
          <w:p w14:paraId="14703DCA" w14:textId="60B95B23" w:rsidR="00406EE7" w:rsidRPr="00406EE7" w:rsidRDefault="00406EE7" w:rsidP="00406EE7">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406EE7">
              <w:rPr>
                <w:rFonts w:ascii="Arial" w:eastAsia="DengXian" w:hAnsi="Arial"/>
                <w:sz w:val="20"/>
                <w:szCs w:val="20"/>
                <w:lang w:val="en-GB"/>
              </w:rPr>
              <w:t>Đánh giá khoảng trống hạ tầng băng thông rộng và internet di động tại các khu vực chưa được phục vụ.</w:t>
            </w:r>
          </w:p>
          <w:p w14:paraId="62124186" w14:textId="74B16613" w:rsidR="00EC69B5" w:rsidRPr="00406EE7" w:rsidRDefault="00406EE7" w:rsidP="00406EE7">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406EE7">
              <w:rPr>
                <w:rFonts w:ascii="Arial" w:eastAsia="DengXian" w:hAnsi="Arial"/>
                <w:sz w:val="20"/>
                <w:szCs w:val="20"/>
                <w:lang w:val="en-GB"/>
              </w:rPr>
              <w:lastRenderedPageBreak/>
              <w:t>Khởi động các dự án mở rộng nhằm cải thiện kết nối số tại các khu vực chưa được phục vụ.</w:t>
            </w:r>
            <w:r w:rsidR="009B0221" w:rsidRPr="00406EE7">
              <w:rPr>
                <w:rFonts w:eastAsia="DengXian"/>
                <w:sz w:val="20"/>
                <w:szCs w:val="20"/>
              </w:rPr>
              <w:br/>
            </w:r>
          </w:p>
          <w:p w14:paraId="71689D0D" w14:textId="320A263D" w:rsidR="00EC69B5" w:rsidRPr="004F1D15" w:rsidRDefault="00406EE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Trung</w:t>
            </w:r>
            <w:r>
              <w:rPr>
                <w:sz w:val="20"/>
                <w:szCs w:val="20"/>
                <w:lang w:val="vi-VN"/>
              </w:rPr>
              <w:t xml:space="preserve"> hạn</w:t>
            </w:r>
            <w:r w:rsidR="00EC69B5" w:rsidRPr="004F1D15">
              <w:rPr>
                <w:sz w:val="20"/>
                <w:szCs w:val="20"/>
              </w:rPr>
              <w:t>:</w:t>
            </w:r>
          </w:p>
          <w:p w14:paraId="0B9069F9" w14:textId="77777777" w:rsidR="00406EE7" w:rsidRPr="00406EE7" w:rsidRDefault="00406EE7" w:rsidP="00406EE7">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406EE7">
              <w:rPr>
                <w:rFonts w:ascii="Arial" w:eastAsia="DengXian" w:hAnsi="Arial"/>
                <w:sz w:val="20"/>
                <w:szCs w:val="20"/>
                <w:lang w:val="en-GB"/>
              </w:rPr>
              <w:t>Thí điểm các giải pháp kỹ thuật cho hệ thống UBIN phân tán, an toàn mạng và có khả năng tương tác, cùng với cơ chế định danh số khu vực tại một số trường hợp sử dụng được chọn.</w:t>
            </w:r>
          </w:p>
          <w:p w14:paraId="3E3E2077" w14:textId="19AC595C" w:rsidR="00406EE7" w:rsidRPr="00406EE7" w:rsidRDefault="00406EE7" w:rsidP="00406EE7">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406EE7">
              <w:rPr>
                <w:rFonts w:ascii="Arial" w:eastAsia="DengXian" w:hAnsi="Arial"/>
                <w:sz w:val="20"/>
                <w:szCs w:val="20"/>
                <w:lang w:val="en-GB"/>
              </w:rPr>
              <w:t>Triển khai nâng cấp hạ tầng băng thông rộng và internet di động tại các khu vực ưu tiên.</w:t>
            </w:r>
          </w:p>
          <w:p w14:paraId="78982CA4" w14:textId="7410BF9C" w:rsidR="00EC69B5" w:rsidRPr="00406EE7" w:rsidRDefault="00406EE7" w:rsidP="00406EE7">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406EE7">
              <w:rPr>
                <w:rFonts w:ascii="Arial" w:eastAsia="DengXian" w:hAnsi="Arial"/>
                <w:sz w:val="20"/>
                <w:szCs w:val="20"/>
                <w:lang w:val="en-GB"/>
              </w:rPr>
              <w:t>Theo dõi tác động của việc cải thiện kết nối đối với mức độ ứng dụng và sử dụng định danh số.</w:t>
            </w:r>
            <w:r w:rsidR="00AB008E" w:rsidRPr="00406EE7">
              <w:rPr>
                <w:rFonts w:eastAsia="DengXian"/>
                <w:sz w:val="20"/>
                <w:szCs w:val="20"/>
              </w:rPr>
              <w:br/>
            </w:r>
          </w:p>
          <w:p w14:paraId="00F595A1" w14:textId="1F3B3483" w:rsidR="00EC69B5" w:rsidRPr="004F1D15" w:rsidRDefault="00406EE7">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Dài</w:t>
            </w:r>
            <w:r>
              <w:rPr>
                <w:sz w:val="20"/>
                <w:szCs w:val="20"/>
                <w:lang w:val="vi-VN"/>
              </w:rPr>
              <w:t xml:space="preserve"> hạn</w:t>
            </w:r>
            <w:r w:rsidR="00EC69B5" w:rsidRPr="004F1D15">
              <w:rPr>
                <w:sz w:val="20"/>
                <w:szCs w:val="20"/>
              </w:rPr>
              <w:t>:</w:t>
            </w:r>
          </w:p>
          <w:p w14:paraId="4ACC553C" w14:textId="77777777" w:rsidR="00406EE7" w:rsidRPr="00406EE7" w:rsidRDefault="00406EE7" w:rsidP="00406EE7">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406EE7">
              <w:rPr>
                <w:rFonts w:ascii="Arial" w:eastAsia="DengXian" w:hAnsi="Arial"/>
                <w:sz w:val="20"/>
                <w:szCs w:val="20"/>
                <w:lang w:val="en-GB"/>
              </w:rPr>
              <w:t>Đạt được đầy đủ khả năng vận hành và khả năng tương tác của hệ thống UBIN và cơ chế định danh số khu vực.</w:t>
            </w:r>
          </w:p>
          <w:p w14:paraId="1BEEAD8D" w14:textId="768CD2B3" w:rsidR="00406EE7" w:rsidRPr="00406EE7" w:rsidRDefault="00406EE7" w:rsidP="00406EE7">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406EE7">
              <w:rPr>
                <w:rFonts w:ascii="Arial" w:eastAsia="DengXian" w:hAnsi="Arial"/>
                <w:sz w:val="20"/>
                <w:szCs w:val="20"/>
                <w:lang w:val="en-GB"/>
              </w:rPr>
              <w:t>Bảo đảm đầu tư bền vững nhằm duy trì và nâng cấp hạ tầng kết nối số.</w:t>
            </w:r>
          </w:p>
          <w:p w14:paraId="4B1F0C61" w14:textId="5B9C1671" w:rsidR="00EC69B5" w:rsidRPr="00406EE7" w:rsidRDefault="00406EE7" w:rsidP="00406EE7">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406EE7">
              <w:rPr>
                <w:rFonts w:ascii="Arial" w:eastAsia="DengXian" w:hAnsi="Arial"/>
                <w:sz w:val="20"/>
                <w:szCs w:val="20"/>
                <w:lang w:val="en-GB"/>
              </w:rPr>
              <w:t>Lên kế hoạch cho các nâng cấp và mở rộng trong tương lai đối với hạ tầng định danh số và xác thực số nhằm đáp ứng tiến bộ công nghệ.</w:t>
            </w:r>
          </w:p>
        </w:tc>
        <w:tc>
          <w:tcPr>
            <w:tcW w:w="2318" w:type="dxa"/>
            <w:gridSpan w:val="2"/>
            <w:tcBorders>
              <w:left w:val="single" w:sz="4" w:space="0" w:color="156082"/>
              <w:right w:val="single" w:sz="4" w:space="0" w:color="156082"/>
            </w:tcBorders>
          </w:tcPr>
          <w:p w14:paraId="5CADE42D" w14:textId="4E1BEAAA" w:rsidR="00EC69B5" w:rsidRPr="004F1D15" w:rsidRDefault="004B515B">
            <w:pPr>
              <w:cnfStyle w:val="000000100000" w:firstRow="0" w:lastRow="0" w:firstColumn="0" w:lastColumn="0" w:oddVBand="0" w:evenVBand="0" w:oddHBand="1" w:evenHBand="0" w:firstRowFirstColumn="0" w:firstRowLastColumn="0" w:lastRowFirstColumn="0" w:lastRowLastColumn="0"/>
              <w:rPr>
                <w:sz w:val="20"/>
                <w:szCs w:val="20"/>
              </w:rPr>
            </w:pPr>
            <w:r w:rsidRPr="004B515B">
              <w:rPr>
                <w:sz w:val="20"/>
                <w:szCs w:val="20"/>
                <w:lang w:val="vi-VN"/>
              </w:rPr>
              <w:lastRenderedPageBreak/>
              <w:t>Cơ quan điều phối chính</w:t>
            </w:r>
            <w:r w:rsidR="44A2C2F2" w:rsidRPr="004F1D15">
              <w:rPr>
                <w:sz w:val="20"/>
                <w:szCs w:val="20"/>
              </w:rPr>
              <w:t>:</w:t>
            </w:r>
          </w:p>
          <w:p w14:paraId="23877A17" w14:textId="17AF45EE" w:rsidR="00EB60DD" w:rsidRDefault="004B515B" w:rsidP="00EB60D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4B515B">
              <w:rPr>
                <w:rFonts w:ascii="Arial" w:eastAsia="DengXian" w:hAnsi="Arial"/>
                <w:sz w:val="20"/>
                <w:szCs w:val="20"/>
                <w:lang w:val="en-GB"/>
              </w:rPr>
              <w:t xml:space="preserve">Ủy ban Điều phối ASEAN về Doanh nghiệp Siêu nhỏ, Nhỏ và Vừa </w:t>
            </w:r>
            <w:r w:rsidR="00EB60DD" w:rsidRPr="004F1D15">
              <w:rPr>
                <w:rFonts w:ascii="Arial" w:eastAsia="DengXian" w:hAnsi="Arial"/>
                <w:sz w:val="20"/>
                <w:szCs w:val="20"/>
                <w:lang w:val="en-GB"/>
              </w:rPr>
              <w:t>(ACCMSME)​</w:t>
            </w:r>
          </w:p>
          <w:p w14:paraId="1F638CBD" w14:textId="77777777" w:rsidR="00EB60DD" w:rsidRDefault="00EB60DD" w:rsidP="00EB60DD">
            <w:pPr>
              <w:pStyle w:val="ListParagraph"/>
              <w:numPr>
                <w:ilvl w:val="0"/>
                <w:numId w:val="0"/>
              </w:numPr>
              <w:spacing w:after="0"/>
              <w:ind w:left="36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p>
          <w:p w14:paraId="491AF3F8" w14:textId="63481EAA" w:rsidR="00EB60DD" w:rsidRPr="00A148D4" w:rsidRDefault="004B515B" w:rsidP="00EB60DD">
            <w:pPr>
              <w:cnfStyle w:val="000000100000" w:firstRow="0" w:lastRow="0" w:firstColumn="0" w:lastColumn="0" w:oddVBand="0" w:evenVBand="0" w:oddHBand="1" w:evenHBand="0" w:firstRowFirstColumn="0" w:firstRowLastColumn="0" w:lastRowFirstColumn="0" w:lastRowLastColumn="0"/>
              <w:rPr>
                <w:sz w:val="20"/>
                <w:szCs w:val="20"/>
              </w:rPr>
            </w:pPr>
            <w:r w:rsidRPr="004B515B">
              <w:rPr>
                <w:sz w:val="20"/>
                <w:szCs w:val="20"/>
              </w:rPr>
              <w:t>Cơ quan hỗ trợ</w:t>
            </w:r>
            <w:r w:rsidR="00EB60DD">
              <w:rPr>
                <w:sz w:val="20"/>
                <w:szCs w:val="20"/>
              </w:rPr>
              <w:t xml:space="preserve">: </w:t>
            </w:r>
          </w:p>
          <w:p w14:paraId="01776356" w14:textId="5EB9C0D3" w:rsidR="00EB60DD" w:rsidRPr="00184CE8" w:rsidRDefault="004B515B" w:rsidP="00EB60D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4B515B">
              <w:rPr>
                <w:rFonts w:ascii="Arial" w:eastAsia="DengXian" w:hAnsi="Arial"/>
                <w:sz w:val="20"/>
                <w:szCs w:val="20"/>
                <w:lang w:val="en-GB"/>
              </w:rPr>
              <w:t xml:space="preserve">Ủy ban Phụ nữ ASEAN </w:t>
            </w:r>
            <w:r w:rsidR="00EB60DD">
              <w:rPr>
                <w:rFonts w:ascii="Arial" w:eastAsia="DengXian" w:hAnsi="Arial"/>
                <w:sz w:val="20"/>
                <w:szCs w:val="20"/>
                <w:lang w:val="en-GB"/>
              </w:rPr>
              <w:t>(ACW)</w:t>
            </w:r>
          </w:p>
          <w:p w14:paraId="4F0F9659" w14:textId="6AD19863" w:rsidR="00EC69B5" w:rsidRPr="004F1D15" w:rsidRDefault="00EC69B5" w:rsidP="00730133">
            <w:pPr>
              <w:pStyle w:val="ListParagraph"/>
              <w:numPr>
                <w:ilvl w:val="0"/>
                <w:numId w:val="0"/>
              </w:numPr>
              <w:spacing w:after="0"/>
              <w:ind w:left="36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p>
        </w:tc>
        <w:tc>
          <w:tcPr>
            <w:tcW w:w="3774" w:type="dxa"/>
            <w:gridSpan w:val="2"/>
            <w:tcBorders>
              <w:left w:val="single" w:sz="4" w:space="0" w:color="156082"/>
            </w:tcBorders>
          </w:tcPr>
          <w:p w14:paraId="13B853EC" w14:textId="75806BB5" w:rsidR="00EC69B5" w:rsidRPr="004B515B" w:rsidRDefault="004B515B">
            <w:pPr>
              <w:cnfStyle w:val="000000100000" w:firstRow="0" w:lastRow="0" w:firstColumn="0" w:lastColumn="0" w:oddVBand="0" w:evenVBand="0" w:oddHBand="1" w:evenHBand="0" w:firstRowFirstColumn="0" w:firstRowLastColumn="0" w:lastRowFirstColumn="0" w:lastRowLastColumn="0"/>
              <w:rPr>
                <w:sz w:val="20"/>
                <w:szCs w:val="20"/>
                <w:lang w:val="vi-VN"/>
              </w:rPr>
            </w:pPr>
            <w:r w:rsidRPr="004B515B">
              <w:rPr>
                <w:sz w:val="20"/>
                <w:szCs w:val="20"/>
                <w:lang w:val="vi-VN"/>
              </w:rPr>
              <w:lastRenderedPageBreak/>
              <w:t xml:space="preserve">Các thước đo tiến độ </w:t>
            </w:r>
            <w:r>
              <w:rPr>
                <w:sz w:val="20"/>
                <w:szCs w:val="20"/>
                <w:lang w:val="vi-VN"/>
              </w:rPr>
              <w:t>chung:</w:t>
            </w:r>
          </w:p>
          <w:p w14:paraId="79C98571" w14:textId="77777777" w:rsidR="004B515B" w:rsidRPr="004B515B" w:rsidRDefault="004B515B" w:rsidP="004B515B">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4B515B">
              <w:rPr>
                <w:rFonts w:ascii="Arial" w:hAnsi="Arial"/>
                <w:b/>
                <w:bCs/>
                <w:sz w:val="20"/>
                <w:szCs w:val="20"/>
                <w:lang w:val="en-GB"/>
              </w:rPr>
              <w:t>Mức độ hài lòng của người dùng</w:t>
            </w:r>
            <w:r w:rsidRPr="004B515B">
              <w:rPr>
                <w:rFonts w:ascii="Arial" w:hAnsi="Arial"/>
                <w:sz w:val="20"/>
                <w:szCs w:val="20"/>
                <w:lang w:val="en-GB"/>
              </w:rPr>
              <w:t>: Số lượng giao dịch xuyên biên giới thành công và liền mạch, cùng với mức độ hài lòng của người dùng theo thời gian.</w:t>
            </w:r>
          </w:p>
          <w:p w14:paraId="64773D17" w14:textId="66181331" w:rsidR="00EC69B5" w:rsidRPr="004B515B" w:rsidRDefault="004B515B" w:rsidP="004B515B">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4B515B">
              <w:rPr>
                <w:rFonts w:ascii="Arial" w:hAnsi="Arial"/>
                <w:b/>
                <w:bCs/>
                <w:sz w:val="20"/>
                <w:szCs w:val="20"/>
                <w:lang w:val="en-GB"/>
              </w:rPr>
              <w:t>Tăng trưởng giao dịch số:</w:t>
            </w:r>
            <w:r w:rsidRPr="004B515B">
              <w:rPr>
                <w:rFonts w:ascii="Arial" w:hAnsi="Arial"/>
                <w:sz w:val="20"/>
                <w:szCs w:val="20"/>
                <w:lang w:val="en-GB"/>
              </w:rPr>
              <w:t xml:space="preserve"> Số lượng dịch vụ và giao dịch xuyên biên giới được hỗ trợ bởi hệ thống UBIN và cơ chế định danh số khu vực.</w:t>
            </w:r>
          </w:p>
        </w:tc>
      </w:tr>
    </w:tbl>
    <w:p w14:paraId="147C5411" w14:textId="77777777" w:rsidR="00041906" w:rsidRDefault="00041906" w:rsidP="00B11082"/>
    <w:p w14:paraId="540EC429" w14:textId="1E88760F" w:rsidR="005A7FFA" w:rsidRPr="004F1D15" w:rsidRDefault="00BE3478" w:rsidP="005A7FFA">
      <w:pPr>
        <w:pStyle w:val="Heading3"/>
        <w:rPr>
          <w:szCs w:val="24"/>
          <w:lang w:val="en-GB"/>
        </w:rPr>
      </w:pPr>
      <w:r>
        <w:rPr>
          <w:szCs w:val="24"/>
          <w:lang w:val="vi-VN"/>
        </w:rPr>
        <w:lastRenderedPageBreak/>
        <w:t>Tiểu lĩnh vực: An ninh mạng</w:t>
      </w:r>
    </w:p>
    <w:p w14:paraId="5588307C" w14:textId="03953406" w:rsidR="005A7FFA" w:rsidRPr="004F1D15" w:rsidRDefault="00CC6EE0" w:rsidP="00C82E40">
      <w:pPr>
        <w:pStyle w:val="Heading4"/>
        <w:rPr>
          <w:sz w:val="20"/>
          <w:lang w:val="en-GB"/>
        </w:rPr>
      </w:pPr>
      <w:r w:rsidRPr="004F1D15">
        <w:rPr>
          <w:sz w:val="20"/>
          <w:lang w:val="en-GB"/>
        </w:rPr>
        <w:t xml:space="preserve">Category </w:t>
      </w:r>
      <w:r w:rsidR="005A7FFA" w:rsidRPr="004F1D15">
        <w:rPr>
          <w:sz w:val="20"/>
          <w:lang w:val="en-GB"/>
        </w:rPr>
        <w:t>1: Policy Alignment and Coordination</w:t>
      </w:r>
      <w:r w:rsidR="00BE3478">
        <w:rPr>
          <w:sz w:val="20"/>
          <w:lang w:val="vi-VN"/>
        </w:rPr>
        <w:t xml:space="preserve"> Danh mục 1: Điều phối và Điều chỉnh chính sách</w:t>
      </w:r>
    </w:p>
    <w:tbl>
      <w:tblPr>
        <w:tblStyle w:val="ListTable3-Accent11"/>
        <w:tblW w:w="15313" w:type="dxa"/>
        <w:tblLook w:val="04A0" w:firstRow="1" w:lastRow="0" w:firstColumn="1" w:lastColumn="0" w:noHBand="0" w:noVBand="1"/>
      </w:tblPr>
      <w:tblGrid>
        <w:gridCol w:w="1538"/>
        <w:gridCol w:w="3493"/>
        <w:gridCol w:w="712"/>
        <w:gridCol w:w="3632"/>
        <w:gridCol w:w="15"/>
        <w:gridCol w:w="2077"/>
        <w:gridCol w:w="352"/>
        <w:gridCol w:w="3494"/>
      </w:tblGrid>
      <w:tr w:rsidR="00EC69B5" w:rsidRPr="004F1D15" w14:paraId="34909840" w14:textId="77777777" w:rsidTr="00AC0A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38" w:type="dxa"/>
            <w:tcBorders>
              <w:bottom w:val="single" w:sz="4" w:space="0" w:color="156082"/>
            </w:tcBorders>
            <w:shd w:val="clear" w:color="auto" w:fill="002060"/>
          </w:tcPr>
          <w:p w14:paraId="4826EFB3" w14:textId="294C767B" w:rsidR="00EC69B5" w:rsidRPr="00BE3478" w:rsidRDefault="00BE3478" w:rsidP="00BF5F59">
            <w:pPr>
              <w:spacing w:line="276" w:lineRule="auto"/>
              <w:jc w:val="center"/>
              <w:rPr>
                <w:sz w:val="20"/>
                <w:szCs w:val="20"/>
                <w:lang w:val="vi-VN"/>
              </w:rPr>
            </w:pPr>
            <w:r>
              <w:rPr>
                <w:sz w:val="20"/>
                <w:szCs w:val="20"/>
              </w:rPr>
              <w:t>Khu</w:t>
            </w:r>
            <w:r>
              <w:rPr>
                <w:sz w:val="20"/>
                <w:szCs w:val="20"/>
                <w:lang w:val="vi-VN"/>
              </w:rPr>
              <w:t xml:space="preserve"> vực hành động</w:t>
            </w:r>
          </w:p>
        </w:tc>
        <w:tc>
          <w:tcPr>
            <w:tcW w:w="4205" w:type="dxa"/>
            <w:gridSpan w:val="2"/>
            <w:shd w:val="clear" w:color="auto" w:fill="002060"/>
          </w:tcPr>
          <w:p w14:paraId="18C6936D" w14:textId="6BF0E439" w:rsidR="00EC69B5" w:rsidRPr="00BE3478" w:rsidRDefault="00BE3478" w:rsidP="00BF5F5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Lĩnh</w:t>
            </w:r>
            <w:r>
              <w:rPr>
                <w:sz w:val="20"/>
                <w:szCs w:val="20"/>
                <w:lang w:val="vi-VN"/>
              </w:rPr>
              <w:t xml:space="preserve"> vực trọng tâm</w:t>
            </w:r>
          </w:p>
        </w:tc>
        <w:tc>
          <w:tcPr>
            <w:tcW w:w="3647" w:type="dxa"/>
            <w:gridSpan w:val="2"/>
            <w:shd w:val="clear" w:color="auto" w:fill="002060"/>
          </w:tcPr>
          <w:p w14:paraId="15127792" w14:textId="61A7ED69" w:rsidR="00EC69B5" w:rsidRPr="004F1D15" w:rsidRDefault="00BE3478" w:rsidP="00BF5F59">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Các</w:t>
            </w:r>
            <w:r>
              <w:rPr>
                <w:sz w:val="20"/>
                <w:szCs w:val="20"/>
                <w:lang w:val="vi-VN"/>
              </w:rPr>
              <w:t xml:space="preserve"> mốc dự tính và khung thời gian tạm tính</w:t>
            </w:r>
            <w:r w:rsidR="00EC69B5" w:rsidRPr="004F1D15">
              <w:rPr>
                <w:sz w:val="20"/>
                <w:szCs w:val="20"/>
                <w:vertAlign w:val="superscript"/>
              </w:rPr>
              <w:footnoteReference w:id="349"/>
            </w:r>
          </w:p>
        </w:tc>
        <w:tc>
          <w:tcPr>
            <w:tcW w:w="2429" w:type="dxa"/>
            <w:gridSpan w:val="2"/>
            <w:shd w:val="clear" w:color="auto" w:fill="002060"/>
          </w:tcPr>
          <w:p w14:paraId="0081CDA5" w14:textId="72269F93" w:rsidR="00EC69B5" w:rsidRPr="00BE3478" w:rsidRDefault="00BE3478" w:rsidP="00BF5F5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Các</w:t>
            </w:r>
            <w:r>
              <w:rPr>
                <w:sz w:val="20"/>
                <w:szCs w:val="20"/>
                <w:lang w:val="vi-VN"/>
              </w:rPr>
              <w:t xml:space="preserve"> bên chịu trách nhiệm</w:t>
            </w:r>
          </w:p>
        </w:tc>
        <w:tc>
          <w:tcPr>
            <w:tcW w:w="3494" w:type="dxa"/>
            <w:shd w:val="clear" w:color="auto" w:fill="002060"/>
          </w:tcPr>
          <w:p w14:paraId="0EBAEFDD" w14:textId="676F7732" w:rsidR="00EC69B5" w:rsidRPr="00BE3478" w:rsidRDefault="00BE3478" w:rsidP="00BF5F5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Thước</w:t>
            </w:r>
            <w:r>
              <w:rPr>
                <w:sz w:val="20"/>
                <w:szCs w:val="20"/>
                <w:lang w:val="vi-VN"/>
              </w:rPr>
              <w:t xml:space="preserve"> đo tiến độ</w:t>
            </w:r>
          </w:p>
        </w:tc>
      </w:tr>
      <w:tr w:rsidR="00EC69B5" w:rsidRPr="004F1D15" w14:paraId="46E1F7C3" w14:textId="77777777" w:rsidTr="00AC0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dxa"/>
            <w:tcBorders>
              <w:right w:val="single" w:sz="4" w:space="0" w:color="156082"/>
            </w:tcBorders>
            <w:shd w:val="clear" w:color="auto" w:fill="00B0F0"/>
          </w:tcPr>
          <w:p w14:paraId="2A2D9F9D" w14:textId="428D7591" w:rsidR="00EC69B5" w:rsidRPr="00BE3478" w:rsidRDefault="00BE3478" w:rsidP="00BF5F59">
            <w:pPr>
              <w:spacing w:line="276" w:lineRule="auto"/>
              <w:jc w:val="center"/>
              <w:rPr>
                <w:sz w:val="20"/>
                <w:szCs w:val="20"/>
                <w:lang w:val="vi-VN"/>
              </w:rPr>
            </w:pPr>
            <w:r>
              <w:rPr>
                <w:sz w:val="20"/>
                <w:szCs w:val="20"/>
              </w:rPr>
              <w:t>Khu</w:t>
            </w:r>
            <w:r>
              <w:rPr>
                <w:sz w:val="20"/>
                <w:szCs w:val="20"/>
                <w:lang w:val="vi-VN"/>
              </w:rPr>
              <w:t xml:space="preserve"> vực hành động chính</w:t>
            </w:r>
          </w:p>
        </w:tc>
        <w:tc>
          <w:tcPr>
            <w:tcW w:w="13775" w:type="dxa"/>
            <w:gridSpan w:val="7"/>
            <w:tcBorders>
              <w:left w:val="single" w:sz="4" w:space="0" w:color="156082"/>
            </w:tcBorders>
            <w:shd w:val="clear" w:color="auto" w:fill="00B0F0"/>
          </w:tcPr>
          <w:p w14:paraId="33510963" w14:textId="2E82FBD4" w:rsidR="00EC69B5" w:rsidRPr="00D05483" w:rsidRDefault="00435C72" w:rsidP="003428E3">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b/>
                <w:bCs/>
                <w:sz w:val="20"/>
                <w:szCs w:val="20"/>
                <w:lang w:val="vi-VN"/>
              </w:rPr>
            </w:pPr>
            <w:r>
              <w:rPr>
                <w:b/>
                <w:bCs/>
                <w:sz w:val="20"/>
                <w:szCs w:val="20"/>
              </w:rPr>
              <w:t>6.2.8</w:t>
            </w:r>
            <w:r w:rsidR="00C57E02" w:rsidRPr="004F1D15">
              <w:rPr>
                <w:b/>
                <w:bCs/>
                <w:sz w:val="20"/>
                <w:szCs w:val="20"/>
              </w:rPr>
              <w:t>.</w:t>
            </w:r>
            <w:r w:rsidR="00C57E02" w:rsidRPr="004F1D15" w:rsidDel="004446F0">
              <w:rPr>
                <w:b/>
                <w:bCs/>
                <w:sz w:val="20"/>
                <w:szCs w:val="20"/>
              </w:rPr>
              <w:t>1</w:t>
            </w:r>
            <w:r w:rsidR="00444160" w:rsidRPr="004F1D15">
              <w:rPr>
                <w:b/>
                <w:bCs/>
                <w:sz w:val="20"/>
                <w:szCs w:val="20"/>
              </w:rPr>
              <w:t xml:space="preserve"> </w:t>
            </w:r>
            <w:r w:rsidR="00C57E02" w:rsidRPr="004F1D15">
              <w:rPr>
                <w:b/>
                <w:bCs/>
                <w:sz w:val="20"/>
                <w:szCs w:val="20"/>
              </w:rPr>
              <w:t>AMS</w:t>
            </w:r>
            <w:r w:rsidR="00D05483">
              <w:rPr>
                <w:b/>
                <w:bCs/>
                <w:sz w:val="20"/>
                <w:szCs w:val="20"/>
                <w:lang w:val="vi-VN"/>
              </w:rPr>
              <w:t xml:space="preserve"> </w:t>
            </w:r>
            <w:r w:rsidR="00D05483" w:rsidRPr="00D05483">
              <w:rPr>
                <w:b/>
                <w:bCs/>
                <w:sz w:val="20"/>
                <w:szCs w:val="20"/>
                <w:lang w:val="vi-VN"/>
              </w:rPr>
              <w:t>Phát triển Cách tiếp cận Khu vực về An ninh mạng và Thúc đẩy Áp dụng các Tiêu chuẩn An ninh mạng Quốc tế trên toàn các quốc gia thành viên ASEAN (AMS)</w:t>
            </w:r>
          </w:p>
        </w:tc>
      </w:tr>
      <w:tr w:rsidR="00EC69B5" w:rsidRPr="004F1D15" w14:paraId="07BA1316" w14:textId="77777777" w:rsidTr="00AC0AE1">
        <w:tc>
          <w:tcPr>
            <w:cnfStyle w:val="001000000000" w:firstRow="0" w:lastRow="0" w:firstColumn="1" w:lastColumn="0" w:oddVBand="0" w:evenVBand="0" w:oddHBand="0" w:evenHBand="0" w:firstRowFirstColumn="0" w:firstRowLastColumn="0" w:lastRowFirstColumn="0" w:lastRowLastColumn="0"/>
            <w:tcW w:w="1538" w:type="dxa"/>
            <w:tcBorders>
              <w:top w:val="single" w:sz="4" w:space="0" w:color="156082"/>
              <w:bottom w:val="single" w:sz="4" w:space="0" w:color="156082"/>
              <w:right w:val="single" w:sz="4" w:space="0" w:color="156082"/>
            </w:tcBorders>
            <w:shd w:val="clear" w:color="auto" w:fill="BDD6EE" w:themeFill="accent5" w:themeFillTint="66"/>
          </w:tcPr>
          <w:p w14:paraId="65EADF66" w14:textId="5B3C0375" w:rsidR="00EC69B5" w:rsidRPr="00D05483" w:rsidRDefault="00D05483" w:rsidP="00BF5F59">
            <w:pPr>
              <w:spacing w:line="276" w:lineRule="auto"/>
              <w:jc w:val="center"/>
              <w:rPr>
                <w:sz w:val="20"/>
                <w:szCs w:val="20"/>
                <w:lang w:val="vi-VN"/>
              </w:rPr>
            </w:pPr>
            <w:r>
              <w:rPr>
                <w:sz w:val="20"/>
                <w:szCs w:val="20"/>
              </w:rPr>
              <w:t>Mục</w:t>
            </w:r>
            <w:r>
              <w:rPr>
                <w:sz w:val="20"/>
                <w:szCs w:val="20"/>
                <w:lang w:val="vi-VN"/>
              </w:rPr>
              <w:t xml:space="preserve"> tiêu</w:t>
            </w:r>
          </w:p>
        </w:tc>
        <w:tc>
          <w:tcPr>
            <w:tcW w:w="13775" w:type="dxa"/>
            <w:gridSpan w:val="7"/>
            <w:tcBorders>
              <w:left w:val="single" w:sz="4" w:space="0" w:color="156082"/>
            </w:tcBorders>
            <w:shd w:val="clear" w:color="auto" w:fill="BDD6EE" w:themeFill="accent5" w:themeFillTint="66"/>
          </w:tcPr>
          <w:p w14:paraId="45A75ACF" w14:textId="0C094C4A" w:rsidR="00C57E02" w:rsidRPr="00516087" w:rsidRDefault="00D05483"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DengXian" w:hAnsi="Arial"/>
                <w:b/>
                <w:sz w:val="20"/>
                <w:szCs w:val="20"/>
                <w:lang w:val="en-GB"/>
              </w:rPr>
            </w:pPr>
            <w:r w:rsidRPr="00D05483">
              <w:rPr>
                <w:rFonts w:ascii="Arial" w:eastAsia="DengXian" w:hAnsi="Arial"/>
                <w:b/>
                <w:bCs/>
                <w:sz w:val="20"/>
                <w:szCs w:val="20"/>
                <w:lang w:val="vi-VN"/>
              </w:rPr>
              <w:t>Hài hòa quy định:</w:t>
            </w:r>
            <w:r w:rsidRPr="00D05483">
              <w:rPr>
                <w:rFonts w:ascii="Arial" w:eastAsia="DengXian" w:hAnsi="Arial"/>
                <w:sz w:val="20"/>
                <w:szCs w:val="20"/>
                <w:lang w:val="vi-VN"/>
              </w:rPr>
              <w:t xml:space="preserve"> Xây dựng một chiến lược an ninh mạng toàn ASEAN nhằm hài hòa hóa các chính sách an ninh mạng quốc gia và hỗ trợ việc áp dụng các tiêu chuẩn ISO/IEC 27001 và 27002.</w:t>
            </w:r>
          </w:p>
          <w:p w14:paraId="6FE6E3B2" w14:textId="42068ACE" w:rsidR="00EC69B5" w:rsidRPr="004F1D15" w:rsidRDefault="00D05483"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hAnsi="Arial"/>
                <w:sz w:val="20"/>
                <w:szCs w:val="20"/>
                <w:lang w:val="en-GB"/>
              </w:rPr>
            </w:pPr>
            <w:r w:rsidRPr="00D05483">
              <w:rPr>
                <w:rFonts w:ascii="Arial" w:eastAsia="DengXian" w:hAnsi="Arial"/>
                <w:b/>
                <w:bCs/>
                <w:sz w:val="20"/>
                <w:szCs w:val="20"/>
                <w:lang w:val="vi-VN"/>
              </w:rPr>
              <w:t xml:space="preserve">Tăng cường niềm tin số cho người tiêu dùng và doanh nghiệp: </w:t>
            </w:r>
            <w:r w:rsidRPr="00D05483">
              <w:rPr>
                <w:rFonts w:ascii="Arial" w:eastAsia="DengXian" w:hAnsi="Arial"/>
                <w:sz w:val="20"/>
                <w:szCs w:val="20"/>
                <w:lang w:val="vi-VN"/>
              </w:rPr>
              <w:t>Thúc đẩy triển khai rộng rãi và tích hợp các tiêu chuẩn an ninh mạng quốc tế để nâng cao mức độ an toàn và niềm tin đối với dịch vụ số, giao dịch trực tuyến và các hoạt động trực tuyến.</w:t>
            </w:r>
          </w:p>
        </w:tc>
      </w:tr>
      <w:tr w:rsidR="00EC69B5" w:rsidRPr="004F1D15" w14:paraId="4C059D37" w14:textId="77777777" w:rsidTr="67F0B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8" w:type="dxa"/>
            <w:tcBorders>
              <w:right w:val="single" w:sz="4" w:space="0" w:color="156082"/>
            </w:tcBorders>
          </w:tcPr>
          <w:p w14:paraId="24B3B5B4" w14:textId="6DCEFC17" w:rsidR="00435C72" w:rsidRDefault="00435C72" w:rsidP="00BF5F59">
            <w:pPr>
              <w:spacing w:line="276" w:lineRule="auto"/>
              <w:jc w:val="center"/>
              <w:rPr>
                <w:b w:val="0"/>
                <w:bCs w:val="0"/>
                <w:sz w:val="20"/>
                <w:szCs w:val="20"/>
              </w:rPr>
            </w:pPr>
            <w:r w:rsidRPr="00435C72">
              <w:rPr>
                <w:sz w:val="20"/>
                <w:szCs w:val="20"/>
              </w:rPr>
              <w:t>6.2.8.1</w:t>
            </w:r>
          </w:p>
          <w:p w14:paraId="087AEA5E" w14:textId="2DD54F5D" w:rsidR="00EC69B5" w:rsidRPr="004F1D15" w:rsidRDefault="00D05483" w:rsidP="00BF5F59">
            <w:pPr>
              <w:spacing w:line="276" w:lineRule="auto"/>
              <w:jc w:val="center"/>
              <w:rPr>
                <w:sz w:val="20"/>
                <w:szCs w:val="20"/>
              </w:rPr>
            </w:pPr>
            <w:r w:rsidRPr="00D05483">
              <w:rPr>
                <w:sz w:val="20"/>
                <w:szCs w:val="20"/>
              </w:rPr>
              <w:t>Phát triển Cách tiếp cận Khu vực về An ninh mạng và Thúc đẩy Áp dụng các Tiêu chuẩn An ninh mạng Quốc tế trên toàn các quốc gia thành viên ASEAN (AMS)</w:t>
            </w:r>
          </w:p>
        </w:tc>
        <w:tc>
          <w:tcPr>
            <w:tcW w:w="3493" w:type="dxa"/>
            <w:tcBorders>
              <w:left w:val="single" w:sz="4" w:space="0" w:color="156082"/>
              <w:right w:val="single" w:sz="4" w:space="0" w:color="156082"/>
            </w:tcBorders>
          </w:tcPr>
          <w:p w14:paraId="314A4AA0" w14:textId="53796464" w:rsidR="00C57E02" w:rsidRPr="00516087" w:rsidRDefault="00D05483" w:rsidP="3A59857E">
            <w:pPr>
              <w:pStyle w:val="ListParagraph"/>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FE772D">
              <w:rPr>
                <w:rFonts w:ascii="Arial" w:eastAsia="DengXian" w:hAnsi="Arial"/>
                <w:b/>
                <w:bCs/>
                <w:sz w:val="20"/>
                <w:szCs w:val="20"/>
                <w:lang w:val="vi-VN"/>
              </w:rPr>
              <w:t>Chiến lược Hợp tác An ninh mạng ASEAN (Giai đoạn 2026–2030):</w:t>
            </w:r>
            <w:r w:rsidRPr="00D05483">
              <w:rPr>
                <w:rFonts w:ascii="Arial" w:eastAsia="DengXian" w:hAnsi="Arial"/>
                <w:sz w:val="20"/>
                <w:szCs w:val="20"/>
                <w:lang w:val="vi-VN"/>
              </w:rPr>
              <w:t xml:space="preserve"> Cập nhật khuôn khổ hợp tác hiện có nhằm thúc đẩy sự hội tụ giữa các chính phủ AMS về chính sách và ưu tiên trong lĩnh vực an ninh mạng để tạo thuận lợi cho việc áp dụng các tiêu chuẩn an ninh mạng quốc tế ISO/IEC 27001, 27002 và 27551:2021.</w:t>
            </w:r>
          </w:p>
          <w:p w14:paraId="23135DCD" w14:textId="77777777" w:rsidR="00EC69B5" w:rsidRPr="004F1D15" w:rsidRDefault="00EC69B5" w:rsidP="003428E3">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4344" w:type="dxa"/>
            <w:gridSpan w:val="2"/>
            <w:tcBorders>
              <w:left w:val="single" w:sz="4" w:space="0" w:color="156082"/>
              <w:right w:val="single" w:sz="4" w:space="0" w:color="156082"/>
            </w:tcBorders>
          </w:tcPr>
          <w:p w14:paraId="31E8D5C0" w14:textId="5ADC86EF" w:rsidR="00EC69B5" w:rsidRPr="004F1D15" w:rsidRDefault="00FE772D" w:rsidP="003428E3">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Ngắn</w:t>
            </w:r>
            <w:r>
              <w:rPr>
                <w:sz w:val="20"/>
                <w:szCs w:val="20"/>
                <w:lang w:val="vi-VN"/>
              </w:rPr>
              <w:t xml:space="preserve"> hạn</w:t>
            </w:r>
            <w:r w:rsidR="00EC69B5" w:rsidRPr="004F1D15">
              <w:rPr>
                <w:sz w:val="20"/>
                <w:szCs w:val="20"/>
              </w:rPr>
              <w:t>:</w:t>
            </w:r>
          </w:p>
          <w:p w14:paraId="7A151998" w14:textId="77777777" w:rsidR="00FE772D" w:rsidRPr="00FE772D" w:rsidRDefault="00FE772D" w:rsidP="00FE772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FE772D">
              <w:rPr>
                <w:rFonts w:ascii="Arial" w:eastAsia="DengXian" w:hAnsi="Arial"/>
                <w:sz w:val="20"/>
                <w:szCs w:val="20"/>
                <w:lang w:val="en-GB"/>
              </w:rPr>
              <w:t>Đánh giá các kết quả và bài học kinh nghiệm từ việc triển khai Chiến lược Hợp tác An ninh mạng ASEAN 2021–2025.</w:t>
            </w:r>
          </w:p>
          <w:p w14:paraId="1683D395" w14:textId="7034558C" w:rsidR="00FE772D" w:rsidRPr="00FE772D" w:rsidRDefault="00FE772D" w:rsidP="00FE772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FE772D">
              <w:rPr>
                <w:rFonts w:ascii="Arial" w:eastAsia="DengXian" w:hAnsi="Arial"/>
                <w:sz w:val="20"/>
                <w:szCs w:val="20"/>
                <w:lang w:val="en-GB"/>
              </w:rPr>
              <w:t>Xác định các lĩnh vực ưu tiên chung trong chính sách an ninh mạng và thiết lập nhận thức chung cho phiên bản Chiến lược 2026–2030.</w:t>
            </w:r>
          </w:p>
          <w:p w14:paraId="5A58BC3E" w14:textId="242E756D" w:rsidR="00FE772D" w:rsidRPr="00FE772D" w:rsidRDefault="00FE772D" w:rsidP="00FE772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FE772D">
              <w:rPr>
                <w:rFonts w:ascii="Arial" w:eastAsia="DengXian" w:hAnsi="Arial"/>
                <w:sz w:val="20"/>
                <w:szCs w:val="20"/>
                <w:lang w:val="en-GB"/>
              </w:rPr>
              <w:t>Soạn thảo và triển khai Chiến lược Hợp tác An ninh mạng ASEAN 2031–2035 dựa trên đánh giá cập nhật về ưu tiên an ninh mạng của AMS.</w:t>
            </w:r>
          </w:p>
          <w:p w14:paraId="193A6A72" w14:textId="47E03DA1" w:rsidR="00FE772D" w:rsidRPr="00FE772D" w:rsidRDefault="00FE772D" w:rsidP="00FE772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FE772D">
              <w:rPr>
                <w:rFonts w:ascii="Arial" w:eastAsia="DengXian" w:hAnsi="Arial"/>
                <w:sz w:val="20"/>
                <w:szCs w:val="20"/>
                <w:lang w:val="en-GB"/>
              </w:rPr>
              <w:t>Phát triển nền tảng trao đổi thường xuyên giữa các chính phủ để hỗ trợ việc triển khai các tiêu chuẩn ISO/IEC 27001, 27002 và 27551:2021, cùng với các tiêu chuẩn quốc gia có vai trò bước đệm, tại các quốc gia ASEAN chưa áp dụng.</w:t>
            </w:r>
          </w:p>
          <w:p w14:paraId="32C22FF4" w14:textId="15216277" w:rsidR="7FE6BCE7" w:rsidRPr="00FE772D" w:rsidRDefault="00FE772D" w:rsidP="00FE772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FE772D">
              <w:rPr>
                <w:rFonts w:ascii="Arial" w:eastAsia="DengXian" w:hAnsi="Arial"/>
                <w:sz w:val="20"/>
                <w:szCs w:val="20"/>
                <w:lang w:val="en-GB"/>
              </w:rPr>
              <w:lastRenderedPageBreak/>
              <w:t>Xác định các tiêu chuẩn an ninh mạng liên quan cho ICT (ví dụ ISO/IEC 15408, 18045) và các công nghệ mới nổi như IoT (EN303645, ISO/IEC 27404), thiết bị y tế kết nối, AI, mật mã lượng tử, phương tiện kết nối, điện thoại thông minh và ứng dụng di động.</w:t>
            </w:r>
            <w:r w:rsidR="00CF08CC" w:rsidRPr="00FE772D">
              <w:rPr>
                <w:rFonts w:asciiTheme="minorBidi" w:eastAsia="DengXian" w:hAnsiTheme="minorBidi" w:cstheme="minorBidi"/>
                <w:sz w:val="20"/>
                <w:szCs w:val="20"/>
              </w:rPr>
              <w:br/>
            </w:r>
          </w:p>
          <w:p w14:paraId="0DB1F515" w14:textId="2408455C" w:rsidR="00C57E02" w:rsidRPr="004F1D15" w:rsidRDefault="00FE772D" w:rsidP="003428E3">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Trung</w:t>
            </w:r>
            <w:r>
              <w:rPr>
                <w:sz w:val="20"/>
                <w:szCs w:val="20"/>
                <w:lang w:val="vi-VN"/>
              </w:rPr>
              <w:t xml:space="preserve"> hạn</w:t>
            </w:r>
            <w:r w:rsidR="00C57E02" w:rsidRPr="004F1D15">
              <w:rPr>
                <w:sz w:val="20"/>
                <w:szCs w:val="20"/>
              </w:rPr>
              <w:t>:</w:t>
            </w:r>
          </w:p>
          <w:p w14:paraId="1711C88A" w14:textId="77777777" w:rsidR="00FE772D" w:rsidRPr="00FE772D" w:rsidRDefault="00FE772D" w:rsidP="00FE772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FE772D">
              <w:rPr>
                <w:rFonts w:ascii="Arial" w:eastAsia="DengXian" w:hAnsi="Arial"/>
                <w:color w:val="auto"/>
                <w:sz w:val="20"/>
                <w:szCs w:val="20"/>
                <w:lang w:val="en-GB"/>
              </w:rPr>
              <w:t>Triển khai Chiến lược Hợp tác An ninh mạng ASEAN 2026–2030 và theo dõi tiến độ thường xuyên so với kế hoạch.</w:t>
            </w:r>
          </w:p>
          <w:p w14:paraId="20471BF8" w14:textId="23799E53" w:rsidR="00FE772D" w:rsidRPr="00FE772D" w:rsidRDefault="00FE772D" w:rsidP="00FE772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FE772D">
              <w:rPr>
                <w:rFonts w:ascii="Arial" w:eastAsia="DengXian" w:hAnsi="Arial"/>
                <w:color w:val="auto"/>
                <w:sz w:val="20"/>
                <w:szCs w:val="20"/>
                <w:lang w:val="en-GB"/>
              </w:rPr>
              <w:t>Tổ chức các phiên chia sẻ kiến thức giữa các chính phủ định kỳ.</w:t>
            </w:r>
          </w:p>
          <w:p w14:paraId="6308B7A8" w14:textId="5C270077" w:rsidR="00FE772D" w:rsidRPr="00FE772D" w:rsidRDefault="00FE772D" w:rsidP="00FE772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FE772D">
              <w:rPr>
                <w:rFonts w:ascii="Arial" w:eastAsia="DengXian" w:hAnsi="Arial"/>
                <w:color w:val="auto"/>
                <w:sz w:val="20"/>
                <w:szCs w:val="20"/>
                <w:lang w:val="en-GB"/>
              </w:rPr>
              <w:t>Cung cấp hỗ trợ và tài nguyên liên tục cho việc hài hòa quy định.</w:t>
            </w:r>
          </w:p>
          <w:p w14:paraId="607A9B92" w14:textId="28669BDE" w:rsidR="00FE772D" w:rsidRPr="00FE772D" w:rsidRDefault="00FE772D" w:rsidP="00FE772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FE772D">
              <w:rPr>
                <w:rFonts w:ascii="Arial" w:eastAsia="DengXian" w:hAnsi="Arial"/>
                <w:color w:val="auto"/>
                <w:sz w:val="20"/>
                <w:szCs w:val="20"/>
                <w:lang w:val="en-GB"/>
              </w:rPr>
              <w:t>Hỗ trợ và cung cấp tài nguyên cho việc áp dụng ISO/IEC 27001 và 27002 cùng các tiêu chuẩn quốc gia là bước đệm; hoàn tất tích hợp đầy đủ các tiêu chuẩn vào quy định quốc gia của các AMS còn lại.</w:t>
            </w:r>
          </w:p>
          <w:p w14:paraId="5AAF0D53" w14:textId="707E6FA6" w:rsidR="00FE772D" w:rsidRPr="00FE772D" w:rsidRDefault="00FE772D" w:rsidP="00FE772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FE772D">
              <w:rPr>
                <w:rFonts w:ascii="Arial" w:eastAsia="DengXian" w:hAnsi="Arial"/>
                <w:color w:val="auto"/>
                <w:sz w:val="20"/>
                <w:szCs w:val="20"/>
                <w:lang w:val="en-GB"/>
              </w:rPr>
              <w:t>Rà soát Chiến lược 2026–2030.</w:t>
            </w:r>
          </w:p>
          <w:p w14:paraId="6D7DD94A" w14:textId="2C787E11" w:rsidR="67F0BFCB" w:rsidRPr="00FE772D" w:rsidRDefault="00FE772D" w:rsidP="00FE772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FE772D">
              <w:rPr>
                <w:rFonts w:ascii="Arial" w:eastAsia="DengXian" w:hAnsi="Arial"/>
                <w:color w:val="auto"/>
                <w:sz w:val="20"/>
                <w:szCs w:val="20"/>
                <w:lang w:val="en-GB"/>
              </w:rPr>
              <w:t>Hài hòa hóa tiêu chuẩn trên toàn ASEAN và thúc đẩy việc áp dụng các tiêu chuẩn an ninh mạng liên quan cho ICT và các công nghệ mới nổi.</w:t>
            </w:r>
            <w:r w:rsidR="00EE1B6E" w:rsidRPr="00FE772D">
              <w:rPr>
                <w:rFonts w:eastAsia="DengXian"/>
                <w:sz w:val="20"/>
                <w:szCs w:val="20"/>
              </w:rPr>
              <w:br/>
            </w:r>
          </w:p>
          <w:p w14:paraId="05B31D59" w14:textId="5BD25C9B" w:rsidR="00C57E02" w:rsidRPr="004F1D15" w:rsidRDefault="00FE772D" w:rsidP="003428E3">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Dài</w:t>
            </w:r>
            <w:r>
              <w:rPr>
                <w:sz w:val="20"/>
                <w:szCs w:val="20"/>
                <w:lang w:val="vi-VN"/>
              </w:rPr>
              <w:t xml:space="preserve"> hạn</w:t>
            </w:r>
            <w:r w:rsidR="00C57E02" w:rsidRPr="004F1D15">
              <w:rPr>
                <w:sz w:val="20"/>
                <w:szCs w:val="20"/>
              </w:rPr>
              <w:t>:</w:t>
            </w:r>
          </w:p>
          <w:p w14:paraId="296FEE8D" w14:textId="77777777" w:rsidR="002E3EC5" w:rsidRPr="002E3EC5" w:rsidRDefault="002E3EC5" w:rsidP="002E3EC5">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2E3EC5">
              <w:rPr>
                <w:rFonts w:ascii="Arial" w:eastAsia="DengXian" w:hAnsi="Arial"/>
                <w:sz w:val="20"/>
                <w:szCs w:val="20"/>
                <w:lang w:val="en-GB"/>
              </w:rPr>
              <w:t>Đạt được sự hội tụ quy định liền mạch giữa các AMS về an ninh mạng.</w:t>
            </w:r>
          </w:p>
          <w:p w14:paraId="461F690B" w14:textId="05A169D5" w:rsidR="002E3EC5" w:rsidRPr="002E3EC5" w:rsidRDefault="002E3EC5" w:rsidP="002E3EC5">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2E3EC5">
              <w:rPr>
                <w:rFonts w:ascii="Arial" w:eastAsia="DengXian" w:hAnsi="Arial"/>
                <w:sz w:val="20"/>
                <w:szCs w:val="20"/>
                <w:lang w:val="en-GB"/>
              </w:rPr>
              <w:t xml:space="preserve">Soạn thảo và triển khai Chiến lược Hợp tác An ninh mạng ASEAN 2031–2035 dựa trên </w:t>
            </w:r>
            <w:r w:rsidRPr="002E3EC5">
              <w:rPr>
                <w:rFonts w:ascii="Arial" w:eastAsia="DengXian" w:hAnsi="Arial"/>
                <w:sz w:val="20"/>
                <w:szCs w:val="20"/>
                <w:lang w:val="en-GB"/>
              </w:rPr>
              <w:lastRenderedPageBreak/>
              <w:t>đánh giá mới về ưu tiên an ninh mạng của AMS.</w:t>
            </w:r>
          </w:p>
          <w:p w14:paraId="60BE43E6" w14:textId="037FCFF6" w:rsidR="00EC69B5" w:rsidRPr="002E3EC5" w:rsidRDefault="002E3EC5" w:rsidP="002E3EC5">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2E3EC5">
              <w:rPr>
                <w:rFonts w:ascii="Arial" w:eastAsia="DengXian" w:hAnsi="Arial"/>
                <w:sz w:val="20"/>
                <w:szCs w:val="20"/>
                <w:lang w:val="en-GB"/>
              </w:rPr>
              <w:t>Thể chế hóa việc cập nhật thường xuyên và nâng cấp các tiêu chuẩn ISO/IEC 27001 và 27002, đồng thời bảo đảm hai tiêu chuẩn này trở thành cơ sở cho các tiêu chuẩn khu vực mới trong tương lai.</w:t>
            </w:r>
          </w:p>
        </w:tc>
        <w:tc>
          <w:tcPr>
            <w:tcW w:w="2092" w:type="dxa"/>
            <w:gridSpan w:val="2"/>
            <w:tcBorders>
              <w:left w:val="single" w:sz="4" w:space="0" w:color="156082"/>
              <w:right w:val="single" w:sz="4" w:space="0" w:color="156082"/>
            </w:tcBorders>
          </w:tcPr>
          <w:p w14:paraId="11243E25" w14:textId="6AF75059" w:rsidR="00EC69B5" w:rsidRPr="002E3EC5" w:rsidRDefault="002E3EC5" w:rsidP="003428E3">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vi-VN"/>
              </w:rPr>
            </w:pPr>
            <w:r w:rsidRPr="002E3EC5">
              <w:rPr>
                <w:sz w:val="20"/>
                <w:szCs w:val="20"/>
                <w:lang w:val="vi-VN"/>
              </w:rPr>
              <w:lastRenderedPageBreak/>
              <w:t>Cơ quan phụ trách chính:</w:t>
            </w:r>
          </w:p>
          <w:p w14:paraId="0B0E2432" w14:textId="41348462" w:rsidR="006F7D59" w:rsidRDefault="00A1551C" w:rsidP="00C82E4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A1551C">
              <w:rPr>
                <w:rFonts w:ascii="Arial" w:eastAsia="DengXian" w:hAnsi="Arial"/>
                <w:sz w:val="20"/>
                <w:szCs w:val="20"/>
                <w:lang w:val="en-GB"/>
              </w:rPr>
              <w:t xml:space="preserve">Hội đồng Hành động An ninh Mạng ASEAN </w:t>
            </w:r>
            <w:r w:rsidR="006F7D59">
              <w:rPr>
                <w:rFonts w:ascii="Arial" w:eastAsia="DengXian" w:hAnsi="Arial"/>
                <w:sz w:val="20"/>
                <w:szCs w:val="20"/>
                <w:lang w:val="en-GB"/>
              </w:rPr>
              <w:t>(ANSAC)</w:t>
            </w:r>
            <w:r w:rsidR="002B3438">
              <w:rPr>
                <w:rFonts w:ascii="Arial" w:eastAsia="DengXian" w:hAnsi="Arial"/>
                <w:sz w:val="20"/>
                <w:szCs w:val="20"/>
                <w:lang w:val="en-GB"/>
              </w:rPr>
              <w:br/>
            </w:r>
            <w:r w:rsidR="006F7D59">
              <w:rPr>
                <w:rFonts w:ascii="Arial" w:eastAsia="DengXian" w:hAnsi="Arial"/>
                <w:sz w:val="20"/>
                <w:szCs w:val="20"/>
                <w:lang w:val="en-GB"/>
              </w:rPr>
              <w:t xml:space="preserve"> </w:t>
            </w:r>
          </w:p>
          <w:p w14:paraId="3AB35AAB" w14:textId="126A79E8" w:rsidR="002B3438" w:rsidRPr="002B3438" w:rsidRDefault="00A1551C" w:rsidP="002B3438">
            <w:pPr>
              <w:cnfStyle w:val="000000100000" w:firstRow="0" w:lastRow="0" w:firstColumn="0" w:lastColumn="0" w:oddVBand="0" w:evenVBand="0" w:oddHBand="1" w:evenHBand="0" w:firstRowFirstColumn="0" w:firstRowLastColumn="0" w:lastRowFirstColumn="0" w:lastRowLastColumn="0"/>
              <w:rPr>
                <w:sz w:val="20"/>
                <w:szCs w:val="20"/>
              </w:rPr>
            </w:pPr>
            <w:r w:rsidRPr="00A1551C">
              <w:rPr>
                <w:sz w:val="20"/>
                <w:szCs w:val="20"/>
              </w:rPr>
              <w:t>Cơ quan hỗ trợ</w:t>
            </w:r>
            <w:r w:rsidR="002B3438">
              <w:rPr>
                <w:sz w:val="20"/>
                <w:szCs w:val="20"/>
              </w:rPr>
              <w:t xml:space="preserve">: </w:t>
            </w:r>
          </w:p>
          <w:p w14:paraId="1B6E019B" w14:textId="7CE61140" w:rsidR="00EC69B5" w:rsidRPr="004F1D15" w:rsidRDefault="00A1551C" w:rsidP="00C82E4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A1551C">
              <w:rPr>
                <w:rFonts w:ascii="Arial" w:eastAsia="DengXian" w:hAnsi="Arial"/>
                <w:sz w:val="20"/>
                <w:szCs w:val="20"/>
                <w:lang w:val="en-GB"/>
              </w:rPr>
              <w:t xml:space="preserve">Nhóm Công tác về Tiêu chuẩn và Thừa nhận Lẫn nhau trong Thương mại Số </w:t>
            </w:r>
            <w:r w:rsidR="00435C72" w:rsidRPr="00435C72">
              <w:rPr>
                <w:rFonts w:ascii="Arial" w:eastAsia="DengXian" w:hAnsi="Arial"/>
                <w:sz w:val="20"/>
                <w:szCs w:val="20"/>
                <w:lang w:val="en-GB"/>
              </w:rPr>
              <w:t>(DTSCWG)</w:t>
            </w:r>
          </w:p>
        </w:tc>
        <w:tc>
          <w:tcPr>
            <w:tcW w:w="3846" w:type="dxa"/>
            <w:gridSpan w:val="2"/>
            <w:tcBorders>
              <w:left w:val="single" w:sz="4" w:space="0" w:color="156082"/>
            </w:tcBorders>
          </w:tcPr>
          <w:p w14:paraId="24EEE73B" w14:textId="2B44D62C" w:rsidR="00EC69B5" w:rsidRPr="00A1551C" w:rsidRDefault="00A1551C" w:rsidP="003428E3">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vi-VN"/>
              </w:rPr>
            </w:pPr>
            <w:r w:rsidRPr="00A1551C">
              <w:rPr>
                <w:sz w:val="20"/>
                <w:szCs w:val="20"/>
                <w:lang w:val="vi-VN"/>
              </w:rPr>
              <w:t>Các thước đo tiến độ chung:</w:t>
            </w:r>
          </w:p>
          <w:p w14:paraId="195BCB70" w14:textId="2A96AF24" w:rsidR="00A1551C" w:rsidRPr="00A1551C" w:rsidRDefault="00A1551C" w:rsidP="00A1551C">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vi-VN"/>
              </w:rPr>
            </w:pPr>
            <w:r w:rsidRPr="001339EB">
              <w:rPr>
                <w:rFonts w:ascii="Arial" w:hAnsi="Arial"/>
                <w:b/>
                <w:bCs/>
                <w:sz w:val="20"/>
                <w:szCs w:val="20"/>
                <w:lang w:val="vi-VN"/>
              </w:rPr>
              <w:t>Hội tụ ưu tiên an ninh mạng:</w:t>
            </w:r>
            <w:r w:rsidRPr="00A1551C">
              <w:rPr>
                <w:rFonts w:ascii="Arial" w:hAnsi="Arial"/>
                <w:sz w:val="20"/>
                <w:szCs w:val="20"/>
                <w:lang w:val="vi-VN"/>
              </w:rPr>
              <w:t xml:space="preserve"> Đánh giá mức độ hội tụ trong ưu tiên chính sách an ninh mạng giữa các chính phủ AMS.</w:t>
            </w:r>
          </w:p>
          <w:p w14:paraId="719853BD" w14:textId="6744BD95" w:rsidR="00A1551C" w:rsidRPr="00A1551C" w:rsidRDefault="00A1551C" w:rsidP="00A1551C">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vi-VN"/>
              </w:rPr>
            </w:pPr>
            <w:r w:rsidRPr="001339EB">
              <w:rPr>
                <w:rFonts w:ascii="Arial" w:hAnsi="Arial"/>
                <w:b/>
                <w:bCs/>
                <w:sz w:val="20"/>
                <w:szCs w:val="20"/>
                <w:lang w:val="vi-VN"/>
              </w:rPr>
              <w:t>Mức độ áp dụng chính sách:</w:t>
            </w:r>
            <w:r w:rsidRPr="00A1551C">
              <w:rPr>
                <w:rFonts w:ascii="Arial" w:hAnsi="Arial"/>
                <w:sz w:val="20"/>
                <w:szCs w:val="20"/>
                <w:lang w:val="vi-VN"/>
              </w:rPr>
              <w:t xml:space="preserve"> Số lượng AMS tích hợp tiêu chuẩn ISO/IEC 27001 và 27002 vào chính sách quốc gia.</w:t>
            </w:r>
          </w:p>
          <w:p w14:paraId="771A6E47" w14:textId="686AFC27" w:rsidR="00EC69B5" w:rsidRPr="001339EB" w:rsidRDefault="00A1551C" w:rsidP="001339EB">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b/>
                <w:sz w:val="20"/>
                <w:szCs w:val="20"/>
                <w:lang w:val="en-GB"/>
              </w:rPr>
            </w:pPr>
            <w:r w:rsidRPr="001339EB">
              <w:rPr>
                <w:rFonts w:ascii="Arial" w:hAnsi="Arial"/>
                <w:b/>
                <w:bCs/>
                <w:sz w:val="20"/>
                <w:szCs w:val="20"/>
                <w:lang w:val="vi-VN"/>
              </w:rPr>
              <w:t>Tiêu chuẩn an ninh mạng khu vực:</w:t>
            </w:r>
            <w:r w:rsidRPr="00A1551C">
              <w:rPr>
                <w:rFonts w:ascii="Arial" w:hAnsi="Arial"/>
                <w:sz w:val="20"/>
                <w:szCs w:val="20"/>
                <w:lang w:val="vi-VN"/>
              </w:rPr>
              <w:t xml:space="preserve"> Đánh giá việc áp dụng các tiêu chuẩn khu vực cho ICT, 5G, IoT, thiết bị y tế, AI, mật mã lượng tử, phương tiện kết nối, di động thông minh và triển khai đô thị thông minh so với mức độ áp dụng ISO/IEC 27001 và 27002</w:t>
            </w:r>
            <w:r w:rsidR="00C57E02" w:rsidRPr="001339EB">
              <w:rPr>
                <w:rFonts w:asciiTheme="minorBidi" w:eastAsia="DengXian" w:hAnsiTheme="minorBidi" w:cstheme="minorBidi"/>
                <w:sz w:val="20"/>
                <w:szCs w:val="20"/>
              </w:rPr>
              <w:t>.</w:t>
            </w:r>
          </w:p>
        </w:tc>
      </w:tr>
    </w:tbl>
    <w:p w14:paraId="31F6AB09" w14:textId="77777777" w:rsidR="00EC69B5" w:rsidRPr="004F1D15" w:rsidRDefault="00EC69B5" w:rsidP="00EC69B5"/>
    <w:p w14:paraId="58CE4184" w14:textId="77777777" w:rsidR="00273100" w:rsidRDefault="00273100">
      <w:pPr>
        <w:spacing w:line="259" w:lineRule="auto"/>
        <w:jc w:val="left"/>
        <w:rPr>
          <w:rFonts w:eastAsia="Arial"/>
          <w:i/>
          <w:color w:val="657C9C" w:themeColor="text2" w:themeTint="BF"/>
          <w:sz w:val="20"/>
          <w:szCs w:val="20"/>
        </w:rPr>
      </w:pPr>
      <w:r>
        <w:rPr>
          <w:sz w:val="20"/>
        </w:rPr>
        <w:br w:type="page"/>
      </w:r>
    </w:p>
    <w:p w14:paraId="43297FAC" w14:textId="034F20C9" w:rsidR="008A53A0" w:rsidRPr="004F1D15" w:rsidRDefault="00BA339F" w:rsidP="00C82E40">
      <w:pPr>
        <w:pStyle w:val="Heading4"/>
        <w:rPr>
          <w:sz w:val="20"/>
          <w:lang w:val="en-GB"/>
        </w:rPr>
      </w:pPr>
      <w:r>
        <w:rPr>
          <w:sz w:val="20"/>
          <w:lang w:val="en-GB"/>
        </w:rPr>
        <w:lastRenderedPageBreak/>
        <w:t>Danh</w:t>
      </w:r>
      <w:r>
        <w:rPr>
          <w:sz w:val="20"/>
          <w:lang w:val="vi-VN"/>
        </w:rPr>
        <w:t xml:space="preserve"> mục</w:t>
      </w:r>
      <w:r w:rsidR="00CC6EE0" w:rsidRPr="004F1D15">
        <w:rPr>
          <w:sz w:val="20"/>
          <w:lang w:val="en-GB"/>
        </w:rPr>
        <w:t xml:space="preserve"> </w:t>
      </w:r>
      <w:r w:rsidR="005A7FFA" w:rsidRPr="004F1D15">
        <w:rPr>
          <w:sz w:val="20"/>
          <w:lang w:val="en-GB"/>
        </w:rPr>
        <w:t xml:space="preserve">2: </w:t>
      </w:r>
      <w:r w:rsidRPr="00BA339F">
        <w:rPr>
          <w:sz w:val="20"/>
          <w:lang w:val="vi-VN"/>
        </w:rPr>
        <w:t>Nâng cao năng lực và Hỗ trợ kỹ thuật</w:t>
      </w:r>
    </w:p>
    <w:tbl>
      <w:tblPr>
        <w:tblStyle w:val="ListTable3-Accent11"/>
        <w:tblW w:w="15314" w:type="dxa"/>
        <w:tblLook w:val="04A0" w:firstRow="1" w:lastRow="0" w:firstColumn="1" w:lastColumn="0" w:noHBand="0" w:noVBand="1"/>
      </w:tblPr>
      <w:tblGrid>
        <w:gridCol w:w="1694"/>
        <w:gridCol w:w="3764"/>
        <w:gridCol w:w="7"/>
        <w:gridCol w:w="3757"/>
        <w:gridCol w:w="15"/>
        <w:gridCol w:w="2303"/>
        <w:gridCol w:w="14"/>
        <w:gridCol w:w="3760"/>
      </w:tblGrid>
      <w:tr w:rsidR="00EC69B5" w:rsidRPr="004F1D15" w14:paraId="6126599D" w14:textId="77777777" w:rsidTr="00AC0A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4" w:type="dxa"/>
            <w:tcBorders>
              <w:bottom w:val="single" w:sz="4" w:space="0" w:color="156082"/>
            </w:tcBorders>
            <w:shd w:val="clear" w:color="auto" w:fill="002060"/>
          </w:tcPr>
          <w:p w14:paraId="35B9076A" w14:textId="3B67FAF4" w:rsidR="00EC69B5" w:rsidRPr="00BA339F" w:rsidRDefault="00BA339F" w:rsidP="00AC0AE1">
            <w:pPr>
              <w:jc w:val="center"/>
              <w:rPr>
                <w:sz w:val="20"/>
                <w:szCs w:val="20"/>
                <w:lang w:val="vi-VN"/>
              </w:rPr>
            </w:pPr>
            <w:r>
              <w:rPr>
                <w:sz w:val="20"/>
                <w:szCs w:val="20"/>
              </w:rPr>
              <w:t>Khu</w:t>
            </w:r>
            <w:r>
              <w:rPr>
                <w:sz w:val="20"/>
                <w:szCs w:val="20"/>
                <w:lang w:val="vi-VN"/>
              </w:rPr>
              <w:t xml:space="preserve"> vực hành động</w:t>
            </w:r>
          </w:p>
        </w:tc>
        <w:tc>
          <w:tcPr>
            <w:tcW w:w="3771" w:type="dxa"/>
            <w:gridSpan w:val="2"/>
            <w:shd w:val="clear" w:color="auto" w:fill="002060"/>
          </w:tcPr>
          <w:p w14:paraId="165E4D7E" w14:textId="27F61983" w:rsidR="00EC69B5" w:rsidRPr="00BA339F" w:rsidRDefault="00BA339F" w:rsidP="00AC0AE1">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Lĩnh</w:t>
            </w:r>
            <w:r>
              <w:rPr>
                <w:sz w:val="20"/>
                <w:szCs w:val="20"/>
                <w:lang w:val="vi-VN"/>
              </w:rPr>
              <w:t xml:space="preserve"> vực trọng tâm</w:t>
            </w:r>
          </w:p>
        </w:tc>
        <w:tc>
          <w:tcPr>
            <w:tcW w:w="3772" w:type="dxa"/>
            <w:gridSpan w:val="2"/>
            <w:shd w:val="clear" w:color="auto" w:fill="002060"/>
          </w:tcPr>
          <w:p w14:paraId="3ACFA866" w14:textId="6DCE44AD" w:rsidR="00EC69B5" w:rsidRPr="004F1D15" w:rsidRDefault="00BA339F" w:rsidP="00AC0AE1">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Các</w:t>
            </w:r>
            <w:r>
              <w:rPr>
                <w:sz w:val="20"/>
                <w:szCs w:val="20"/>
                <w:lang w:val="vi-VN"/>
              </w:rPr>
              <w:t xml:space="preserve"> mốc dự kiến và khung thời gian tạm tính</w:t>
            </w:r>
            <w:r w:rsidR="00EC69B5" w:rsidRPr="004F1D15">
              <w:rPr>
                <w:sz w:val="20"/>
                <w:szCs w:val="20"/>
                <w:vertAlign w:val="superscript"/>
              </w:rPr>
              <w:footnoteReference w:id="350"/>
            </w:r>
          </w:p>
        </w:tc>
        <w:tc>
          <w:tcPr>
            <w:tcW w:w="2317" w:type="dxa"/>
            <w:gridSpan w:val="2"/>
            <w:shd w:val="clear" w:color="auto" w:fill="002060"/>
          </w:tcPr>
          <w:p w14:paraId="4B7C31C9" w14:textId="70ACE23C" w:rsidR="00EC69B5" w:rsidRPr="005C0BC1" w:rsidRDefault="005C0BC1" w:rsidP="00AC0AE1">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Các</w:t>
            </w:r>
            <w:r>
              <w:rPr>
                <w:sz w:val="20"/>
                <w:szCs w:val="20"/>
                <w:lang w:val="vi-VN"/>
              </w:rPr>
              <w:t xml:space="preserve"> bên chịu trách nhiệm</w:t>
            </w:r>
          </w:p>
        </w:tc>
        <w:tc>
          <w:tcPr>
            <w:tcW w:w="3760" w:type="dxa"/>
            <w:shd w:val="clear" w:color="auto" w:fill="002060"/>
          </w:tcPr>
          <w:p w14:paraId="768ED8F6" w14:textId="3979730C" w:rsidR="00EC69B5" w:rsidRPr="005C0BC1" w:rsidRDefault="005C0BC1" w:rsidP="00AC0AE1">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Thước</w:t>
            </w:r>
            <w:r>
              <w:rPr>
                <w:sz w:val="20"/>
                <w:szCs w:val="20"/>
                <w:lang w:val="vi-VN"/>
              </w:rPr>
              <w:t xml:space="preserve"> đo tiến </w:t>
            </w:r>
            <w:r w:rsidR="006E5522">
              <w:rPr>
                <w:sz w:val="20"/>
                <w:szCs w:val="20"/>
                <w:lang w:val="vi-VN"/>
              </w:rPr>
              <w:t>độ</w:t>
            </w:r>
          </w:p>
        </w:tc>
      </w:tr>
      <w:tr w:rsidR="00EC69B5" w:rsidRPr="004F1D15" w14:paraId="2E7C4C4B" w14:textId="77777777" w:rsidTr="00AC0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shd w:val="clear" w:color="auto" w:fill="00B0F0"/>
          </w:tcPr>
          <w:p w14:paraId="1748CCCE" w14:textId="139B2A5E" w:rsidR="00EC69B5" w:rsidRPr="00BA339F" w:rsidRDefault="00BA339F">
            <w:pPr>
              <w:rPr>
                <w:sz w:val="20"/>
                <w:szCs w:val="20"/>
                <w:lang w:val="vi-VN"/>
              </w:rPr>
            </w:pPr>
            <w:r>
              <w:rPr>
                <w:sz w:val="20"/>
                <w:szCs w:val="20"/>
              </w:rPr>
              <w:t>Khu</w:t>
            </w:r>
            <w:r>
              <w:rPr>
                <w:sz w:val="20"/>
                <w:szCs w:val="20"/>
                <w:lang w:val="vi-VN"/>
              </w:rPr>
              <w:t xml:space="preserve"> vực hành động chính</w:t>
            </w:r>
          </w:p>
        </w:tc>
        <w:tc>
          <w:tcPr>
            <w:tcW w:w="13620" w:type="dxa"/>
            <w:gridSpan w:val="7"/>
            <w:tcBorders>
              <w:left w:val="single" w:sz="4" w:space="0" w:color="156082"/>
            </w:tcBorders>
            <w:shd w:val="clear" w:color="auto" w:fill="00B0F0"/>
          </w:tcPr>
          <w:p w14:paraId="5EE5BC79" w14:textId="6CA6FFC3" w:rsidR="00EC69B5" w:rsidRPr="006E5522" w:rsidRDefault="003428E3">
            <w:pPr>
              <w:cnfStyle w:val="000000100000" w:firstRow="0" w:lastRow="0" w:firstColumn="0" w:lastColumn="0" w:oddVBand="0" w:evenVBand="0" w:oddHBand="1" w:evenHBand="0" w:firstRowFirstColumn="0" w:firstRowLastColumn="0" w:lastRowFirstColumn="0" w:lastRowLastColumn="0"/>
              <w:rPr>
                <w:rFonts w:eastAsiaTheme="minorEastAsia"/>
                <w:b/>
                <w:bCs/>
                <w:sz w:val="20"/>
                <w:szCs w:val="20"/>
                <w:lang w:val="vi-VN"/>
              </w:rPr>
            </w:pPr>
            <w:r>
              <w:rPr>
                <w:b/>
                <w:bCs/>
                <w:sz w:val="20"/>
                <w:szCs w:val="20"/>
              </w:rPr>
              <w:t>6.2.8</w:t>
            </w:r>
            <w:r w:rsidR="00C57E02" w:rsidRPr="004F1D15" w:rsidDel="004446F0">
              <w:rPr>
                <w:b/>
                <w:bCs/>
                <w:sz w:val="20"/>
                <w:szCs w:val="20"/>
              </w:rPr>
              <w:t>.1</w:t>
            </w:r>
            <w:r w:rsidR="006E5522">
              <w:rPr>
                <w:b/>
                <w:bCs/>
                <w:sz w:val="20"/>
                <w:szCs w:val="20"/>
                <w:lang w:val="vi-VN"/>
              </w:rPr>
              <w:t xml:space="preserve"> </w:t>
            </w:r>
            <w:r w:rsidR="006E5522" w:rsidRPr="006E5522">
              <w:rPr>
                <w:b/>
                <w:bCs/>
                <w:sz w:val="20"/>
                <w:szCs w:val="20"/>
                <w:lang w:val="vi-VN"/>
              </w:rPr>
              <w:t>Thu hẹp Khoảng cách Kỹ năng An ninh mạng và Tăng cường Năng lực nhằm Áp dụng các Tiêu chuẩn An ninh mạng Quốc tế</w:t>
            </w:r>
          </w:p>
        </w:tc>
      </w:tr>
      <w:tr w:rsidR="00EC69B5" w:rsidRPr="004F1D15" w14:paraId="21E35A55" w14:textId="77777777" w:rsidTr="00AC0AE1">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156082"/>
              <w:bottom w:val="single" w:sz="4" w:space="0" w:color="156082"/>
              <w:right w:val="single" w:sz="4" w:space="0" w:color="156082"/>
            </w:tcBorders>
            <w:shd w:val="clear" w:color="auto" w:fill="BDD6EE" w:themeFill="accent5" w:themeFillTint="66"/>
          </w:tcPr>
          <w:p w14:paraId="7187A705" w14:textId="6559F6AE" w:rsidR="00EC69B5" w:rsidRPr="006E5522" w:rsidRDefault="006E5522">
            <w:pPr>
              <w:rPr>
                <w:sz w:val="20"/>
                <w:szCs w:val="20"/>
                <w:lang w:val="vi-VN"/>
              </w:rPr>
            </w:pPr>
            <w:r>
              <w:rPr>
                <w:sz w:val="20"/>
                <w:szCs w:val="20"/>
                <w:lang w:val="vi-VN"/>
              </w:rPr>
              <w:t>Mục tiêu</w:t>
            </w:r>
          </w:p>
        </w:tc>
        <w:tc>
          <w:tcPr>
            <w:tcW w:w="13620" w:type="dxa"/>
            <w:gridSpan w:val="7"/>
            <w:tcBorders>
              <w:left w:val="single" w:sz="4" w:space="0" w:color="156082"/>
            </w:tcBorders>
            <w:shd w:val="clear" w:color="auto" w:fill="BDD6EE" w:themeFill="accent5" w:themeFillTint="66"/>
          </w:tcPr>
          <w:p w14:paraId="4C3E6E3E" w14:textId="4E8F0F87" w:rsidR="006E5522" w:rsidRPr="006E5522" w:rsidRDefault="006E5522" w:rsidP="006E5522">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DengXian" w:hAnsi="Arial"/>
                <w:sz w:val="20"/>
                <w:szCs w:val="20"/>
                <w:lang w:val="en-GB"/>
              </w:rPr>
            </w:pPr>
            <w:r w:rsidRPr="00553573">
              <w:rPr>
                <w:rFonts w:ascii="Arial" w:eastAsia="DengXian" w:hAnsi="Arial"/>
                <w:b/>
                <w:bCs/>
                <w:sz w:val="20"/>
                <w:szCs w:val="20"/>
                <w:lang w:val="vi-VN"/>
              </w:rPr>
              <w:t>Giải quyết khoảng cách kỹ năng:</w:t>
            </w:r>
            <w:r w:rsidRPr="006E5522">
              <w:rPr>
                <w:rFonts w:ascii="Arial" w:eastAsia="DengXian" w:hAnsi="Arial"/>
                <w:sz w:val="20"/>
                <w:szCs w:val="20"/>
                <w:lang w:val="vi-VN"/>
              </w:rPr>
              <w:t xml:space="preserve"> Thu hẹp khoảng cách kỹ năng về an ninh mạng trong ASEAN nhằm áp dụng các Tiêu chuẩn An ninh mạng Quốc tế ở cấp quốc gia và khu vực, hỗ trợ các tiêu chuẩn thương mại số.</w:t>
            </w:r>
          </w:p>
          <w:p w14:paraId="0247DFD3" w14:textId="79F8EB1E" w:rsidR="00C57E02" w:rsidRPr="00E1058A" w:rsidRDefault="006E5522"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DengXian" w:hAnsi="Arial"/>
                <w:b/>
                <w:sz w:val="20"/>
                <w:szCs w:val="20"/>
                <w:lang w:val="en-GB"/>
              </w:rPr>
            </w:pPr>
            <w:r w:rsidRPr="00553573">
              <w:rPr>
                <w:rFonts w:ascii="Arial" w:eastAsia="DengXian" w:hAnsi="Arial"/>
                <w:b/>
                <w:bCs/>
                <w:sz w:val="20"/>
                <w:szCs w:val="20"/>
                <w:lang w:val="vi-VN"/>
              </w:rPr>
              <w:t>Thúc đẩy việc sử dụng và nâng cao tuân thủ tiêu chuẩn quốc tế:</w:t>
            </w:r>
            <w:r w:rsidRPr="006E5522">
              <w:rPr>
                <w:rFonts w:ascii="Arial" w:eastAsia="DengXian" w:hAnsi="Arial"/>
                <w:sz w:val="20"/>
                <w:szCs w:val="20"/>
                <w:lang w:val="vi-VN"/>
              </w:rPr>
              <w:t xml:space="preserve"> Cung cấp hỗ trợ kỹ thuật nhằm hỗ trợ chính phủ và doanh nghiệp ASEAN triển khai và tích hợp ISO/IEC 27001 và 27002.</w:t>
            </w:r>
          </w:p>
          <w:p w14:paraId="59B8CED3" w14:textId="47205D07" w:rsidR="00EC69B5" w:rsidRPr="00E1058A" w:rsidRDefault="00553573"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hAnsi="Arial"/>
                <w:sz w:val="20"/>
                <w:szCs w:val="20"/>
                <w:lang w:val="en-GB"/>
              </w:rPr>
            </w:pPr>
            <w:r w:rsidRPr="00553573">
              <w:rPr>
                <w:rFonts w:ascii="Arial" w:eastAsia="DengXian" w:hAnsi="Arial"/>
                <w:b/>
                <w:bCs/>
                <w:sz w:val="20"/>
                <w:szCs w:val="20"/>
                <w:lang w:val="vi-VN"/>
              </w:rPr>
              <w:t>Tăng cường năng lực cạnh tranh kinh tế:</w:t>
            </w:r>
            <w:r w:rsidRPr="00553573">
              <w:rPr>
                <w:rFonts w:ascii="Arial" w:eastAsia="DengXian" w:hAnsi="Arial"/>
                <w:sz w:val="20"/>
                <w:szCs w:val="20"/>
                <w:lang w:val="vi-VN"/>
              </w:rPr>
              <w:t xml:space="preserve"> Phát triển kỹ năng an ninh mạng để áp dụng tiêu chuẩn quốc tế, từ đó hỗ trợ tiêu chuẩn thương mại số trong khu vực và tăng cường năng lực cạnh tranh của ASEAN thông qua đổi mới, thu hút đầu tư và thúc đẩy tăng trưởng kinh tế.</w:t>
            </w:r>
          </w:p>
        </w:tc>
      </w:tr>
      <w:tr w:rsidR="00EC69B5" w:rsidRPr="004F1D15" w14:paraId="63D7A4BD" w14:textId="77777777" w:rsidTr="6BB67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tcPr>
          <w:p w14:paraId="2A0D3503" w14:textId="01843CE6" w:rsidR="00EC69B5" w:rsidRPr="00E1058A" w:rsidRDefault="003428E3">
            <w:pPr>
              <w:rPr>
                <w:sz w:val="20"/>
                <w:szCs w:val="20"/>
              </w:rPr>
            </w:pPr>
            <w:r w:rsidRPr="00E1058A">
              <w:rPr>
                <w:sz w:val="20"/>
                <w:szCs w:val="20"/>
              </w:rPr>
              <w:t>6.2.8</w:t>
            </w:r>
            <w:r w:rsidR="00912095" w:rsidRPr="00E1058A" w:rsidDel="004446F0">
              <w:rPr>
                <w:sz w:val="20"/>
                <w:szCs w:val="20"/>
              </w:rPr>
              <w:t xml:space="preserve">.1 </w:t>
            </w:r>
            <w:r w:rsidR="006E5522" w:rsidRPr="006E5522">
              <w:rPr>
                <w:sz w:val="20"/>
                <w:szCs w:val="20"/>
              </w:rPr>
              <w:t>Thu hẹp Khoảng cách Kỹ năng An ninh mạng và Tăng cường Năng lực nhằm Áp dụng các Tiêu chuẩn An ninh mạng Quốc tế</w:t>
            </w:r>
          </w:p>
        </w:tc>
        <w:tc>
          <w:tcPr>
            <w:tcW w:w="3764" w:type="dxa"/>
            <w:tcBorders>
              <w:left w:val="single" w:sz="4" w:space="0" w:color="156082"/>
              <w:right w:val="single" w:sz="4" w:space="0" w:color="156082"/>
            </w:tcBorders>
          </w:tcPr>
          <w:p w14:paraId="35E70234" w14:textId="2B07E02F" w:rsidR="00C57E02" w:rsidRPr="00E1058A" w:rsidRDefault="00311683" w:rsidP="3A59857E">
            <w:pPr>
              <w:pStyle w:val="ListParagraph"/>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311683">
              <w:rPr>
                <w:rFonts w:ascii="Arial" w:eastAsia="DengXian" w:hAnsi="Arial"/>
                <w:b/>
                <w:bCs/>
                <w:sz w:val="20"/>
                <w:szCs w:val="20"/>
                <w:lang w:val="vi-VN"/>
              </w:rPr>
              <w:t>Khung Hợp tác Khu vực và Trung tâm Hỗ trợ An ninh mạng ASEAN:</w:t>
            </w:r>
            <w:r w:rsidRPr="00311683">
              <w:rPr>
                <w:rFonts w:ascii="Arial" w:eastAsia="DengXian" w:hAnsi="Arial"/>
                <w:sz w:val="20"/>
                <w:szCs w:val="20"/>
                <w:lang w:val="vi-VN"/>
              </w:rPr>
              <w:t xml:space="preserve"> Thiết lập một khung hợp tác giữa các quốc gia thành viên ASEAN nhằm phối hợp và triển khai hiệu quả các chương trình phát triển kỹ năng an ninh mạng thông qua việc thành lập một Trung tâm Hỗ trợ An ninh mạng ASEAN (ASEAN Cybersecurity Support Centre). Trung tâm này sẽ phối hợp và bổ trợ với các trung tâm hiện có, bao gồm: ASEAN-Japan Cybersecurity Capacity Building Centre (AJCCBC) </w:t>
            </w:r>
            <w:r w:rsidRPr="00311683">
              <w:rPr>
                <w:rFonts w:ascii="Arial" w:eastAsia="DengXian" w:hAnsi="Arial"/>
                <w:sz w:val="20"/>
                <w:szCs w:val="20"/>
                <w:lang w:val="vi-VN"/>
              </w:rPr>
              <w:lastRenderedPageBreak/>
              <w:t>– Trung tâm Xây dựng Năng lực An ninh mạng ASEAN – Nhật Bản, ASEAN-Singapore Cybersecurity Centre of Excellence (ASCCE) – Trung tâm Xuất sắc An ninh mạng ASEAN – Singapore, để hỗ trợ chính phủ và khu vực tư nhân ASEAN trong việc: 1) tổ chức đào tạo về kỹ thuật, vận hành, chính sách, pháp luật và chiến lược an ninh mạng; 2) thúc đẩy nhận thức chung về lợi ích của các tiêu chuẩn ISO/IEC 27001 và 27002; 3) thúc đẩy chia sẻ thực tiễn tốt, nguồn lực và chuyên môn, bảo đảm phù hợp với nhu cầu và ưu tiên khu vực. Trung tâm cũng sẽ cung cấp hỗ trợ kỹ thuật cho việc áp dụng, triển khai và tích hợp các tiêu chuẩn an ninh mạng, đặc biệt là ISO/IEC 27001 và 27002. Để tối ưu hóa nguồn lực khu vực, Trung tâm có thể đặt tại một trong các trung tâm xây dựng năng lực hiện có như ASCCE.</w:t>
            </w:r>
          </w:p>
          <w:p w14:paraId="313172DF" w14:textId="77777777" w:rsidR="00EC69B5" w:rsidRPr="00E1058A" w:rsidRDefault="00EC69B5">
            <w:pPr>
              <w:cnfStyle w:val="000000100000" w:firstRow="0" w:lastRow="0" w:firstColumn="0" w:lastColumn="0" w:oddVBand="0" w:evenVBand="0" w:oddHBand="1" w:evenHBand="0" w:firstRowFirstColumn="0" w:firstRowLastColumn="0" w:lastRowFirstColumn="0" w:lastRowLastColumn="0"/>
              <w:rPr>
                <w:sz w:val="20"/>
                <w:szCs w:val="20"/>
              </w:rPr>
            </w:pPr>
          </w:p>
        </w:tc>
        <w:tc>
          <w:tcPr>
            <w:tcW w:w="3764" w:type="dxa"/>
            <w:gridSpan w:val="2"/>
            <w:tcBorders>
              <w:left w:val="single" w:sz="4" w:space="0" w:color="156082"/>
              <w:right w:val="single" w:sz="4" w:space="0" w:color="156082"/>
            </w:tcBorders>
          </w:tcPr>
          <w:p w14:paraId="5BE70B15" w14:textId="6000788D" w:rsidR="00EC69B5" w:rsidRPr="00E1058A" w:rsidRDefault="00311683">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Ngắn</w:t>
            </w:r>
            <w:r>
              <w:rPr>
                <w:sz w:val="20"/>
                <w:szCs w:val="20"/>
                <w:lang w:val="vi-VN"/>
              </w:rPr>
              <w:t xml:space="preserve"> hạn</w:t>
            </w:r>
            <w:r w:rsidR="00EC69B5" w:rsidRPr="00E1058A">
              <w:rPr>
                <w:sz w:val="20"/>
                <w:szCs w:val="20"/>
              </w:rPr>
              <w:t>:</w:t>
            </w:r>
          </w:p>
          <w:p w14:paraId="41A7DA23" w14:textId="47F2426B" w:rsidR="00C57E02" w:rsidRPr="00E1058A" w:rsidRDefault="00743428" w:rsidP="00A252A4">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743428">
              <w:rPr>
                <w:rFonts w:ascii="Arial" w:eastAsia="DengXian" w:hAnsi="Arial"/>
                <w:sz w:val="20"/>
                <w:szCs w:val="20"/>
                <w:lang w:val="en-GB"/>
              </w:rPr>
              <w:t>Hình thành thỏa thuận khung hợp tác giữa các quốc gia ASEAN để điều phối chương trình phát triển kỹ năng an ninh mạng hỗ trợ việc áp dụng tiêu chuẩn quốc tế trong lĩnh vực thương mại số. Xác định vai trò, trách nhiệm và cơ cấu quản trị của khung này và Trung tâm Hỗ trợ An ninh mạng ASEAN, bao gồm phối hợp với AJCCBC và ASCCE</w:t>
            </w:r>
            <w:r w:rsidR="00C57E02" w:rsidRPr="00E1058A">
              <w:rPr>
                <w:rFonts w:ascii="Arial" w:eastAsia="DengXian" w:hAnsi="Arial"/>
                <w:sz w:val="20"/>
                <w:szCs w:val="20"/>
                <w:lang w:val="en-GB"/>
              </w:rPr>
              <w:t>.</w:t>
            </w:r>
          </w:p>
          <w:p w14:paraId="4481C679" w14:textId="1C0CE26C" w:rsidR="00C57E02" w:rsidRPr="00E1058A" w:rsidRDefault="00743428" w:rsidP="00A252A4">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743428">
              <w:rPr>
                <w:rFonts w:ascii="Arial" w:eastAsia="DengXian" w:hAnsi="Arial"/>
                <w:sz w:val="20"/>
                <w:szCs w:val="20"/>
                <w:lang w:val="en-GB"/>
              </w:rPr>
              <w:t>Thực hiện đánh giá nhu cầu toàn diện nhằm xác định các năng lực liên quan đến việc áp dụng tiêu chuẩn quốc tế cho thương mại số mà chính phủ AMS và lực lượng lao động ASEAN cần</w:t>
            </w:r>
            <w:r w:rsidR="00C57E02" w:rsidRPr="00E1058A">
              <w:rPr>
                <w:rFonts w:ascii="Arial" w:eastAsia="DengXian" w:hAnsi="Arial"/>
                <w:sz w:val="20"/>
                <w:szCs w:val="20"/>
                <w:lang w:val="en-GB"/>
              </w:rPr>
              <w:t xml:space="preserve">. </w:t>
            </w:r>
          </w:p>
          <w:p w14:paraId="4F8ADE6C" w14:textId="69338BF6" w:rsidR="00C57E02" w:rsidRPr="00E1058A" w:rsidRDefault="00743428" w:rsidP="00C82E4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b/>
                <w:sz w:val="20"/>
                <w:szCs w:val="20"/>
                <w:lang w:val="en-GB"/>
              </w:rPr>
            </w:pPr>
            <w:r w:rsidRPr="00743428">
              <w:rPr>
                <w:rFonts w:ascii="Arial" w:eastAsia="DengXian" w:hAnsi="Arial"/>
                <w:sz w:val="20"/>
                <w:szCs w:val="20"/>
                <w:lang w:val="en-GB"/>
              </w:rPr>
              <w:lastRenderedPageBreak/>
              <w:t>Dựa trên đánh giá nhu cầu, thiết kế các chương trình đào tạo phù hợp phối hợp với các trung tâm xây dựng năng lực an ninh mạng hiện có</w:t>
            </w:r>
            <w:r w:rsidR="00C57E02" w:rsidRPr="00E1058A">
              <w:rPr>
                <w:rFonts w:ascii="Arial" w:eastAsia="DengXian" w:hAnsi="Arial"/>
                <w:sz w:val="20"/>
                <w:szCs w:val="20"/>
                <w:lang w:val="en-GB"/>
              </w:rPr>
              <w:t>.</w:t>
            </w:r>
          </w:p>
          <w:p w14:paraId="1ECCF731" w14:textId="3D19FE19" w:rsidR="00C57E02" w:rsidRPr="00E1058A" w:rsidRDefault="00743428" w:rsidP="00C82E4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b/>
                <w:bCs/>
                <w:sz w:val="20"/>
                <w:szCs w:val="20"/>
                <w:lang w:val="en-GB"/>
              </w:rPr>
            </w:pPr>
            <w:r w:rsidRPr="00743428">
              <w:rPr>
                <w:rFonts w:ascii="Arial" w:eastAsia="DengXian" w:hAnsi="Arial"/>
                <w:sz w:val="20"/>
                <w:szCs w:val="20"/>
                <w:lang w:val="en-GB"/>
              </w:rPr>
              <w:t>Chính thức thành lập Trung tâm Hỗ trợ An ninh mạng ASEAN và triển khai các chương trình thí điểm về phát triển kỹ năng an ninh mạng cho khu vực công và tư</w:t>
            </w:r>
            <w:r w:rsidR="00C57E02" w:rsidRPr="00E1058A">
              <w:rPr>
                <w:rFonts w:ascii="Arial" w:eastAsia="DengXian" w:hAnsi="Arial"/>
                <w:sz w:val="20"/>
                <w:szCs w:val="20"/>
                <w:lang w:val="en-GB"/>
              </w:rPr>
              <w:t>.</w:t>
            </w:r>
            <w:r w:rsidR="00A252A4" w:rsidRPr="00E1058A">
              <w:rPr>
                <w:rFonts w:ascii="Arial" w:eastAsia="DengXian" w:hAnsi="Arial"/>
                <w:sz w:val="20"/>
                <w:szCs w:val="20"/>
                <w:lang w:val="en-GB"/>
              </w:rPr>
              <w:br/>
            </w:r>
          </w:p>
          <w:p w14:paraId="3833CC92" w14:textId="22021493" w:rsidR="00EC69B5" w:rsidRPr="00E1058A" w:rsidRDefault="0074342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Trung</w:t>
            </w:r>
            <w:r>
              <w:rPr>
                <w:sz w:val="20"/>
                <w:szCs w:val="20"/>
                <w:lang w:val="vi-VN"/>
              </w:rPr>
              <w:t xml:space="preserve"> hạn</w:t>
            </w:r>
            <w:r w:rsidR="00EC69B5" w:rsidRPr="00E1058A">
              <w:rPr>
                <w:sz w:val="20"/>
                <w:szCs w:val="20"/>
              </w:rPr>
              <w:t>:</w:t>
            </w:r>
          </w:p>
          <w:p w14:paraId="36400F85" w14:textId="77777777" w:rsidR="00F62EAE" w:rsidRPr="00F62EAE" w:rsidRDefault="00F62EAE" w:rsidP="00F62EAE">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F62EAE">
              <w:rPr>
                <w:rFonts w:ascii="Arial" w:eastAsia="DengXian" w:hAnsi="Arial"/>
                <w:sz w:val="20"/>
                <w:szCs w:val="20"/>
                <w:lang w:val="en-GB"/>
              </w:rPr>
              <w:t>Duy trì các hoạt động nâng cao nhận thức thông qua truyền thông và giáo dục liên tục.</w:t>
            </w:r>
          </w:p>
          <w:p w14:paraId="52A0292C" w14:textId="04755F7E" w:rsidR="00F62EAE" w:rsidRPr="00F62EAE" w:rsidRDefault="00F62EAE" w:rsidP="00F62EAE">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F62EAE">
              <w:rPr>
                <w:rFonts w:ascii="Arial" w:eastAsia="DengXian" w:hAnsi="Arial"/>
                <w:sz w:val="20"/>
                <w:szCs w:val="20"/>
                <w:lang w:val="en-GB"/>
              </w:rPr>
              <w:t>Mở rộng dịch vụ và năng lực của Trung tâm Hỗ trợ An ninh mạng ASEAN thông qua các quan hệ đối tác công – tư, chương trình hỗ trợ cho MSME, hội thảo và hội nghị khu vực.</w:t>
            </w:r>
          </w:p>
          <w:p w14:paraId="65585E3D" w14:textId="30A44225" w:rsidR="00F62EAE" w:rsidRPr="00F62EAE" w:rsidRDefault="00F62EAE" w:rsidP="00F62EAE">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F62EAE">
              <w:rPr>
                <w:rFonts w:ascii="Arial" w:eastAsia="DengXian" w:hAnsi="Arial"/>
                <w:sz w:val="20"/>
                <w:szCs w:val="20"/>
                <w:lang w:val="en-GB"/>
              </w:rPr>
              <w:t>Cung cấp hỗ trợ kỹ thuật cho các chính phủ AMS chưa áp dụng ISO/IEC 27001 và 27002, phối hợp với các trung tâm xây dựng năng lực hiện có.</w:t>
            </w:r>
          </w:p>
          <w:p w14:paraId="18866AA9" w14:textId="5C23451B" w:rsidR="00C57E02" w:rsidRPr="00E1058A" w:rsidRDefault="00F62EAE" w:rsidP="00F62EAE">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F62EAE">
              <w:rPr>
                <w:rFonts w:ascii="Arial" w:eastAsia="DengXian" w:hAnsi="Arial"/>
                <w:sz w:val="20"/>
                <w:szCs w:val="20"/>
                <w:lang w:val="en-GB"/>
              </w:rPr>
              <w:t>Hỗ trợ kỹ thuật cho doanh nghiệp tại tất cả các quốc gia ASEAN trong việc triển khai và tích hợp ISO/IEC 27001 và 27002</w:t>
            </w:r>
            <w:r w:rsidR="00C57E02" w:rsidRPr="00E1058A">
              <w:rPr>
                <w:rFonts w:ascii="Arial" w:eastAsia="DengXian" w:hAnsi="Arial"/>
                <w:sz w:val="20"/>
                <w:szCs w:val="20"/>
                <w:lang w:val="en-GB"/>
              </w:rPr>
              <w:t>.</w:t>
            </w:r>
            <w:r w:rsidR="00A252A4" w:rsidRPr="00E1058A">
              <w:rPr>
                <w:rFonts w:ascii="Arial" w:eastAsia="DengXian" w:hAnsi="Arial"/>
                <w:sz w:val="20"/>
                <w:szCs w:val="20"/>
                <w:lang w:val="en-GB"/>
              </w:rPr>
              <w:br/>
            </w:r>
          </w:p>
          <w:p w14:paraId="77B69CE0" w14:textId="67731819" w:rsidR="00C57E02" w:rsidRPr="00E1058A" w:rsidRDefault="00F62EAE" w:rsidP="00C57E0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Dài</w:t>
            </w:r>
            <w:r>
              <w:rPr>
                <w:sz w:val="20"/>
                <w:szCs w:val="20"/>
                <w:lang w:val="vi-VN"/>
              </w:rPr>
              <w:t xml:space="preserve"> hạn</w:t>
            </w:r>
            <w:r w:rsidR="00C57E02" w:rsidRPr="00E1058A">
              <w:rPr>
                <w:sz w:val="20"/>
                <w:szCs w:val="20"/>
              </w:rPr>
              <w:t>:</w:t>
            </w:r>
          </w:p>
          <w:p w14:paraId="15E149A1" w14:textId="77777777" w:rsidR="00F62EAE" w:rsidRPr="00F62EAE" w:rsidRDefault="00F62EAE" w:rsidP="00F62EAE">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F62EAE">
              <w:rPr>
                <w:rFonts w:ascii="Arial" w:eastAsia="DengXian" w:hAnsi="Arial"/>
                <w:sz w:val="20"/>
                <w:szCs w:val="20"/>
                <w:lang w:val="en-GB"/>
              </w:rPr>
              <w:t xml:space="preserve">Liên tục nâng cấp nội dung và phương thức đào tạo để thích ứng </w:t>
            </w:r>
            <w:r w:rsidRPr="00F62EAE">
              <w:rPr>
                <w:rFonts w:ascii="Arial" w:eastAsia="DengXian" w:hAnsi="Arial"/>
                <w:sz w:val="20"/>
                <w:szCs w:val="20"/>
                <w:lang w:val="en-GB"/>
              </w:rPr>
              <w:lastRenderedPageBreak/>
              <w:t>với xu hướng công nghệ, nhu cầu nhân lực và phản hồi từ Trung tâm.</w:t>
            </w:r>
          </w:p>
          <w:p w14:paraId="7ED263E6" w14:textId="047EE237" w:rsidR="00F62EAE" w:rsidRPr="00F62EAE" w:rsidRDefault="00F62EAE" w:rsidP="00F62EAE">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F62EAE">
              <w:rPr>
                <w:rFonts w:ascii="Arial" w:eastAsia="DengXian" w:hAnsi="Arial"/>
                <w:sz w:val="20"/>
                <w:szCs w:val="20"/>
                <w:lang w:val="en-GB"/>
              </w:rPr>
              <w:t>Mở rộng phạm vi và quy mô của các chương trình phát triển kỹ năng liên quan đến tiêu chuẩn an ninh mạng để tiếp cận nhiều đối tượng hơn trong ASEAN.</w:t>
            </w:r>
          </w:p>
          <w:p w14:paraId="684F7A85" w14:textId="725CBB54" w:rsidR="00F62EAE" w:rsidRPr="00F62EAE" w:rsidRDefault="00F62EAE" w:rsidP="00F62EAE">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F62EAE">
              <w:rPr>
                <w:rFonts w:ascii="Arial" w:eastAsia="DengXian" w:hAnsi="Arial"/>
                <w:sz w:val="20"/>
                <w:szCs w:val="20"/>
                <w:lang w:val="en-GB"/>
              </w:rPr>
              <w:t>Thể chế hóa các hoạt động hỗ trợ kỹ thuật cho doanh nghiệp trong việc triển khai và tích hợp ISO/IEC 27001 và 27002.</w:t>
            </w:r>
          </w:p>
          <w:p w14:paraId="7B83225B" w14:textId="38A1DE17" w:rsidR="00EC69B5" w:rsidRPr="00E1058A" w:rsidRDefault="00F62EAE" w:rsidP="00F62EAE">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F62EAE">
              <w:rPr>
                <w:rFonts w:ascii="Arial" w:eastAsia="DengXian" w:hAnsi="Arial"/>
                <w:sz w:val="20"/>
                <w:szCs w:val="20"/>
                <w:lang w:val="en-GB"/>
              </w:rPr>
              <w:t>Tăng cường hợp tác với các đối tác toàn cầu để tiếp nhận thực tiễn tốt nhất</w:t>
            </w:r>
            <w:r w:rsidR="00C57E02" w:rsidRPr="00E1058A">
              <w:rPr>
                <w:rFonts w:ascii="Arial" w:eastAsia="DengXian" w:hAnsi="Arial"/>
                <w:sz w:val="20"/>
                <w:szCs w:val="20"/>
                <w:lang w:val="en-GB"/>
              </w:rPr>
              <w:t>.</w:t>
            </w:r>
          </w:p>
        </w:tc>
        <w:tc>
          <w:tcPr>
            <w:tcW w:w="2318" w:type="dxa"/>
            <w:gridSpan w:val="2"/>
            <w:tcBorders>
              <w:left w:val="single" w:sz="4" w:space="0" w:color="156082"/>
              <w:right w:val="single" w:sz="4" w:space="0" w:color="156082"/>
            </w:tcBorders>
          </w:tcPr>
          <w:p w14:paraId="6A6287C0" w14:textId="0CF92825" w:rsidR="00EC69B5" w:rsidRPr="00F62EAE" w:rsidRDefault="00F62EAE">
            <w:pPr>
              <w:cnfStyle w:val="000000100000" w:firstRow="0" w:lastRow="0" w:firstColumn="0" w:lastColumn="0" w:oddVBand="0" w:evenVBand="0" w:oddHBand="1" w:evenHBand="0" w:firstRowFirstColumn="0" w:firstRowLastColumn="0" w:lastRowFirstColumn="0" w:lastRowLastColumn="0"/>
              <w:rPr>
                <w:sz w:val="20"/>
                <w:szCs w:val="20"/>
                <w:lang w:val="vi-VN"/>
              </w:rPr>
            </w:pPr>
            <w:r w:rsidRPr="00F62EAE">
              <w:rPr>
                <w:sz w:val="20"/>
                <w:szCs w:val="20"/>
                <w:lang w:val="vi-VN"/>
              </w:rPr>
              <w:lastRenderedPageBreak/>
              <w:t>Cơ quan phụ trách chính:</w:t>
            </w:r>
          </w:p>
          <w:p w14:paraId="2521B1FE" w14:textId="0FF4CBB1" w:rsidR="00AA7579" w:rsidRPr="00E1058A" w:rsidRDefault="00F62EAE" w:rsidP="00AA7579">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F62EAE">
              <w:rPr>
                <w:rFonts w:ascii="Arial" w:eastAsia="DengXian" w:hAnsi="Arial"/>
                <w:sz w:val="20"/>
                <w:szCs w:val="20"/>
                <w:lang w:val="en-GB"/>
              </w:rPr>
              <w:t xml:space="preserve">Hội đồng Hành động An ninh Mạng ASEAN </w:t>
            </w:r>
            <w:r w:rsidR="00AA7579" w:rsidRPr="00E1058A">
              <w:rPr>
                <w:rFonts w:ascii="Arial" w:eastAsia="DengXian" w:hAnsi="Arial"/>
                <w:sz w:val="20"/>
                <w:szCs w:val="20"/>
                <w:lang w:val="en-GB"/>
              </w:rPr>
              <w:t xml:space="preserve">(ANSAC) </w:t>
            </w:r>
            <w:r w:rsidR="002B3438" w:rsidRPr="00E1058A">
              <w:rPr>
                <w:rFonts w:ascii="Arial" w:eastAsia="DengXian" w:hAnsi="Arial"/>
                <w:sz w:val="20"/>
                <w:szCs w:val="20"/>
                <w:lang w:val="en-GB"/>
              </w:rPr>
              <w:br/>
            </w:r>
          </w:p>
          <w:p w14:paraId="1AB22340" w14:textId="5EA188E8" w:rsidR="002B3438" w:rsidRPr="00F62EAE" w:rsidRDefault="00F62EAE" w:rsidP="002B3438">
            <w:pPr>
              <w:cnfStyle w:val="000000100000" w:firstRow="0" w:lastRow="0" w:firstColumn="0" w:lastColumn="0" w:oddVBand="0" w:evenVBand="0" w:oddHBand="1" w:evenHBand="0" w:firstRowFirstColumn="0" w:firstRowLastColumn="0" w:lastRowFirstColumn="0" w:lastRowLastColumn="0"/>
              <w:rPr>
                <w:sz w:val="20"/>
                <w:szCs w:val="20"/>
                <w:lang w:val="vi-VN"/>
              </w:rPr>
            </w:pPr>
            <w:r w:rsidRPr="00F62EAE">
              <w:rPr>
                <w:sz w:val="20"/>
                <w:szCs w:val="20"/>
                <w:lang w:val="vi-VN"/>
              </w:rPr>
              <w:t>Cơ quan hỗ trợ:</w:t>
            </w:r>
          </w:p>
          <w:p w14:paraId="0A8512AE" w14:textId="371C7DDD" w:rsidR="000C7A4F" w:rsidRPr="00E1058A" w:rsidRDefault="00F62EAE" w:rsidP="000C7A4F">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F62EAE">
              <w:rPr>
                <w:rFonts w:ascii="Arial" w:eastAsia="DengXian" w:hAnsi="Arial"/>
                <w:sz w:val="20"/>
                <w:szCs w:val="20"/>
                <w:lang w:val="en-GB"/>
              </w:rPr>
              <w:t xml:space="preserve">Nhóm Công tác về Tiêu chuẩn và Thừa nhận Lẫn nhau trong Thương mại Số </w:t>
            </w:r>
            <w:r w:rsidR="00AA7579" w:rsidRPr="00E1058A">
              <w:rPr>
                <w:rFonts w:ascii="Arial" w:eastAsia="DengXian" w:hAnsi="Arial"/>
                <w:sz w:val="20"/>
                <w:szCs w:val="20"/>
                <w:lang w:val="en-GB"/>
              </w:rPr>
              <w:t>(DTSCWG)</w:t>
            </w:r>
            <w:r w:rsidR="000C7A4F" w:rsidRPr="00E1058A">
              <w:rPr>
                <w:rFonts w:ascii="Arial" w:eastAsia="DengXian" w:hAnsi="Arial" w:hint="eastAsia"/>
                <w:sz w:val="20"/>
                <w:szCs w:val="20"/>
                <w:lang w:val="en-GB"/>
              </w:rPr>
              <w:t xml:space="preserve"> </w:t>
            </w:r>
          </w:p>
          <w:p w14:paraId="4B878162" w14:textId="246FED9F" w:rsidR="00EC69B5" w:rsidRPr="00E1058A" w:rsidRDefault="00EC69B5" w:rsidP="000C7A4F">
            <w:pPr>
              <w:pStyle w:val="ListParagraph"/>
              <w:numPr>
                <w:ilvl w:val="0"/>
                <w:numId w:val="0"/>
              </w:numPr>
              <w:ind w:left="1080"/>
              <w:cnfStyle w:val="000000100000" w:firstRow="0" w:lastRow="0" w:firstColumn="0" w:lastColumn="0" w:oddVBand="0" w:evenVBand="0" w:oddHBand="1" w:evenHBand="0" w:firstRowFirstColumn="0" w:firstRowLastColumn="0" w:lastRowFirstColumn="0" w:lastRowLastColumn="0"/>
              <w:rPr>
                <w:lang w:val="en-GB"/>
              </w:rPr>
            </w:pPr>
          </w:p>
        </w:tc>
        <w:tc>
          <w:tcPr>
            <w:tcW w:w="3774" w:type="dxa"/>
            <w:gridSpan w:val="2"/>
            <w:tcBorders>
              <w:left w:val="single" w:sz="4" w:space="0" w:color="156082"/>
            </w:tcBorders>
          </w:tcPr>
          <w:p w14:paraId="391EBD0C" w14:textId="05C30829" w:rsidR="00EC69B5" w:rsidRPr="006B0CB7" w:rsidRDefault="006B0CB7">
            <w:pPr>
              <w:cnfStyle w:val="000000100000" w:firstRow="0" w:lastRow="0" w:firstColumn="0" w:lastColumn="0" w:oddVBand="0" w:evenVBand="0" w:oddHBand="1" w:evenHBand="0" w:firstRowFirstColumn="0" w:firstRowLastColumn="0" w:lastRowFirstColumn="0" w:lastRowLastColumn="0"/>
              <w:rPr>
                <w:sz w:val="20"/>
                <w:szCs w:val="20"/>
                <w:lang w:val="vi-VN"/>
              </w:rPr>
            </w:pPr>
            <w:r w:rsidRPr="006B0CB7">
              <w:rPr>
                <w:sz w:val="20"/>
                <w:szCs w:val="20"/>
              </w:rPr>
              <w:t>Các thước đo tiến độ chung:</w:t>
            </w:r>
          </w:p>
          <w:p w14:paraId="2B2618A6" w14:textId="3F394C90" w:rsidR="00C57E02" w:rsidRPr="0063187E" w:rsidRDefault="00400D31" w:rsidP="00C82E40">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bCs/>
                <w:sz w:val="20"/>
                <w:szCs w:val="20"/>
                <w:lang w:val="en-GB"/>
              </w:rPr>
            </w:pPr>
            <w:r w:rsidRPr="00400D31">
              <w:rPr>
                <w:rFonts w:ascii="Arial" w:hAnsi="Arial"/>
                <w:b/>
                <w:sz w:val="20"/>
                <w:szCs w:val="20"/>
                <w:lang w:val="en-GB"/>
              </w:rPr>
              <w:t xml:space="preserve">Tiếp thu kỹ năng (Skill Acquisition): </w:t>
            </w:r>
            <w:r w:rsidRPr="0063187E">
              <w:rPr>
                <w:rFonts w:ascii="Arial" w:hAnsi="Arial"/>
                <w:bCs/>
                <w:sz w:val="20"/>
                <w:szCs w:val="20"/>
                <w:lang w:val="en-GB"/>
              </w:rPr>
              <w:t>Đánh giá mức độ tiếp thu các năng lực liên quan đến tiêu chuẩn an ninh mạng của người tham gia. Việc này có thể được đo lường thông qua các đánh giá trước và sau đào tạo nhằm xác định mức cải thiện kỹ năng</w:t>
            </w:r>
            <w:r w:rsidR="00C57E02" w:rsidRPr="0063187E">
              <w:rPr>
                <w:rFonts w:ascii="Arial" w:hAnsi="Arial"/>
                <w:bCs/>
                <w:sz w:val="20"/>
                <w:szCs w:val="20"/>
                <w:lang w:val="en-GB"/>
              </w:rPr>
              <w:t>.</w:t>
            </w:r>
          </w:p>
          <w:p w14:paraId="74E1141C" w14:textId="3DA75734" w:rsidR="00A252A4" w:rsidRPr="0063187E" w:rsidRDefault="0063187E" w:rsidP="00A252A4">
            <w:pPr>
              <w:pStyle w:val="ListParagraph"/>
              <w:numPr>
                <w:ilvl w:val="0"/>
                <w:numId w:val="18"/>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bCs/>
                <w:sz w:val="20"/>
                <w:szCs w:val="20"/>
                <w:lang w:val="en-GB"/>
              </w:rPr>
            </w:pPr>
            <w:r w:rsidRPr="0063187E">
              <w:rPr>
                <w:rFonts w:ascii="Arial" w:eastAsia="DengXian" w:hAnsi="Arial"/>
                <w:b/>
                <w:sz w:val="20"/>
                <w:szCs w:val="20"/>
                <w:lang w:val="en-GB"/>
              </w:rPr>
              <w:t xml:space="preserve">Tỷ lệ tham gia (Participation Rates): </w:t>
            </w:r>
            <w:r w:rsidRPr="0063187E">
              <w:rPr>
                <w:rFonts w:ascii="Arial" w:eastAsia="DengXian" w:hAnsi="Arial"/>
                <w:bCs/>
                <w:sz w:val="20"/>
                <w:szCs w:val="20"/>
                <w:lang w:val="en-GB"/>
              </w:rPr>
              <w:t>Đo lường số lượng cá nhân tham gia các chương trình phát triển kỹ năng an ninh mạng tại các quốc gia thành viên ASEAN. Điều này bao gồm việc theo dõi số lượt ghi danh trong các khóa đào tạo, hội thảo và chương trình cấp chứng chỉ</w:t>
            </w:r>
            <w:r w:rsidR="00A252A4" w:rsidRPr="0063187E">
              <w:rPr>
                <w:rFonts w:ascii="Arial" w:eastAsia="DengXian" w:hAnsi="Arial"/>
                <w:bCs/>
                <w:sz w:val="20"/>
                <w:szCs w:val="20"/>
                <w:lang w:val="en-GB"/>
              </w:rPr>
              <w:t>.</w:t>
            </w:r>
          </w:p>
          <w:p w14:paraId="6F8C5512" w14:textId="67CB3DEF" w:rsidR="00C57E02" w:rsidRPr="0063187E" w:rsidRDefault="0063187E" w:rsidP="00A252A4">
            <w:pPr>
              <w:pStyle w:val="ListParagraph"/>
              <w:numPr>
                <w:ilvl w:val="0"/>
                <w:numId w:val="18"/>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bCs/>
                <w:sz w:val="20"/>
                <w:szCs w:val="20"/>
                <w:lang w:val="en-GB"/>
              </w:rPr>
            </w:pPr>
            <w:r w:rsidRPr="0063187E">
              <w:rPr>
                <w:rFonts w:ascii="Arial" w:eastAsia="DengXian" w:hAnsi="Arial"/>
                <w:b/>
                <w:sz w:val="20"/>
                <w:szCs w:val="20"/>
                <w:lang w:val="en-GB"/>
              </w:rPr>
              <w:lastRenderedPageBreak/>
              <w:t xml:space="preserve">Kết quả việc làm (Employment Outcomes): </w:t>
            </w:r>
            <w:r w:rsidRPr="0063187E">
              <w:rPr>
                <w:rFonts w:ascii="Arial" w:eastAsia="DengXian" w:hAnsi="Arial"/>
                <w:bCs/>
                <w:sz w:val="20"/>
                <w:szCs w:val="20"/>
                <w:lang w:val="en-GB"/>
              </w:rPr>
              <w:t>Theo dõi quá trình chuyển đổi của những người tham gia chương trình vào các cơ hội việc làm liên quan đến an ninh mạng. Theo dõi tỷ lệ việc làm, vị trí công việc và sự thăng tiến nghề nghiệp của những cá nhân đã hoàn thành các chương trình phát triển kỹ năng an ninh mạng</w:t>
            </w:r>
            <w:r w:rsidR="00C57E02" w:rsidRPr="0063187E">
              <w:rPr>
                <w:rFonts w:ascii="Arial" w:eastAsia="DengXian" w:hAnsi="Arial"/>
                <w:bCs/>
                <w:sz w:val="20"/>
                <w:szCs w:val="20"/>
                <w:lang w:val="en-GB"/>
              </w:rPr>
              <w:t>.</w:t>
            </w:r>
          </w:p>
          <w:p w14:paraId="22C83775" w14:textId="573CE097" w:rsidR="00C57E02" w:rsidRPr="0063187E" w:rsidRDefault="0063187E" w:rsidP="00A252A4">
            <w:pPr>
              <w:pStyle w:val="ListParagraph"/>
              <w:numPr>
                <w:ilvl w:val="0"/>
                <w:numId w:val="18"/>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bCs/>
                <w:sz w:val="20"/>
                <w:szCs w:val="20"/>
                <w:lang w:val="en-GB"/>
              </w:rPr>
            </w:pPr>
            <w:r w:rsidRPr="0063187E">
              <w:rPr>
                <w:rFonts w:ascii="Arial" w:eastAsia="DengXian" w:hAnsi="Arial"/>
                <w:b/>
                <w:sz w:val="20"/>
                <w:szCs w:val="20"/>
                <w:lang w:val="en-GB"/>
              </w:rPr>
              <w:t xml:space="preserve">Mức độ tham gia của ngành (Industry Engagement): </w:t>
            </w:r>
            <w:r w:rsidRPr="0063187E">
              <w:rPr>
                <w:rFonts w:ascii="Arial" w:eastAsia="DengXian" w:hAnsi="Arial"/>
                <w:bCs/>
                <w:sz w:val="20"/>
                <w:szCs w:val="20"/>
                <w:lang w:val="en-GB"/>
              </w:rPr>
              <w:t>Đánh giá mức độ tham gia và hợp tác của khu vực doanh nghiệp trong thiết kế và triển khai các chương trình phát triển kỹ năng an ninh mạng. Đo lường số lượng quan hệ đối tác được thiết lập với các công ty, hiệp hội ngành nghề và các tổ chức khác để bảo đảm tính phù hợp và hiệu quả của các sáng kiến đào tạo</w:t>
            </w:r>
            <w:r w:rsidR="00C57E02" w:rsidRPr="0063187E">
              <w:rPr>
                <w:rFonts w:ascii="Arial" w:eastAsia="DengXian" w:hAnsi="Arial"/>
                <w:bCs/>
                <w:sz w:val="20"/>
                <w:szCs w:val="20"/>
                <w:lang w:val="en-GB"/>
              </w:rPr>
              <w:t>.</w:t>
            </w:r>
          </w:p>
          <w:p w14:paraId="22604F87" w14:textId="72AF17A3" w:rsidR="00EC69B5" w:rsidRPr="00E1058A" w:rsidRDefault="0063187E" w:rsidP="00C82E40">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sz w:val="20"/>
                <w:szCs w:val="20"/>
                <w:lang w:val="en-GB"/>
              </w:rPr>
            </w:pPr>
            <w:r w:rsidRPr="0063187E">
              <w:rPr>
                <w:rFonts w:ascii="Arial" w:hAnsi="Arial"/>
                <w:b/>
                <w:sz w:val="20"/>
                <w:szCs w:val="20"/>
                <w:lang w:val="en-GB"/>
              </w:rPr>
              <w:t xml:space="preserve">Tỷ lệ áp dụng (Adoption Rate): </w:t>
            </w:r>
            <w:r w:rsidRPr="0063187E">
              <w:rPr>
                <w:rFonts w:ascii="Arial" w:hAnsi="Arial"/>
                <w:bCs/>
                <w:sz w:val="20"/>
                <w:szCs w:val="20"/>
                <w:lang w:val="en-GB"/>
              </w:rPr>
              <w:t>Đánh giá và theo dõi mức độ áp dụng và tuân thủ các tiêu chuẩn ISO/IEC 27001 và 27002 trong các doanh nghiệp tại ASEAN</w:t>
            </w:r>
            <w:r w:rsidR="00C57E02" w:rsidRPr="00E1058A">
              <w:rPr>
                <w:rFonts w:ascii="Arial" w:hAnsi="Arial"/>
                <w:sz w:val="20"/>
                <w:szCs w:val="20"/>
                <w:lang w:val="en-GB"/>
              </w:rPr>
              <w:t>.</w:t>
            </w:r>
          </w:p>
        </w:tc>
      </w:tr>
    </w:tbl>
    <w:p w14:paraId="20D84FEF" w14:textId="77777777" w:rsidR="00EC69B5" w:rsidRPr="004F1D15" w:rsidRDefault="00EC69B5" w:rsidP="00EC69B5"/>
    <w:p w14:paraId="7ABFA5AB" w14:textId="355D48BE" w:rsidR="005A7FFA" w:rsidRPr="004F1D15" w:rsidRDefault="008A2CB8" w:rsidP="00C82E40">
      <w:pPr>
        <w:pStyle w:val="Heading4"/>
        <w:rPr>
          <w:sz w:val="20"/>
          <w:lang w:val="en-GB"/>
        </w:rPr>
      </w:pPr>
      <w:r>
        <w:rPr>
          <w:sz w:val="20"/>
          <w:lang w:val="en-GB"/>
        </w:rPr>
        <w:t>Danh</w:t>
      </w:r>
      <w:r>
        <w:rPr>
          <w:sz w:val="20"/>
          <w:lang w:val="vi-VN"/>
        </w:rPr>
        <w:t xml:space="preserve"> mục</w:t>
      </w:r>
      <w:r w:rsidR="00CC6EE0" w:rsidRPr="004F1D15">
        <w:rPr>
          <w:sz w:val="20"/>
          <w:lang w:val="en-GB"/>
        </w:rPr>
        <w:t xml:space="preserve"> </w:t>
      </w:r>
      <w:r w:rsidR="005A7FFA" w:rsidRPr="004F1D15">
        <w:rPr>
          <w:sz w:val="20"/>
          <w:lang w:val="en-GB"/>
        </w:rPr>
        <w:t xml:space="preserve">3: </w:t>
      </w:r>
      <w:r>
        <w:rPr>
          <w:sz w:val="20"/>
          <w:lang w:val="en-GB"/>
        </w:rPr>
        <w:t>Phát</w:t>
      </w:r>
      <w:r>
        <w:rPr>
          <w:sz w:val="20"/>
          <w:lang w:val="vi-VN"/>
        </w:rPr>
        <w:t xml:space="preserve"> triển Hạ tầng </w:t>
      </w:r>
      <w:r w:rsidR="00616696">
        <w:rPr>
          <w:sz w:val="20"/>
          <w:lang w:val="vi-VN"/>
        </w:rPr>
        <w:t>Số</w:t>
      </w:r>
    </w:p>
    <w:tbl>
      <w:tblPr>
        <w:tblStyle w:val="ListTable3-Accent11"/>
        <w:tblW w:w="15314" w:type="dxa"/>
        <w:tblLook w:val="04A0" w:firstRow="1" w:lastRow="0" w:firstColumn="1" w:lastColumn="0" w:noHBand="0" w:noVBand="1"/>
      </w:tblPr>
      <w:tblGrid>
        <w:gridCol w:w="1694"/>
        <w:gridCol w:w="3764"/>
        <w:gridCol w:w="7"/>
        <w:gridCol w:w="3757"/>
        <w:gridCol w:w="15"/>
        <w:gridCol w:w="2303"/>
        <w:gridCol w:w="14"/>
        <w:gridCol w:w="3760"/>
      </w:tblGrid>
      <w:tr w:rsidR="00EC69B5" w:rsidRPr="004F1D15" w14:paraId="2ED00D07" w14:textId="77777777" w:rsidTr="00AC0A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4" w:type="dxa"/>
            <w:tcBorders>
              <w:bottom w:val="single" w:sz="4" w:space="0" w:color="156082"/>
            </w:tcBorders>
            <w:shd w:val="clear" w:color="auto" w:fill="002060"/>
          </w:tcPr>
          <w:p w14:paraId="4023BDA3" w14:textId="5F22F60B" w:rsidR="00EC69B5" w:rsidRPr="008A2CB8" w:rsidRDefault="008A2CB8" w:rsidP="00AC0AE1">
            <w:pPr>
              <w:jc w:val="center"/>
              <w:rPr>
                <w:sz w:val="20"/>
                <w:szCs w:val="20"/>
                <w:lang w:val="vi-VN"/>
              </w:rPr>
            </w:pPr>
            <w:r>
              <w:rPr>
                <w:sz w:val="20"/>
                <w:szCs w:val="20"/>
              </w:rPr>
              <w:t>Khu</w:t>
            </w:r>
            <w:r>
              <w:rPr>
                <w:sz w:val="20"/>
                <w:szCs w:val="20"/>
                <w:lang w:val="vi-VN"/>
              </w:rPr>
              <w:t xml:space="preserve"> vực hành động</w:t>
            </w:r>
          </w:p>
        </w:tc>
        <w:tc>
          <w:tcPr>
            <w:tcW w:w="3771" w:type="dxa"/>
            <w:gridSpan w:val="2"/>
            <w:shd w:val="clear" w:color="auto" w:fill="002060"/>
          </w:tcPr>
          <w:p w14:paraId="362EF78C" w14:textId="15D97AEA" w:rsidR="00EC69B5" w:rsidRPr="008A2CB8" w:rsidRDefault="008A2CB8" w:rsidP="00AC0AE1">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Lĩnh</w:t>
            </w:r>
            <w:r>
              <w:rPr>
                <w:sz w:val="20"/>
                <w:szCs w:val="20"/>
                <w:lang w:val="vi-VN"/>
              </w:rPr>
              <w:t xml:space="preserve"> vực trọng tâm</w:t>
            </w:r>
          </w:p>
        </w:tc>
        <w:tc>
          <w:tcPr>
            <w:tcW w:w="3772" w:type="dxa"/>
            <w:gridSpan w:val="2"/>
            <w:shd w:val="clear" w:color="auto" w:fill="002060"/>
          </w:tcPr>
          <w:p w14:paraId="42DB8DD3" w14:textId="55FA08EE" w:rsidR="00EC69B5" w:rsidRPr="004F1D15" w:rsidRDefault="008A2CB8" w:rsidP="00AC0AE1">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Các</w:t>
            </w:r>
            <w:r>
              <w:rPr>
                <w:sz w:val="20"/>
                <w:szCs w:val="20"/>
                <w:lang w:val="vi-VN"/>
              </w:rPr>
              <w:t xml:space="preserve"> mốc dự kiến và khung thời gian tạm tính</w:t>
            </w:r>
            <w:r w:rsidR="00EC69B5" w:rsidRPr="004F1D15">
              <w:rPr>
                <w:sz w:val="20"/>
                <w:szCs w:val="20"/>
                <w:vertAlign w:val="superscript"/>
              </w:rPr>
              <w:footnoteReference w:id="351"/>
            </w:r>
          </w:p>
        </w:tc>
        <w:tc>
          <w:tcPr>
            <w:tcW w:w="2317" w:type="dxa"/>
            <w:gridSpan w:val="2"/>
            <w:shd w:val="clear" w:color="auto" w:fill="002060"/>
          </w:tcPr>
          <w:p w14:paraId="7BDCBAEE" w14:textId="7AFDCBB9" w:rsidR="00EC69B5" w:rsidRPr="008A2CB8" w:rsidRDefault="008A2CB8" w:rsidP="00AC0AE1">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lang w:val="vi-VN"/>
              </w:rPr>
              <w:t>Các bên chịu trách nhiệm chính</w:t>
            </w:r>
          </w:p>
        </w:tc>
        <w:tc>
          <w:tcPr>
            <w:tcW w:w="3760" w:type="dxa"/>
            <w:shd w:val="clear" w:color="auto" w:fill="002060"/>
          </w:tcPr>
          <w:p w14:paraId="5DFC3026" w14:textId="6D7DF217" w:rsidR="00EC69B5" w:rsidRPr="008A2CB8" w:rsidRDefault="008A2CB8" w:rsidP="00AC0AE1">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Thước</w:t>
            </w:r>
            <w:r>
              <w:rPr>
                <w:sz w:val="20"/>
                <w:szCs w:val="20"/>
                <w:lang w:val="vi-VN"/>
              </w:rPr>
              <w:t xml:space="preserve"> đo tiến độ</w:t>
            </w:r>
          </w:p>
        </w:tc>
      </w:tr>
      <w:tr w:rsidR="00EC69B5" w:rsidRPr="004F1D15" w14:paraId="5EFDBCF0" w14:textId="77777777" w:rsidTr="00AC0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shd w:val="clear" w:color="auto" w:fill="00B0F0"/>
          </w:tcPr>
          <w:p w14:paraId="7E909C9B" w14:textId="2B49DDCC" w:rsidR="00EC69B5" w:rsidRPr="008A2CB8" w:rsidRDefault="008A2CB8">
            <w:pPr>
              <w:rPr>
                <w:sz w:val="20"/>
                <w:szCs w:val="20"/>
                <w:lang w:val="vi-VN"/>
              </w:rPr>
            </w:pPr>
            <w:r>
              <w:rPr>
                <w:sz w:val="20"/>
                <w:szCs w:val="20"/>
              </w:rPr>
              <w:t>Khu</w:t>
            </w:r>
            <w:r>
              <w:rPr>
                <w:sz w:val="20"/>
                <w:szCs w:val="20"/>
                <w:lang w:val="vi-VN"/>
              </w:rPr>
              <w:t xml:space="preserve"> vực hành động chính</w:t>
            </w:r>
          </w:p>
        </w:tc>
        <w:tc>
          <w:tcPr>
            <w:tcW w:w="13620" w:type="dxa"/>
            <w:gridSpan w:val="7"/>
            <w:tcBorders>
              <w:left w:val="single" w:sz="4" w:space="0" w:color="156082"/>
            </w:tcBorders>
            <w:shd w:val="clear" w:color="auto" w:fill="00B0F0"/>
          </w:tcPr>
          <w:p w14:paraId="0CD4E910" w14:textId="51FFC922" w:rsidR="00EC69B5" w:rsidRPr="00A633E9" w:rsidRDefault="00626ED1">
            <w:pPr>
              <w:cnfStyle w:val="000000100000" w:firstRow="0" w:lastRow="0" w:firstColumn="0" w:lastColumn="0" w:oddVBand="0" w:evenVBand="0" w:oddHBand="1" w:evenHBand="0" w:firstRowFirstColumn="0" w:firstRowLastColumn="0" w:lastRowFirstColumn="0" w:lastRowLastColumn="0"/>
              <w:rPr>
                <w:rFonts w:eastAsiaTheme="minorEastAsia"/>
                <w:b/>
                <w:bCs/>
                <w:sz w:val="20"/>
                <w:szCs w:val="20"/>
                <w:lang w:val="vi-VN"/>
              </w:rPr>
            </w:pPr>
            <w:r>
              <w:rPr>
                <w:b/>
                <w:bCs/>
                <w:sz w:val="20"/>
                <w:szCs w:val="20"/>
              </w:rPr>
              <w:t>6.2.8.3</w:t>
            </w:r>
            <w:r w:rsidR="00C57E02" w:rsidRPr="004F1D15">
              <w:rPr>
                <w:b/>
                <w:bCs/>
                <w:sz w:val="20"/>
                <w:szCs w:val="20"/>
              </w:rPr>
              <w:t xml:space="preserve"> </w:t>
            </w:r>
            <w:r w:rsidR="00A633E9" w:rsidRPr="00A633E9">
              <w:rPr>
                <w:b/>
                <w:bCs/>
                <w:sz w:val="20"/>
                <w:szCs w:val="20"/>
                <w:lang w:val="vi-VN"/>
              </w:rPr>
              <w:t>Phát triển Hạ tầng An toàn phù hợp với các Ưu tiên Quốc tế và Khu vực</w:t>
            </w:r>
          </w:p>
        </w:tc>
      </w:tr>
      <w:tr w:rsidR="00EC69B5" w:rsidRPr="004F1D15" w14:paraId="2BFD4A9F" w14:textId="77777777" w:rsidTr="00AC0AE1">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156082"/>
              <w:bottom w:val="single" w:sz="4" w:space="0" w:color="156082"/>
              <w:right w:val="single" w:sz="4" w:space="0" w:color="156082"/>
            </w:tcBorders>
            <w:shd w:val="clear" w:color="auto" w:fill="BDD6EE" w:themeFill="accent5" w:themeFillTint="66"/>
          </w:tcPr>
          <w:p w14:paraId="474630E2" w14:textId="28017CBC" w:rsidR="00EC69B5" w:rsidRPr="008A2CB8" w:rsidRDefault="008A2CB8">
            <w:pPr>
              <w:rPr>
                <w:sz w:val="20"/>
                <w:szCs w:val="20"/>
                <w:lang w:val="vi-VN"/>
              </w:rPr>
            </w:pPr>
            <w:r>
              <w:rPr>
                <w:sz w:val="20"/>
                <w:szCs w:val="20"/>
              </w:rPr>
              <w:t>Mục</w:t>
            </w:r>
            <w:r>
              <w:rPr>
                <w:sz w:val="20"/>
                <w:szCs w:val="20"/>
                <w:lang w:val="vi-VN"/>
              </w:rPr>
              <w:t xml:space="preserve"> </w:t>
            </w:r>
            <w:r w:rsidR="00A633E9">
              <w:rPr>
                <w:sz w:val="20"/>
                <w:szCs w:val="20"/>
                <w:lang w:val="vi-VN"/>
              </w:rPr>
              <w:t>tiêu</w:t>
            </w:r>
          </w:p>
        </w:tc>
        <w:tc>
          <w:tcPr>
            <w:tcW w:w="13620" w:type="dxa"/>
            <w:gridSpan w:val="7"/>
            <w:tcBorders>
              <w:left w:val="single" w:sz="4" w:space="0" w:color="156082"/>
            </w:tcBorders>
            <w:shd w:val="clear" w:color="auto" w:fill="BDD6EE" w:themeFill="accent5" w:themeFillTint="66"/>
          </w:tcPr>
          <w:p w14:paraId="647D11AB" w14:textId="4E1D8523" w:rsidR="00C57E02" w:rsidRPr="00516087" w:rsidRDefault="00A633E9"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DengXian" w:hAnsi="Arial"/>
                <w:b/>
                <w:sz w:val="20"/>
                <w:szCs w:val="20"/>
                <w:lang w:val="en-GB"/>
              </w:rPr>
            </w:pPr>
            <w:r>
              <w:rPr>
                <w:rFonts w:ascii="Arial" w:eastAsia="DengXian" w:hAnsi="Arial"/>
                <w:sz w:val="20"/>
                <w:szCs w:val="20"/>
                <w:lang w:val="vi-VN"/>
              </w:rPr>
              <w:t>T</w:t>
            </w:r>
            <w:r w:rsidRPr="00A633E9">
              <w:rPr>
                <w:rFonts w:ascii="Arial" w:eastAsia="DengXian" w:hAnsi="Arial"/>
                <w:sz w:val="20"/>
                <w:szCs w:val="20"/>
                <w:lang w:val="vi-VN"/>
              </w:rPr>
              <w:t>ăng cường an ninh và khả năng chống chịu trên toàn ASEAN (AMS): Đảm bảo các công nghệ và hạ tầng số hiện có và trong tương lai phù hợp với các tiêu chuẩn và ưu tiên an ninh mạng được chấp nhận ở cấp độ khu vực.</w:t>
            </w:r>
          </w:p>
          <w:p w14:paraId="016C1F66" w14:textId="012A6C17" w:rsidR="00EC69B5" w:rsidRPr="004F1D15" w:rsidRDefault="00A633E9"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hAnsi="Arial"/>
                <w:sz w:val="20"/>
                <w:szCs w:val="20"/>
                <w:lang w:val="en-GB"/>
              </w:rPr>
            </w:pPr>
            <w:r>
              <w:rPr>
                <w:rFonts w:ascii="Arial" w:eastAsia="DengXian" w:hAnsi="Arial"/>
                <w:sz w:val="20"/>
                <w:szCs w:val="20"/>
                <w:lang w:val="vi-VN"/>
              </w:rPr>
              <w:t>H</w:t>
            </w:r>
            <w:r w:rsidRPr="00A633E9">
              <w:rPr>
                <w:rFonts w:ascii="Arial" w:eastAsia="DengXian" w:hAnsi="Arial"/>
                <w:sz w:val="20"/>
                <w:szCs w:val="20"/>
                <w:lang w:val="vi-VN"/>
              </w:rPr>
              <w:t>ỗ trợ đổi mới: Khuyến khích đổi mới nhằm đáp ứng các nhu cầu an ninh mạng đang phát triển và thúc đẩy thương mại số.</w:t>
            </w:r>
          </w:p>
        </w:tc>
      </w:tr>
      <w:tr w:rsidR="00EC69B5" w:rsidRPr="004F1D15" w14:paraId="5901C7E0" w14:textId="77777777" w:rsidTr="6BB67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tcPr>
          <w:p w14:paraId="2F2482F1" w14:textId="098F7840" w:rsidR="00EC69B5" w:rsidRPr="004F1D15" w:rsidRDefault="00626ED1">
            <w:pPr>
              <w:rPr>
                <w:sz w:val="20"/>
                <w:szCs w:val="20"/>
              </w:rPr>
            </w:pPr>
            <w:r>
              <w:rPr>
                <w:sz w:val="20"/>
                <w:szCs w:val="20"/>
              </w:rPr>
              <w:t>6.2.8.3</w:t>
            </w:r>
            <w:r w:rsidR="00912095" w:rsidRPr="004F1D15">
              <w:rPr>
                <w:sz w:val="20"/>
                <w:szCs w:val="20"/>
              </w:rPr>
              <w:t xml:space="preserve"> </w:t>
            </w:r>
            <w:r w:rsidR="00A633E9" w:rsidRPr="00A633E9">
              <w:rPr>
                <w:sz w:val="20"/>
                <w:szCs w:val="20"/>
              </w:rPr>
              <w:t>Phát triển Hạ tầng An toàn phù hợp với các Ưu tiên Quốc tế và Khu vực</w:t>
            </w:r>
          </w:p>
        </w:tc>
        <w:tc>
          <w:tcPr>
            <w:tcW w:w="3764" w:type="dxa"/>
            <w:tcBorders>
              <w:left w:val="single" w:sz="4" w:space="0" w:color="156082"/>
              <w:right w:val="single" w:sz="4" w:space="0" w:color="156082"/>
            </w:tcBorders>
          </w:tcPr>
          <w:p w14:paraId="06B6AEB5" w14:textId="3F0909FE" w:rsidR="00EC69B5" w:rsidRPr="00516087" w:rsidRDefault="00A633E9" w:rsidP="00637A89">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sz w:val="20"/>
                <w:szCs w:val="20"/>
                <w:lang w:val="en-GB"/>
              </w:rPr>
            </w:pPr>
            <w:r w:rsidRPr="00A633E9">
              <w:rPr>
                <w:rFonts w:ascii="Arial" w:eastAsia="DengXian" w:hAnsi="Arial"/>
                <w:b/>
                <w:bCs/>
                <w:sz w:val="20"/>
                <w:szCs w:val="20"/>
                <w:lang w:val="vi-VN"/>
              </w:rPr>
              <w:t>Đầu tư Hạ tầng Dài hạn:</w:t>
            </w:r>
            <w:r w:rsidRPr="00A633E9">
              <w:rPr>
                <w:rFonts w:ascii="Arial" w:eastAsia="DengXian" w:hAnsi="Arial"/>
                <w:sz w:val="20"/>
                <w:szCs w:val="20"/>
                <w:lang w:val="vi-VN"/>
              </w:rPr>
              <w:t xml:space="preserve"> Đầu tư vào phát triển dài hạn hạ tầng điện toán đám mây và hạ tầng trung tâm dữ liệu an toàn phù hợp với các tiêu chuẩn quốc tế nhằm hỗ trợ khả năng </w:t>
            </w:r>
            <w:r w:rsidRPr="00A633E9">
              <w:rPr>
                <w:rFonts w:ascii="Arial" w:eastAsia="DengXian" w:hAnsi="Arial"/>
                <w:sz w:val="20"/>
                <w:szCs w:val="20"/>
                <w:lang w:val="vi-VN"/>
              </w:rPr>
              <w:lastRenderedPageBreak/>
              <w:t>mở rộng và bảo đảm tính bền vững trước các tiến bộ công nghệ.</w:t>
            </w:r>
          </w:p>
          <w:p w14:paraId="5D486B30" w14:textId="63D2E4B5" w:rsidR="00EC69B5" w:rsidRPr="00516087" w:rsidRDefault="00A633E9" w:rsidP="005A78BC">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A633E9">
              <w:rPr>
                <w:rFonts w:ascii="Arial" w:eastAsia="DengXian" w:hAnsi="Arial"/>
                <w:b/>
                <w:bCs/>
                <w:sz w:val="20"/>
                <w:szCs w:val="20"/>
                <w:lang w:val="vi-VN"/>
              </w:rPr>
              <w:t>Trung tâm Đổi mới &amp; Sandbox:</w:t>
            </w:r>
            <w:r w:rsidRPr="00A633E9">
              <w:rPr>
                <w:rFonts w:ascii="Arial" w:eastAsia="DengXian" w:hAnsi="Arial"/>
                <w:sz w:val="20"/>
                <w:szCs w:val="20"/>
                <w:lang w:val="vi-VN"/>
              </w:rPr>
              <w:t xml:space="preserve"> Thúc đẩy và hỗ trợ các sáng kiến R&amp;D về công nghệ an toàn mạng thông qua các vườn ươm khởi nghiệp (incubators), sandbox quy định, và các dự án thí điểm để thử nghiệm công nghệ và mô hình kinh doanh mới.</w:t>
            </w:r>
          </w:p>
        </w:tc>
        <w:tc>
          <w:tcPr>
            <w:tcW w:w="3764" w:type="dxa"/>
            <w:gridSpan w:val="2"/>
            <w:tcBorders>
              <w:left w:val="single" w:sz="4" w:space="0" w:color="156082"/>
              <w:right w:val="single" w:sz="4" w:space="0" w:color="156082"/>
            </w:tcBorders>
          </w:tcPr>
          <w:p w14:paraId="5EE10ED1" w14:textId="4488EF2B" w:rsidR="00800A49" w:rsidRPr="00800A49" w:rsidRDefault="00A633E9" w:rsidP="00800A49">
            <w:pPr>
              <w:cnfStyle w:val="000000100000" w:firstRow="0" w:lastRow="0" w:firstColumn="0" w:lastColumn="0" w:oddVBand="0" w:evenVBand="0" w:oddHBand="1" w:evenHBand="0" w:firstRowFirstColumn="0" w:firstRowLastColumn="0" w:lastRowFirstColumn="0" w:lastRowLastColumn="0"/>
              <w:rPr>
                <w:sz w:val="20"/>
                <w:szCs w:val="20"/>
                <w:lang w:val="vi-VN"/>
              </w:rPr>
            </w:pPr>
            <w:r>
              <w:rPr>
                <w:sz w:val="20"/>
                <w:szCs w:val="20"/>
              </w:rPr>
              <w:lastRenderedPageBreak/>
              <w:t>Ngắn</w:t>
            </w:r>
            <w:r>
              <w:rPr>
                <w:sz w:val="20"/>
                <w:szCs w:val="20"/>
                <w:lang w:val="vi-VN"/>
              </w:rPr>
              <w:t xml:space="preserve"> hạn</w:t>
            </w:r>
            <w:r w:rsidR="00EC69B5" w:rsidRPr="004F1D15">
              <w:rPr>
                <w:sz w:val="20"/>
                <w:szCs w:val="20"/>
              </w:rPr>
              <w:t>:</w:t>
            </w:r>
          </w:p>
          <w:p w14:paraId="49D0E40D" w14:textId="77777777" w:rsidR="00800A49" w:rsidRPr="00800A49" w:rsidRDefault="00800A49" w:rsidP="00800A49">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800A49">
              <w:rPr>
                <w:rFonts w:ascii="Arial" w:eastAsia="DengXian" w:hAnsi="Arial"/>
                <w:sz w:val="20"/>
                <w:szCs w:val="20"/>
                <w:lang w:val="en-GB"/>
              </w:rPr>
              <w:t>Tiến hành một đánh giá toàn diện về nhu cầu hạ tầng trên toàn AMS.</w:t>
            </w:r>
          </w:p>
          <w:p w14:paraId="6DC997F1" w14:textId="05287E57" w:rsidR="00800A49" w:rsidRPr="00800A49" w:rsidRDefault="00800A49" w:rsidP="00800A49">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800A49">
              <w:rPr>
                <w:rFonts w:ascii="Arial" w:eastAsia="DengXian" w:hAnsi="Arial"/>
                <w:sz w:val="20"/>
                <w:szCs w:val="20"/>
                <w:lang w:val="en-GB"/>
              </w:rPr>
              <w:lastRenderedPageBreak/>
              <w:t>Khởi động các quan hệ đối tác công – tư để phát triển các trung tâm đổi mới và sandbox ở cấp khu vực.</w:t>
            </w:r>
          </w:p>
          <w:p w14:paraId="231FDB12" w14:textId="6EE6B976" w:rsidR="00C57E02" w:rsidRPr="004F1D15" w:rsidRDefault="00800A49" w:rsidP="00800A49">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800A49">
              <w:rPr>
                <w:rFonts w:ascii="Arial" w:eastAsia="DengXian" w:hAnsi="Arial"/>
                <w:sz w:val="20"/>
                <w:szCs w:val="20"/>
                <w:lang w:val="en-GB"/>
              </w:rPr>
              <w:t>Bắt đầu các dự án mở rộng ban đầu nhằm cải thiện và đảm bảo an toàn cho hạ tầng số.</w:t>
            </w:r>
            <w:r w:rsidRPr="00516087">
              <w:rPr>
                <w:rFonts w:ascii="Arial" w:eastAsia="DengXian" w:hAnsi="Arial"/>
                <w:sz w:val="20"/>
                <w:szCs w:val="20"/>
                <w:lang w:val="en-GB"/>
              </w:rPr>
              <w:t xml:space="preserve"> </w:t>
            </w:r>
            <w:r w:rsidR="00637A89" w:rsidRPr="00516087">
              <w:rPr>
                <w:rFonts w:ascii="Arial" w:eastAsia="DengXian" w:hAnsi="Arial"/>
                <w:sz w:val="20"/>
                <w:szCs w:val="20"/>
                <w:lang w:val="en-GB"/>
              </w:rPr>
              <w:br/>
            </w:r>
          </w:p>
          <w:p w14:paraId="18241131" w14:textId="7849CEF3" w:rsidR="00C57E02" w:rsidRPr="004F1D15" w:rsidRDefault="00800A49" w:rsidP="00C57E0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Trung</w:t>
            </w:r>
            <w:r>
              <w:rPr>
                <w:sz w:val="20"/>
                <w:szCs w:val="20"/>
                <w:lang w:val="vi-VN"/>
              </w:rPr>
              <w:t xml:space="preserve"> hạn</w:t>
            </w:r>
            <w:r w:rsidR="00C57E02" w:rsidRPr="004F1D15">
              <w:rPr>
                <w:sz w:val="20"/>
                <w:szCs w:val="20"/>
              </w:rPr>
              <w:t>:</w:t>
            </w:r>
          </w:p>
          <w:p w14:paraId="3AB43B80" w14:textId="1C82F441" w:rsidR="00C57E02" w:rsidRPr="00516087" w:rsidRDefault="00800A49" w:rsidP="0029294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hAnsi="Arial"/>
                <w:b/>
                <w:sz w:val="20"/>
                <w:szCs w:val="20"/>
                <w:lang w:val="en-GB"/>
              </w:rPr>
            </w:pPr>
            <w:r w:rsidRPr="00800A49">
              <w:rPr>
                <w:rFonts w:ascii="Arial" w:eastAsia="DengXian" w:hAnsi="Arial"/>
                <w:sz w:val="20"/>
                <w:szCs w:val="20"/>
                <w:lang w:val="en-GB"/>
              </w:rPr>
              <w:t>Ra mắt các trung tâm đổi mới và sandbox quy định để thử nghiệm các công nghệ mới và hiện có nhằm tuân thủ ISO/IEC 27001 và 27002</w:t>
            </w:r>
            <w:r w:rsidR="00C57E02" w:rsidRPr="00292940">
              <w:rPr>
                <w:rFonts w:ascii="Arial" w:eastAsia="DengXian" w:hAnsi="Arial"/>
                <w:sz w:val="20"/>
                <w:szCs w:val="20"/>
                <w:lang w:val="en-GB"/>
              </w:rPr>
              <w:t>.</w:t>
            </w:r>
          </w:p>
          <w:p w14:paraId="2F5B67E8" w14:textId="7A68B589" w:rsidR="00C57E02" w:rsidRPr="004F1D15" w:rsidRDefault="00800A49" w:rsidP="00C82E4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800A49">
              <w:rPr>
                <w:rFonts w:ascii="Arial" w:eastAsia="DengXian" w:hAnsi="Arial"/>
                <w:sz w:val="20"/>
                <w:szCs w:val="20"/>
                <w:lang w:val="en-GB"/>
              </w:rPr>
              <w:t>Hoàn tất các cải tiến và đảm bảo an toàn cho toàn bộ hạ tầng đám mây và hạ tầng dữ liệu</w:t>
            </w:r>
            <w:r w:rsidR="00C57E02" w:rsidRPr="004F1D15">
              <w:rPr>
                <w:rFonts w:ascii="Arial" w:eastAsia="DengXian" w:hAnsi="Arial"/>
                <w:sz w:val="20"/>
                <w:szCs w:val="20"/>
                <w:lang w:val="en-GB"/>
              </w:rPr>
              <w:t>.</w:t>
            </w:r>
            <w:r w:rsidR="009A4FB3" w:rsidRPr="00516087">
              <w:rPr>
                <w:rFonts w:ascii="Arial" w:eastAsia="DengXian" w:hAnsi="Arial"/>
                <w:sz w:val="20"/>
                <w:szCs w:val="20"/>
                <w:lang w:val="en-GB"/>
              </w:rPr>
              <w:br/>
            </w:r>
          </w:p>
          <w:p w14:paraId="60ADF0EB" w14:textId="76BD87F6" w:rsidR="00C57E02" w:rsidRPr="004F1D15" w:rsidRDefault="00800A49" w:rsidP="00C57E0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Dài</w:t>
            </w:r>
            <w:r>
              <w:rPr>
                <w:sz w:val="20"/>
                <w:szCs w:val="20"/>
                <w:lang w:val="vi-VN"/>
              </w:rPr>
              <w:t xml:space="preserve"> hạn</w:t>
            </w:r>
            <w:r w:rsidR="00C57E02" w:rsidRPr="004F1D15">
              <w:rPr>
                <w:sz w:val="20"/>
                <w:szCs w:val="20"/>
              </w:rPr>
              <w:t>:</w:t>
            </w:r>
          </w:p>
          <w:p w14:paraId="53DFE9F3" w14:textId="77777777" w:rsidR="00800A49" w:rsidRPr="00800A49" w:rsidRDefault="00800A49" w:rsidP="00800A49">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800A49">
              <w:rPr>
                <w:rFonts w:ascii="Arial" w:eastAsia="DengXian" w:hAnsi="Arial"/>
                <w:sz w:val="20"/>
                <w:szCs w:val="20"/>
                <w:lang w:val="en-GB"/>
              </w:rPr>
              <w:t>Lập kế hoạch cho các nâng cấp và mở rộng trong tương lai đối với hạ tầng đám mây và hạ tầng trung tâm dữ liệu nhằm đáp ứng tiến bộ công nghệ.</w:t>
            </w:r>
          </w:p>
          <w:p w14:paraId="501EF328" w14:textId="5293345B" w:rsidR="00800A49" w:rsidRPr="00800A49" w:rsidRDefault="00800A49" w:rsidP="00800A49">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800A49">
              <w:rPr>
                <w:rFonts w:ascii="Arial" w:eastAsia="DengXian" w:hAnsi="Arial"/>
                <w:sz w:val="20"/>
                <w:szCs w:val="20"/>
                <w:lang w:val="en-GB"/>
              </w:rPr>
              <w:t>Lập kế hoạch cho các nâng cấp trong tương lai và các thay đổi liên quan đến tiêu chuẩn quốc tế.</w:t>
            </w:r>
          </w:p>
          <w:p w14:paraId="011E1570" w14:textId="54412E81" w:rsidR="00EC69B5" w:rsidRPr="00800A49" w:rsidRDefault="00800A49" w:rsidP="00800A49">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800A49">
              <w:rPr>
                <w:rFonts w:ascii="Arial" w:eastAsia="DengXian" w:hAnsi="Arial"/>
                <w:sz w:val="20"/>
                <w:szCs w:val="20"/>
                <w:lang w:val="en-GB"/>
              </w:rPr>
              <w:t>Thúc đẩy đổi mới liên tục và việc áp dụng các công nghệ mới.</w:t>
            </w:r>
            <w:r w:rsidR="00C57E02" w:rsidRPr="00800A49" w:rsidDel="00F468EC">
              <w:rPr>
                <w:rFonts w:eastAsia="DengXian"/>
                <w:sz w:val="20"/>
                <w:szCs w:val="20"/>
              </w:rPr>
              <w:t xml:space="preserve"> </w:t>
            </w:r>
          </w:p>
        </w:tc>
        <w:tc>
          <w:tcPr>
            <w:tcW w:w="2318" w:type="dxa"/>
            <w:gridSpan w:val="2"/>
            <w:tcBorders>
              <w:left w:val="single" w:sz="4" w:space="0" w:color="156082"/>
              <w:right w:val="single" w:sz="4" w:space="0" w:color="156082"/>
            </w:tcBorders>
          </w:tcPr>
          <w:p w14:paraId="52857DD2" w14:textId="02BE8744" w:rsidR="00EC69B5" w:rsidRPr="004F1D15" w:rsidRDefault="006F448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lang w:val="vi-VN"/>
              </w:rPr>
              <w:lastRenderedPageBreak/>
              <w:t>Cơ quan điều phối</w:t>
            </w:r>
            <w:r w:rsidR="00195B0F">
              <w:rPr>
                <w:sz w:val="20"/>
                <w:szCs w:val="20"/>
              </w:rPr>
              <w:t>:</w:t>
            </w:r>
          </w:p>
          <w:p w14:paraId="0D7EEB60" w14:textId="32B5A9E9" w:rsidR="00EC69B5" w:rsidRPr="004F1D15" w:rsidRDefault="006F4484" w:rsidP="000C7A4F">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6F4484">
              <w:rPr>
                <w:rFonts w:ascii="Arial" w:eastAsia="DengXian" w:hAnsi="Arial"/>
                <w:sz w:val="20"/>
                <w:szCs w:val="20"/>
                <w:lang w:val="en-GB"/>
              </w:rPr>
              <w:t xml:space="preserve">Hội đồng Hành động An ninh Mạng ASEAN </w:t>
            </w:r>
            <w:r w:rsidR="00626ED1">
              <w:rPr>
                <w:rFonts w:ascii="Arial" w:eastAsia="DengXian" w:hAnsi="Arial"/>
                <w:sz w:val="20"/>
                <w:szCs w:val="20"/>
                <w:lang w:val="en-GB"/>
              </w:rPr>
              <w:t xml:space="preserve">(ANSAC) </w:t>
            </w:r>
          </w:p>
        </w:tc>
        <w:tc>
          <w:tcPr>
            <w:tcW w:w="3774" w:type="dxa"/>
            <w:gridSpan w:val="2"/>
            <w:tcBorders>
              <w:left w:val="single" w:sz="4" w:space="0" w:color="156082"/>
            </w:tcBorders>
          </w:tcPr>
          <w:p w14:paraId="251C02F3" w14:textId="08B987CF" w:rsidR="00EC69B5" w:rsidRPr="004F1D15" w:rsidRDefault="006F4484">
            <w:pPr>
              <w:cnfStyle w:val="000000100000" w:firstRow="0" w:lastRow="0" w:firstColumn="0" w:lastColumn="0" w:oddVBand="0" w:evenVBand="0" w:oddHBand="1" w:evenHBand="0" w:firstRowFirstColumn="0" w:firstRowLastColumn="0" w:lastRowFirstColumn="0" w:lastRowLastColumn="0"/>
              <w:rPr>
                <w:sz w:val="20"/>
                <w:szCs w:val="20"/>
              </w:rPr>
            </w:pPr>
            <w:r w:rsidRPr="006F4484">
              <w:rPr>
                <w:sz w:val="20"/>
                <w:szCs w:val="20"/>
              </w:rPr>
              <w:t>Các thước đo tiến độ chung bao gồm</w:t>
            </w:r>
            <w:r w:rsidR="00EC69B5" w:rsidRPr="004F1D15">
              <w:rPr>
                <w:sz w:val="20"/>
                <w:szCs w:val="20"/>
              </w:rPr>
              <w:t>:</w:t>
            </w:r>
          </w:p>
          <w:p w14:paraId="2D95A8FD" w14:textId="4BC2F167" w:rsidR="00EC69B5" w:rsidRPr="00516087" w:rsidRDefault="006F4484" w:rsidP="009A4FB3">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sz w:val="20"/>
                <w:szCs w:val="20"/>
                <w:lang w:val="en-GB"/>
              </w:rPr>
            </w:pPr>
            <w:r w:rsidRPr="006F4484">
              <w:rPr>
                <w:rFonts w:ascii="Arial" w:eastAsia="DengXian" w:hAnsi="Arial"/>
                <w:b/>
                <w:sz w:val="20"/>
                <w:szCs w:val="20"/>
                <w:lang w:val="en-GB"/>
              </w:rPr>
              <w:t xml:space="preserve">Kết quả từ các </w:t>
            </w:r>
            <w:r w:rsidRPr="006F4484">
              <w:rPr>
                <w:rFonts w:ascii="Arial" w:eastAsia="DengXian" w:hAnsi="Arial"/>
                <w:bCs/>
                <w:sz w:val="20"/>
                <w:szCs w:val="20"/>
                <w:lang w:val="en-GB"/>
              </w:rPr>
              <w:t xml:space="preserve">Trung tâm Đổi mới: Theo dõi số lượng các dự án và doanh nghiệp khởi nghiệp thành </w:t>
            </w:r>
            <w:r w:rsidRPr="006F4484">
              <w:rPr>
                <w:rFonts w:ascii="Arial" w:eastAsia="DengXian" w:hAnsi="Arial"/>
                <w:bCs/>
                <w:sz w:val="20"/>
                <w:szCs w:val="20"/>
                <w:lang w:val="en-GB"/>
              </w:rPr>
              <w:lastRenderedPageBreak/>
              <w:t>công xuất phát từ các trung tâm đổi mới và sandbox</w:t>
            </w:r>
            <w:r w:rsidR="00C57E02" w:rsidRPr="006F4484">
              <w:rPr>
                <w:rFonts w:ascii="Arial" w:eastAsia="DengXian" w:hAnsi="Arial"/>
                <w:bCs/>
                <w:sz w:val="20"/>
                <w:szCs w:val="20"/>
                <w:lang w:val="en-GB"/>
              </w:rPr>
              <w:t>.</w:t>
            </w:r>
          </w:p>
          <w:p w14:paraId="07A8278C" w14:textId="3070F9F6" w:rsidR="00EC69B5" w:rsidRPr="00516087" w:rsidRDefault="006F4484" w:rsidP="005A78BC">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6F4484">
              <w:rPr>
                <w:rFonts w:ascii="Arial" w:eastAsia="DengXian" w:hAnsi="Arial"/>
                <w:b/>
                <w:sz w:val="20"/>
                <w:szCs w:val="20"/>
                <w:lang w:val="en-GB"/>
              </w:rPr>
              <w:t xml:space="preserve">Đầu tư cho R&amp;D: </w:t>
            </w:r>
            <w:r w:rsidRPr="006F4484">
              <w:rPr>
                <w:rFonts w:ascii="Arial" w:eastAsia="DengXian" w:hAnsi="Arial"/>
                <w:bCs/>
                <w:sz w:val="20"/>
                <w:szCs w:val="20"/>
                <w:lang w:val="en-GB"/>
              </w:rPr>
              <w:t>Theo dõi mức đầu tư vào các sáng kiến nghiên cứu và phát triển liên quan đến an ninh mạng.</w:t>
            </w:r>
          </w:p>
        </w:tc>
      </w:tr>
    </w:tbl>
    <w:p w14:paraId="3BF45EA1" w14:textId="5B9B7333" w:rsidR="00292940" w:rsidRDefault="00292940">
      <w:pPr>
        <w:spacing w:line="259" w:lineRule="auto"/>
        <w:jc w:val="left"/>
        <w:rPr>
          <w:rFonts w:eastAsia="Arial"/>
          <w:color w:val="657C9C" w:themeColor="text2" w:themeTint="BF"/>
          <w:sz w:val="20"/>
          <w:szCs w:val="20"/>
        </w:rPr>
      </w:pPr>
    </w:p>
    <w:p w14:paraId="07A27584" w14:textId="77777777" w:rsidR="00273100" w:rsidRDefault="00273100">
      <w:pPr>
        <w:spacing w:line="259" w:lineRule="auto"/>
        <w:jc w:val="left"/>
        <w:rPr>
          <w:rFonts w:eastAsia="Arial"/>
          <w:color w:val="657C9C" w:themeColor="text2" w:themeTint="BF"/>
          <w:sz w:val="20"/>
          <w:szCs w:val="20"/>
        </w:rPr>
      </w:pPr>
      <w:r>
        <w:rPr>
          <w:sz w:val="20"/>
          <w:szCs w:val="20"/>
        </w:rPr>
        <w:br w:type="page"/>
      </w:r>
    </w:p>
    <w:p w14:paraId="4E2ADEB6" w14:textId="5C275183" w:rsidR="005A7FFA" w:rsidRPr="004F1D15" w:rsidRDefault="00460E92" w:rsidP="005A7FFA">
      <w:pPr>
        <w:pStyle w:val="Heading3"/>
        <w:rPr>
          <w:sz w:val="20"/>
          <w:szCs w:val="20"/>
          <w:lang w:val="en-GB"/>
        </w:rPr>
      </w:pPr>
      <w:r>
        <w:rPr>
          <w:sz w:val="20"/>
          <w:szCs w:val="20"/>
          <w:lang w:val="en-GB"/>
        </w:rPr>
        <w:lastRenderedPageBreak/>
        <w:t>Phân</w:t>
      </w:r>
      <w:r>
        <w:rPr>
          <w:sz w:val="20"/>
          <w:szCs w:val="20"/>
          <w:lang w:val="vi-VN"/>
        </w:rPr>
        <w:t xml:space="preserve"> vùng</w:t>
      </w:r>
      <w:r w:rsidR="005A7FFA" w:rsidRPr="004F1D15">
        <w:rPr>
          <w:sz w:val="20"/>
          <w:szCs w:val="20"/>
          <w:lang w:val="en-GB"/>
        </w:rPr>
        <w:t xml:space="preserve">: </w:t>
      </w:r>
      <w:r>
        <w:rPr>
          <w:sz w:val="20"/>
          <w:szCs w:val="20"/>
          <w:lang w:val="en-GB"/>
        </w:rPr>
        <w:t>An</w:t>
      </w:r>
      <w:r>
        <w:rPr>
          <w:sz w:val="20"/>
          <w:szCs w:val="20"/>
          <w:lang w:val="vi-VN"/>
        </w:rPr>
        <w:t xml:space="preserve"> toàn trực tuyến</w:t>
      </w:r>
      <w:r w:rsidR="0082265E">
        <w:rPr>
          <w:rStyle w:val="FootnoteReference"/>
          <w:sz w:val="20"/>
          <w:lang w:val="en-GB"/>
        </w:rPr>
        <w:footnoteReference w:id="352"/>
      </w:r>
      <w:r w:rsidR="005A7FFA" w:rsidRPr="004F1D15">
        <w:rPr>
          <w:sz w:val="20"/>
          <w:szCs w:val="20"/>
          <w:lang w:val="en-GB"/>
        </w:rPr>
        <w:t xml:space="preserve"> </w:t>
      </w:r>
    </w:p>
    <w:p w14:paraId="5DAEBB8A" w14:textId="4E971E5C" w:rsidR="005A7FFA" w:rsidRPr="004F1D15" w:rsidRDefault="0062578F" w:rsidP="00C82E40">
      <w:pPr>
        <w:pStyle w:val="Heading4"/>
        <w:rPr>
          <w:sz w:val="20"/>
          <w:lang w:val="en-GB"/>
        </w:rPr>
      </w:pPr>
      <w:r>
        <w:rPr>
          <w:sz w:val="20"/>
          <w:lang w:val="en-GB"/>
        </w:rPr>
        <w:t>Danh</w:t>
      </w:r>
      <w:r>
        <w:rPr>
          <w:sz w:val="20"/>
          <w:lang w:val="vi-VN"/>
        </w:rPr>
        <w:t xml:space="preserve"> mục</w:t>
      </w:r>
      <w:r w:rsidR="00CC6EE0" w:rsidRPr="004F1D15">
        <w:rPr>
          <w:sz w:val="20"/>
          <w:lang w:val="en-GB"/>
        </w:rPr>
        <w:t xml:space="preserve"> </w:t>
      </w:r>
      <w:r w:rsidR="005A7FFA" w:rsidRPr="004F1D15">
        <w:rPr>
          <w:sz w:val="20"/>
          <w:lang w:val="en-GB"/>
        </w:rPr>
        <w:t xml:space="preserve">1: </w:t>
      </w:r>
      <w:r>
        <w:rPr>
          <w:sz w:val="20"/>
          <w:lang w:val="en-GB"/>
        </w:rPr>
        <w:t>Điều</w:t>
      </w:r>
      <w:r>
        <w:rPr>
          <w:sz w:val="20"/>
          <w:lang w:val="vi-VN"/>
        </w:rPr>
        <w:t xml:space="preserve"> phối và điều chỉnh chính sách</w:t>
      </w:r>
    </w:p>
    <w:tbl>
      <w:tblPr>
        <w:tblStyle w:val="ListTable3-Accent11"/>
        <w:tblW w:w="15314" w:type="dxa"/>
        <w:tblLook w:val="04A0" w:firstRow="1" w:lastRow="0" w:firstColumn="1" w:lastColumn="0" w:noHBand="0" w:noVBand="1"/>
      </w:tblPr>
      <w:tblGrid>
        <w:gridCol w:w="1694"/>
        <w:gridCol w:w="3764"/>
        <w:gridCol w:w="7"/>
        <w:gridCol w:w="3757"/>
        <w:gridCol w:w="15"/>
        <w:gridCol w:w="2303"/>
        <w:gridCol w:w="14"/>
        <w:gridCol w:w="3760"/>
      </w:tblGrid>
      <w:tr w:rsidR="00EC69B5" w:rsidRPr="004F1D15" w14:paraId="761ED072" w14:textId="77777777" w:rsidTr="00AC0A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4" w:type="dxa"/>
            <w:tcBorders>
              <w:bottom w:val="single" w:sz="4" w:space="0" w:color="156082"/>
            </w:tcBorders>
            <w:shd w:val="clear" w:color="auto" w:fill="002060"/>
          </w:tcPr>
          <w:p w14:paraId="533803D8" w14:textId="79C35F39" w:rsidR="00EC69B5" w:rsidRPr="0062578F" w:rsidRDefault="0062578F" w:rsidP="00AC0AE1">
            <w:pPr>
              <w:jc w:val="center"/>
              <w:rPr>
                <w:sz w:val="20"/>
                <w:szCs w:val="20"/>
                <w:lang w:val="vi-VN"/>
              </w:rPr>
            </w:pPr>
            <w:r>
              <w:rPr>
                <w:sz w:val="20"/>
                <w:szCs w:val="20"/>
              </w:rPr>
              <w:t>Khu</w:t>
            </w:r>
            <w:r>
              <w:rPr>
                <w:sz w:val="20"/>
                <w:szCs w:val="20"/>
                <w:lang w:val="vi-VN"/>
              </w:rPr>
              <w:t xml:space="preserve"> vực hành động</w:t>
            </w:r>
          </w:p>
        </w:tc>
        <w:tc>
          <w:tcPr>
            <w:tcW w:w="3771" w:type="dxa"/>
            <w:gridSpan w:val="2"/>
            <w:shd w:val="clear" w:color="auto" w:fill="002060"/>
          </w:tcPr>
          <w:p w14:paraId="26F869C2" w14:textId="35CC02B6" w:rsidR="00EC69B5" w:rsidRPr="0062578F" w:rsidRDefault="0062578F" w:rsidP="00AC0AE1">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Lĩnh</w:t>
            </w:r>
            <w:r>
              <w:rPr>
                <w:sz w:val="20"/>
                <w:szCs w:val="20"/>
                <w:lang w:val="vi-VN"/>
              </w:rPr>
              <w:t xml:space="preserve"> vực trọng tâm</w:t>
            </w:r>
          </w:p>
        </w:tc>
        <w:tc>
          <w:tcPr>
            <w:tcW w:w="3772" w:type="dxa"/>
            <w:gridSpan w:val="2"/>
            <w:shd w:val="clear" w:color="auto" w:fill="002060"/>
          </w:tcPr>
          <w:p w14:paraId="22FE0DB9" w14:textId="3624EDA1" w:rsidR="00EC69B5" w:rsidRPr="004F1D15" w:rsidRDefault="0062578F" w:rsidP="00AC0AE1">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bCs w:val="0"/>
                <w:sz w:val="20"/>
                <w:szCs w:val="20"/>
              </w:rPr>
              <w:t>Các</w:t>
            </w:r>
            <w:r>
              <w:rPr>
                <w:bCs w:val="0"/>
                <w:sz w:val="20"/>
                <w:szCs w:val="20"/>
                <w:lang w:val="vi-VN"/>
              </w:rPr>
              <w:t xml:space="preserve"> mốc dự kiến và khung thời gian tạm tính</w:t>
            </w:r>
            <w:r w:rsidR="00EC69B5" w:rsidRPr="004F1D15">
              <w:rPr>
                <w:sz w:val="20"/>
                <w:szCs w:val="20"/>
                <w:vertAlign w:val="superscript"/>
              </w:rPr>
              <w:footnoteReference w:id="353"/>
            </w:r>
          </w:p>
        </w:tc>
        <w:tc>
          <w:tcPr>
            <w:tcW w:w="2317" w:type="dxa"/>
            <w:gridSpan w:val="2"/>
            <w:shd w:val="clear" w:color="auto" w:fill="002060"/>
          </w:tcPr>
          <w:p w14:paraId="0761284F" w14:textId="606648AF" w:rsidR="00EC69B5" w:rsidRPr="0062578F" w:rsidRDefault="0062578F" w:rsidP="00AC0AE1">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Các</w:t>
            </w:r>
            <w:r>
              <w:rPr>
                <w:sz w:val="20"/>
                <w:szCs w:val="20"/>
                <w:lang w:val="vi-VN"/>
              </w:rPr>
              <w:t xml:space="preserve"> bên chịu trách nhiệm chính</w:t>
            </w:r>
          </w:p>
        </w:tc>
        <w:tc>
          <w:tcPr>
            <w:tcW w:w="3760" w:type="dxa"/>
            <w:shd w:val="clear" w:color="auto" w:fill="002060"/>
          </w:tcPr>
          <w:p w14:paraId="355417B8" w14:textId="009A6278" w:rsidR="00EC69B5" w:rsidRPr="0062578F" w:rsidRDefault="0062578F" w:rsidP="00AC0AE1">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Thước</w:t>
            </w:r>
            <w:r>
              <w:rPr>
                <w:sz w:val="20"/>
                <w:szCs w:val="20"/>
                <w:lang w:val="vi-VN"/>
              </w:rPr>
              <w:t xml:space="preserve"> đo tiến độ</w:t>
            </w:r>
          </w:p>
        </w:tc>
      </w:tr>
      <w:tr w:rsidR="00EC69B5" w:rsidRPr="004F1D15" w14:paraId="7BE8619C" w14:textId="77777777" w:rsidTr="00AC0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shd w:val="clear" w:color="auto" w:fill="00B0F0"/>
          </w:tcPr>
          <w:p w14:paraId="172FA71E" w14:textId="207544A9" w:rsidR="00EC69B5" w:rsidRPr="0062578F" w:rsidRDefault="0062578F">
            <w:pPr>
              <w:rPr>
                <w:sz w:val="20"/>
                <w:szCs w:val="20"/>
                <w:lang w:val="vi-VN"/>
              </w:rPr>
            </w:pPr>
            <w:r>
              <w:rPr>
                <w:sz w:val="20"/>
                <w:szCs w:val="20"/>
              </w:rPr>
              <w:t>Khu</w:t>
            </w:r>
            <w:r>
              <w:rPr>
                <w:sz w:val="20"/>
                <w:szCs w:val="20"/>
                <w:lang w:val="vi-VN"/>
              </w:rPr>
              <w:t xml:space="preserve"> vực hành động chính</w:t>
            </w:r>
          </w:p>
        </w:tc>
        <w:tc>
          <w:tcPr>
            <w:tcW w:w="13620" w:type="dxa"/>
            <w:gridSpan w:val="7"/>
            <w:tcBorders>
              <w:left w:val="single" w:sz="4" w:space="0" w:color="156082"/>
            </w:tcBorders>
            <w:shd w:val="clear" w:color="auto" w:fill="00B0F0"/>
          </w:tcPr>
          <w:p w14:paraId="1A2AED90" w14:textId="4B8DC922" w:rsidR="00EC69B5" w:rsidRPr="00223319" w:rsidRDefault="004466F4">
            <w:pPr>
              <w:cnfStyle w:val="000000100000" w:firstRow="0" w:lastRow="0" w:firstColumn="0" w:lastColumn="0" w:oddVBand="0" w:evenVBand="0" w:oddHBand="1" w:evenHBand="0" w:firstRowFirstColumn="0" w:firstRowLastColumn="0" w:lastRowFirstColumn="0" w:lastRowLastColumn="0"/>
              <w:rPr>
                <w:b/>
                <w:sz w:val="20"/>
                <w:szCs w:val="20"/>
                <w:lang w:val="vi-VN"/>
              </w:rPr>
            </w:pPr>
            <w:r>
              <w:rPr>
                <w:b/>
                <w:bCs/>
                <w:sz w:val="20"/>
                <w:szCs w:val="20"/>
              </w:rPr>
              <w:t>5</w:t>
            </w:r>
            <w:r w:rsidR="00626ED1">
              <w:rPr>
                <w:b/>
                <w:bCs/>
                <w:sz w:val="20"/>
                <w:szCs w:val="20"/>
              </w:rPr>
              <w:t>.2.9</w:t>
            </w:r>
            <w:r w:rsidR="00986B6C" w:rsidRPr="004F1D15">
              <w:rPr>
                <w:b/>
                <w:sz w:val="20"/>
                <w:szCs w:val="20"/>
              </w:rPr>
              <w:t xml:space="preserve">.1 </w:t>
            </w:r>
            <w:r w:rsidR="00223319" w:rsidRPr="00223319">
              <w:rPr>
                <w:b/>
                <w:sz w:val="20"/>
                <w:szCs w:val="20"/>
                <w:lang w:val="vi-VN"/>
              </w:rPr>
              <w:t>Tăng cường Bộ Quy tắc Ứng xử Kinh doanh Trực tuyến ASEAN</w:t>
            </w:r>
          </w:p>
        </w:tc>
      </w:tr>
      <w:tr w:rsidR="00EC69B5" w:rsidRPr="004F1D15" w14:paraId="6D6C448F" w14:textId="77777777" w:rsidTr="00AC0AE1">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156082"/>
              <w:bottom w:val="single" w:sz="4" w:space="0" w:color="156082"/>
              <w:right w:val="single" w:sz="4" w:space="0" w:color="156082"/>
            </w:tcBorders>
            <w:shd w:val="clear" w:color="auto" w:fill="BDD6EE" w:themeFill="accent5" w:themeFillTint="66"/>
          </w:tcPr>
          <w:p w14:paraId="1CF595A2" w14:textId="63BCDE36" w:rsidR="00EC69B5" w:rsidRPr="0062578F" w:rsidRDefault="0062578F">
            <w:pPr>
              <w:rPr>
                <w:sz w:val="20"/>
                <w:szCs w:val="20"/>
                <w:lang w:val="vi-VN"/>
              </w:rPr>
            </w:pPr>
            <w:r>
              <w:rPr>
                <w:sz w:val="20"/>
                <w:szCs w:val="20"/>
              </w:rPr>
              <w:t>Mục</w:t>
            </w:r>
            <w:r>
              <w:rPr>
                <w:sz w:val="20"/>
                <w:szCs w:val="20"/>
                <w:lang w:val="vi-VN"/>
              </w:rPr>
              <w:t xml:space="preserve"> tiêu</w:t>
            </w:r>
          </w:p>
        </w:tc>
        <w:tc>
          <w:tcPr>
            <w:tcW w:w="13620" w:type="dxa"/>
            <w:gridSpan w:val="7"/>
            <w:tcBorders>
              <w:left w:val="single" w:sz="4" w:space="0" w:color="156082"/>
            </w:tcBorders>
            <w:shd w:val="clear" w:color="auto" w:fill="BDD6EE" w:themeFill="accent5" w:themeFillTint="66"/>
          </w:tcPr>
          <w:p w14:paraId="301D41A6" w14:textId="79B89026" w:rsidR="00A33431" w:rsidRPr="004F1D15" w:rsidRDefault="00223319"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hAnsi="Arial"/>
                <w:sz w:val="20"/>
                <w:szCs w:val="20"/>
                <w:lang w:val="en-GB"/>
              </w:rPr>
            </w:pPr>
            <w:r w:rsidRPr="00223319">
              <w:rPr>
                <w:rFonts w:ascii="Arial" w:hAnsi="Arial"/>
                <w:b/>
                <w:bCs/>
                <w:sz w:val="20"/>
                <w:szCs w:val="20"/>
                <w:lang w:val="vi-VN"/>
              </w:rPr>
              <w:t xml:space="preserve">Thúc đẩy Doanh nghiệp tuân thủ Luật Bảo vệ Người tiêu dùng: </w:t>
            </w:r>
            <w:r w:rsidRPr="00223319">
              <w:rPr>
                <w:rFonts w:ascii="Arial" w:hAnsi="Arial"/>
                <w:sz w:val="20"/>
                <w:szCs w:val="20"/>
                <w:lang w:val="vi-VN"/>
              </w:rPr>
              <w:t>Tăng cường niềm tin của người tiêu dùng và mức độ tuân thủ của doanh nghiệp trực tuyến nhằm bảo đảm an toàn cho người tiêu dùng trong các hoạt động và giao dịch trực tuyến thông qua việc áp dụng Bộ Quy tắc Ứng xử Kinh doanh Trực tuyến ASEAN.</w:t>
            </w:r>
          </w:p>
        </w:tc>
      </w:tr>
      <w:tr w:rsidR="00EC69B5" w:rsidRPr="004F1D15" w14:paraId="64F6D858" w14:textId="77777777" w:rsidTr="6BB67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tcPr>
          <w:p w14:paraId="28CDE70F" w14:textId="4C6D7603" w:rsidR="00EC69B5" w:rsidRDefault="0048118C" w:rsidP="00A70B46">
            <w:pPr>
              <w:jc w:val="center"/>
              <w:rPr>
                <w:b w:val="0"/>
                <w:bCs w:val="0"/>
                <w:sz w:val="20"/>
                <w:szCs w:val="20"/>
              </w:rPr>
            </w:pPr>
            <w:r>
              <w:rPr>
                <w:sz w:val="20"/>
                <w:szCs w:val="20"/>
              </w:rPr>
              <w:t>5</w:t>
            </w:r>
            <w:r w:rsidR="00626ED1">
              <w:rPr>
                <w:sz w:val="20"/>
                <w:szCs w:val="20"/>
              </w:rPr>
              <w:t>.2.9</w:t>
            </w:r>
            <w:r w:rsidR="00986B6C" w:rsidRPr="004F1D15">
              <w:rPr>
                <w:bCs w:val="0"/>
                <w:sz w:val="20"/>
                <w:szCs w:val="20"/>
              </w:rPr>
              <w:t>.1</w:t>
            </w:r>
          </w:p>
          <w:p w14:paraId="6D8F182F" w14:textId="61B9DAF1" w:rsidR="00A33431" w:rsidRPr="00514A93" w:rsidRDefault="00223319" w:rsidP="00A70B46">
            <w:pPr>
              <w:jc w:val="center"/>
              <w:rPr>
                <w:sz w:val="20"/>
                <w:szCs w:val="20"/>
              </w:rPr>
            </w:pPr>
            <w:r w:rsidRPr="00223319">
              <w:rPr>
                <w:sz w:val="20"/>
                <w:szCs w:val="20"/>
              </w:rPr>
              <w:t>Tăng cường Bộ Quy tắc Ứng xử Kinh doanh Trực tuyến ASEAN</w:t>
            </w:r>
          </w:p>
        </w:tc>
        <w:tc>
          <w:tcPr>
            <w:tcW w:w="3764" w:type="dxa"/>
            <w:tcBorders>
              <w:left w:val="single" w:sz="4" w:space="0" w:color="156082"/>
              <w:right w:val="single" w:sz="4" w:space="0" w:color="156082"/>
            </w:tcBorders>
          </w:tcPr>
          <w:p w14:paraId="4E6BA8D5" w14:textId="3C513F76" w:rsidR="002536AF" w:rsidRPr="00DD3238" w:rsidRDefault="00223319" w:rsidP="00E24CA3">
            <w:pPr>
              <w:pStyle w:val="ListParagraph"/>
              <w:numPr>
                <w:ilvl w:val="0"/>
                <w:numId w:val="50"/>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rPr>
            </w:pPr>
            <w:r w:rsidRPr="00223319">
              <w:rPr>
                <w:rFonts w:ascii="Arial" w:eastAsia="DengXian" w:hAnsi="Arial"/>
                <w:b/>
                <w:bCs/>
                <w:sz w:val="20"/>
                <w:szCs w:val="20"/>
                <w:lang w:val="vi-VN"/>
              </w:rPr>
              <w:t>Tăng cường Bộ Quy tắc Ứng xử Kinh doanh Trực tuyến ASEAN:</w:t>
            </w:r>
            <w:r w:rsidRPr="00223319">
              <w:rPr>
                <w:rFonts w:ascii="Arial" w:eastAsia="DengXian" w:hAnsi="Arial"/>
                <w:sz w:val="20"/>
                <w:szCs w:val="20"/>
                <w:lang w:val="vi-VN"/>
              </w:rPr>
              <w:t xml:space="preserve"> Bổ sung và hoàn thiện Bộ Quy tắc nhằm cung cấp hướng dẫn chi tiết hơn cho từng nhóm chủ thể kinh doanh trong hệ sinh thái kinh tế số.</w:t>
            </w:r>
            <w:r w:rsidR="00C81AF7">
              <w:rPr>
                <w:rStyle w:val="FootnoteReference"/>
                <w:rFonts w:ascii="Arial" w:eastAsia="DengXian" w:hAnsi="Arial"/>
                <w:sz w:val="20"/>
                <w:szCs w:val="20"/>
              </w:rPr>
              <w:footnoteReference w:id="354"/>
            </w:r>
          </w:p>
          <w:p w14:paraId="2C9C07E9" w14:textId="7AED2D08" w:rsidR="002536AF" w:rsidRPr="002536AF" w:rsidRDefault="00223319" w:rsidP="00C82E40">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223319">
              <w:rPr>
                <w:rFonts w:ascii="Arial" w:hAnsi="Arial"/>
                <w:b/>
                <w:bCs/>
                <w:sz w:val="20"/>
                <w:szCs w:val="20"/>
                <w:lang w:val="vi-VN"/>
              </w:rPr>
              <w:t xml:space="preserve">Gắn kết các bên liên quan: </w:t>
            </w:r>
            <w:r w:rsidRPr="00223319">
              <w:rPr>
                <w:rFonts w:ascii="Arial" w:hAnsi="Arial"/>
                <w:sz w:val="20"/>
                <w:szCs w:val="20"/>
                <w:lang w:val="vi-VN"/>
              </w:rPr>
              <w:t>Tương tác với các bên liên quan chủ chốt, bao gồm cơ quan quản lý, doanh nghiệp (bao gồm cả MSME), và các tổ chức bảo vệ người tiêu dùng nhằm hỗ trợ phát triển và phổ biến phiên bản cập nhật của Bộ Quy tắc Ứng xử Kinh doanh Trực tuyến ASEAN.</w:t>
            </w:r>
          </w:p>
        </w:tc>
        <w:tc>
          <w:tcPr>
            <w:tcW w:w="3764" w:type="dxa"/>
            <w:gridSpan w:val="2"/>
            <w:tcBorders>
              <w:left w:val="single" w:sz="4" w:space="0" w:color="156082"/>
              <w:right w:val="single" w:sz="4" w:space="0" w:color="156082"/>
            </w:tcBorders>
          </w:tcPr>
          <w:p w14:paraId="464E48DE" w14:textId="327A4344" w:rsidR="00EC69B5" w:rsidRPr="004F1D15" w:rsidRDefault="0022331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Ngắn</w:t>
            </w:r>
            <w:r>
              <w:rPr>
                <w:sz w:val="20"/>
                <w:szCs w:val="20"/>
                <w:lang w:val="vi-VN"/>
              </w:rPr>
              <w:t xml:space="preserve"> hạn</w:t>
            </w:r>
            <w:r w:rsidR="00EC69B5" w:rsidRPr="004F1D15">
              <w:rPr>
                <w:sz w:val="20"/>
                <w:szCs w:val="20"/>
              </w:rPr>
              <w:t>:</w:t>
            </w:r>
          </w:p>
          <w:p w14:paraId="6BE50C75" w14:textId="77777777" w:rsidR="00223319" w:rsidRPr="00223319" w:rsidRDefault="00223319" w:rsidP="00223319">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223319">
              <w:rPr>
                <w:rFonts w:ascii="Arial" w:eastAsia="DengXian" w:hAnsi="Arial"/>
                <w:sz w:val="20"/>
                <w:szCs w:val="20"/>
                <w:lang w:val="en-GB"/>
              </w:rPr>
              <w:t>Thành lập lực lượng đặc nhiệm khu vực gồm: ACCP, ACCMSME, đại diện chính phủ các nước ASEAN, doanh nghiệp (bao gồm MSME) và các tổ chức bảo vệ người tiêu dùng.</w:t>
            </w:r>
          </w:p>
          <w:p w14:paraId="4D1BDBA4" w14:textId="6D100661" w:rsidR="00223319" w:rsidRPr="00223319" w:rsidRDefault="00223319" w:rsidP="00223319">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223319">
              <w:rPr>
                <w:rFonts w:ascii="Arial" w:eastAsia="DengXian" w:hAnsi="Arial"/>
                <w:sz w:val="20"/>
                <w:szCs w:val="20"/>
                <w:lang w:val="en-GB"/>
              </w:rPr>
              <w:t>Tiến hành rà soát Bộ Quy tắc Ứng xử Kinh doanh Trực tuyến ASEAN cùng với các quy định pháp lý hiện hành và sắp ban hành, các sáng kiến quản lý và tiêu chuẩn trên toàn ASEAN nhằm xác định các khoảng trống và cơ hội trong bảo vệ người tiêu dùng và an toàn trực tuyến.</w:t>
            </w:r>
          </w:p>
          <w:p w14:paraId="6F8C24B1" w14:textId="46275E3F" w:rsidR="00F967EE" w:rsidRPr="00223319" w:rsidRDefault="00223319" w:rsidP="00223319">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223319">
              <w:rPr>
                <w:rFonts w:ascii="Arial" w:eastAsia="DengXian" w:hAnsi="Arial"/>
                <w:sz w:val="20"/>
                <w:szCs w:val="20"/>
                <w:lang w:val="en-GB"/>
              </w:rPr>
              <w:t>Tổ chức tham vấn các bên liên quan để thu thập phản hồi và xây dựng đồng thuận.</w:t>
            </w:r>
            <w:r w:rsidR="00F967EE" w:rsidRPr="00223319">
              <w:rPr>
                <w:rFonts w:eastAsia="DengXian"/>
                <w:sz w:val="20"/>
                <w:szCs w:val="20"/>
              </w:rPr>
              <w:t xml:space="preserve"> </w:t>
            </w:r>
          </w:p>
          <w:p w14:paraId="25D41396" w14:textId="2847E8D5" w:rsidR="00986B6C" w:rsidRPr="004F1D15" w:rsidRDefault="0032330B" w:rsidP="00986B6C">
            <w:pPr>
              <w:cnfStyle w:val="000000100000" w:firstRow="0" w:lastRow="0" w:firstColumn="0" w:lastColumn="0" w:oddVBand="0" w:evenVBand="0" w:oddHBand="1" w:evenHBand="0" w:firstRowFirstColumn="0" w:firstRowLastColumn="0" w:lastRowFirstColumn="0" w:lastRowLastColumn="0"/>
              <w:rPr>
                <w:sz w:val="20"/>
                <w:szCs w:val="20"/>
              </w:rPr>
            </w:pPr>
            <w:r w:rsidRPr="00516087">
              <w:rPr>
                <w:sz w:val="20"/>
                <w:szCs w:val="20"/>
              </w:rPr>
              <w:lastRenderedPageBreak/>
              <w:br/>
            </w:r>
            <w:r w:rsidR="00223319">
              <w:rPr>
                <w:sz w:val="20"/>
                <w:szCs w:val="20"/>
              </w:rPr>
              <w:t>Trung</w:t>
            </w:r>
            <w:r w:rsidR="00223319">
              <w:rPr>
                <w:sz w:val="20"/>
                <w:szCs w:val="20"/>
                <w:lang w:val="vi-VN"/>
              </w:rPr>
              <w:t xml:space="preserve"> hạn</w:t>
            </w:r>
            <w:r w:rsidR="00986B6C" w:rsidRPr="004F1D15">
              <w:rPr>
                <w:sz w:val="20"/>
                <w:szCs w:val="20"/>
              </w:rPr>
              <w:t>:</w:t>
            </w:r>
          </w:p>
          <w:p w14:paraId="5446BD09" w14:textId="245A59EE" w:rsidR="005D7E90" w:rsidRPr="005D7E90" w:rsidRDefault="005D7E90" w:rsidP="005D7E9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vi-VN"/>
              </w:rPr>
            </w:pPr>
            <w:r w:rsidRPr="005D7E90">
              <w:rPr>
                <w:rFonts w:ascii="Arial" w:eastAsia="DengXian" w:hAnsi="Arial"/>
                <w:sz w:val="20"/>
                <w:szCs w:val="20"/>
                <w:lang w:val="vi-VN"/>
              </w:rPr>
              <w:t>Soạn thảo và phê duyệt Bộ Quy tắc Ứng xử Kinh doanh Trực tuyến ASEAN được cập nhật, nêu rõ các nội dung điều chỉnh, hoạt động cần triển khai, thời gian và nguồn lực yêu cầu ở cấp quốc gia và khu vực, đồng thời tiếp thu ý kiến từ cơ quan quản lý và chuyên gia ngành. Bảo đảm sự phù hợp với Các Nguyên tắc Cấp cao của ASEAN về Bảo vệ Người tiêu dùng (ASEAN High-Level Principles on Consumer Protection).</w:t>
            </w:r>
          </w:p>
          <w:p w14:paraId="38CEED31" w14:textId="5487F58F" w:rsidR="005D7E90" w:rsidRPr="005D7E90" w:rsidRDefault="005D7E90" w:rsidP="005D7E9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vi-VN"/>
              </w:rPr>
            </w:pPr>
            <w:r w:rsidRPr="005D7E90">
              <w:rPr>
                <w:rFonts w:ascii="Arial" w:eastAsia="DengXian" w:hAnsi="Arial"/>
                <w:sz w:val="20"/>
                <w:szCs w:val="20"/>
                <w:lang w:val="vi-VN"/>
              </w:rPr>
              <w:t>Xây dựng các hướng dẫn bổ trợ và tài liệu đào tạo để hỗ trợ triển khai Bộ Quy tắc ở cấp quốc gia và trong toàn ngành trên phạm vi ASEAN.</w:t>
            </w:r>
          </w:p>
          <w:p w14:paraId="3C76DF57" w14:textId="44A93D77" w:rsidR="00B11DD9" w:rsidRPr="005D7E90" w:rsidRDefault="005D7E90" w:rsidP="005D7E9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5D7E90">
              <w:rPr>
                <w:rFonts w:ascii="Arial" w:eastAsia="DengXian" w:hAnsi="Arial"/>
                <w:sz w:val="20"/>
                <w:szCs w:val="20"/>
                <w:lang w:val="vi-VN"/>
              </w:rPr>
              <w:t>Tiếp tục duy trì tham vấn với các bên liên quan để theo dõi tiến trình áp dụng Bộ Quy tắc.</w:t>
            </w:r>
            <w:r w:rsidR="00B25972" w:rsidRPr="005D7E90">
              <w:rPr>
                <w:rFonts w:ascii="Arial" w:eastAsia="DengXian" w:hAnsi="Arial"/>
                <w:sz w:val="20"/>
                <w:szCs w:val="20"/>
                <w:lang w:val="en-GB"/>
              </w:rPr>
              <w:t xml:space="preserve"> </w:t>
            </w:r>
            <w:r w:rsidR="00A600BD" w:rsidRPr="005D7E90">
              <w:rPr>
                <w:rFonts w:eastAsia="DengXian"/>
                <w:sz w:val="20"/>
                <w:szCs w:val="20"/>
              </w:rPr>
              <w:br/>
            </w:r>
          </w:p>
          <w:p w14:paraId="09050A68" w14:textId="0D3C72F4" w:rsidR="00EC69B5" w:rsidRPr="004F1D15" w:rsidRDefault="005D7E9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Dài</w:t>
            </w:r>
            <w:r>
              <w:rPr>
                <w:sz w:val="20"/>
                <w:szCs w:val="20"/>
                <w:lang w:val="vi-VN"/>
              </w:rPr>
              <w:t xml:space="preserve"> hạn</w:t>
            </w:r>
            <w:r w:rsidR="00EC69B5" w:rsidRPr="004F1D15">
              <w:rPr>
                <w:sz w:val="20"/>
                <w:szCs w:val="20"/>
              </w:rPr>
              <w:t>:</w:t>
            </w:r>
          </w:p>
          <w:p w14:paraId="66058C4D" w14:textId="77777777" w:rsidR="005D7E90" w:rsidRPr="005D7E90" w:rsidRDefault="005D7E90" w:rsidP="005D7E9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5D7E90">
              <w:rPr>
                <w:rFonts w:ascii="Arial" w:eastAsia="DengXian" w:hAnsi="Arial"/>
                <w:sz w:val="20"/>
                <w:szCs w:val="20"/>
                <w:lang w:val="en-GB"/>
              </w:rPr>
              <w:t>Đạt mức độ áp dụng toàn diện Bộ Quy tắc Ứng xử Kinh doanh Trực tuyến ASEAN trong các quốc gia thành viên ASEAN và cộng đồng doanh nghiệp.</w:t>
            </w:r>
          </w:p>
          <w:p w14:paraId="58DBD3BA" w14:textId="4223C1F0" w:rsidR="00EC69B5" w:rsidRPr="000F4155" w:rsidRDefault="005D7E90" w:rsidP="005D7E9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5D7E90">
              <w:rPr>
                <w:rFonts w:ascii="Arial" w:eastAsia="DengXian" w:hAnsi="Arial"/>
                <w:sz w:val="20"/>
                <w:szCs w:val="20"/>
                <w:lang w:val="en-GB"/>
              </w:rPr>
              <w:t>Tiếp tục theo dõi, cập nhật và tăng cường Bộ Quy tắc dựa trên phản hồi và thay đổi pháp lý trong toàn khu vực.</w:t>
            </w:r>
          </w:p>
        </w:tc>
        <w:tc>
          <w:tcPr>
            <w:tcW w:w="2318" w:type="dxa"/>
            <w:gridSpan w:val="2"/>
            <w:tcBorders>
              <w:left w:val="single" w:sz="4" w:space="0" w:color="156082"/>
              <w:right w:val="single" w:sz="4" w:space="0" w:color="156082"/>
            </w:tcBorders>
          </w:tcPr>
          <w:p w14:paraId="40B88709" w14:textId="7BC92700" w:rsidR="00EC69B5" w:rsidRPr="004F1D15" w:rsidRDefault="008D007A">
            <w:pPr>
              <w:cnfStyle w:val="000000100000" w:firstRow="0" w:lastRow="0" w:firstColumn="0" w:lastColumn="0" w:oddVBand="0" w:evenVBand="0" w:oddHBand="1" w:evenHBand="0" w:firstRowFirstColumn="0" w:firstRowLastColumn="0" w:lastRowFirstColumn="0" w:lastRowLastColumn="0"/>
              <w:rPr>
                <w:sz w:val="20"/>
                <w:szCs w:val="20"/>
              </w:rPr>
            </w:pPr>
            <w:r w:rsidRPr="008D007A">
              <w:rPr>
                <w:sz w:val="20"/>
                <w:szCs w:val="20"/>
              </w:rPr>
              <w:lastRenderedPageBreak/>
              <w:t>Cơ quan điều phối lĩnh vực chính</w:t>
            </w:r>
            <w:r w:rsidR="44A2C2F2" w:rsidRPr="004F1D15">
              <w:rPr>
                <w:sz w:val="20"/>
                <w:szCs w:val="20"/>
              </w:rPr>
              <w:t>:</w:t>
            </w:r>
          </w:p>
          <w:p w14:paraId="6746A63F" w14:textId="515D1322" w:rsidR="00C562D0" w:rsidRDefault="008D007A" w:rsidP="00C562D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8D007A">
              <w:rPr>
                <w:rFonts w:ascii="Arial" w:eastAsia="DengXian" w:hAnsi="Arial"/>
                <w:sz w:val="20"/>
                <w:szCs w:val="20"/>
                <w:lang w:val="en-GB"/>
              </w:rPr>
              <w:t xml:space="preserve">Ủy ban Bảo vệ Người tiêu dùng ASEAN </w:t>
            </w:r>
            <w:r w:rsidR="00C562D0">
              <w:rPr>
                <w:rFonts w:ascii="Arial" w:eastAsia="DengXian" w:hAnsi="Arial"/>
                <w:sz w:val="20"/>
                <w:szCs w:val="20"/>
                <w:lang w:val="en-GB"/>
              </w:rPr>
              <w:t>(ACCP)</w:t>
            </w:r>
          </w:p>
          <w:p w14:paraId="55AEE1CE" w14:textId="3B0B6FD7" w:rsidR="00C562D0" w:rsidRPr="00C562D0" w:rsidRDefault="00C562D0" w:rsidP="00C562D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br/>
            </w:r>
            <w:r w:rsidR="008D007A" w:rsidRPr="008D007A">
              <w:rPr>
                <w:sz w:val="20"/>
                <w:szCs w:val="20"/>
              </w:rPr>
              <w:t>Các cơ quan hỗ trợ</w:t>
            </w:r>
            <w:r>
              <w:rPr>
                <w:sz w:val="20"/>
                <w:szCs w:val="20"/>
              </w:rPr>
              <w:t xml:space="preserve">: </w:t>
            </w:r>
          </w:p>
          <w:p w14:paraId="2B0032FE" w14:textId="3DB2E0C3" w:rsidR="00EC69B5" w:rsidRDefault="008D007A" w:rsidP="00C82E4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8D007A">
              <w:rPr>
                <w:rFonts w:ascii="Arial" w:eastAsia="DengXian" w:hAnsi="Arial"/>
                <w:sz w:val="20"/>
                <w:szCs w:val="20"/>
                <w:lang w:val="en-GB"/>
              </w:rPr>
              <w:t xml:space="preserve">Ủy ban Điều phối ASEAN về Doanh nghiệp Vừa, Nhỏ và Siêu nhỏ </w:t>
            </w:r>
            <w:r w:rsidR="00986B6C" w:rsidRPr="004F1D15">
              <w:rPr>
                <w:rFonts w:ascii="Arial" w:eastAsia="DengXian" w:hAnsi="Arial"/>
                <w:sz w:val="20"/>
                <w:szCs w:val="20"/>
                <w:lang w:val="en-GB"/>
              </w:rPr>
              <w:t>(ACCMSME)</w:t>
            </w:r>
          </w:p>
          <w:p w14:paraId="139F5B30" w14:textId="3E5906F7" w:rsidR="0036589F" w:rsidRDefault="008D007A" w:rsidP="00C82E4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8D007A">
              <w:rPr>
                <w:rFonts w:ascii="Arial" w:eastAsia="DengXian" w:hAnsi="Arial"/>
                <w:sz w:val="20"/>
                <w:szCs w:val="20"/>
                <w:lang w:val="en-GB"/>
              </w:rPr>
              <w:t xml:space="preserve">Ủy ban Điều phối ASEAN về Thương mại Điện tử và Kinh tế Số </w:t>
            </w:r>
            <w:r w:rsidR="00543413" w:rsidRPr="00773CBA">
              <w:rPr>
                <w:rFonts w:ascii="Arial" w:eastAsia="DengXian" w:hAnsi="Arial"/>
                <w:sz w:val="20"/>
                <w:szCs w:val="20"/>
                <w:lang w:val="en-GB"/>
              </w:rPr>
              <w:t>(ACCED)</w:t>
            </w:r>
          </w:p>
          <w:p w14:paraId="369E1E46" w14:textId="4F6B4338" w:rsidR="00800A11" w:rsidRPr="004F1D15" w:rsidRDefault="008D007A" w:rsidP="00C82E4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8D007A">
              <w:rPr>
                <w:rFonts w:ascii="Arial" w:eastAsia="DengXian" w:hAnsi="Arial"/>
                <w:sz w:val="20"/>
                <w:szCs w:val="20"/>
                <w:lang w:val="en-GB"/>
              </w:rPr>
              <w:lastRenderedPageBreak/>
              <w:t xml:space="preserve">Nhóm Công tác về Tội phạm mạng thuộc Hội nghị Quan chức cấp cao ASEAN về Phòng chống Tội phạm xuyên quốc gia </w:t>
            </w:r>
            <w:r w:rsidR="00800A11" w:rsidRPr="00800A11">
              <w:rPr>
                <w:rFonts w:ascii="Arial" w:eastAsia="DengXian" w:hAnsi="Arial"/>
                <w:sz w:val="20"/>
                <w:szCs w:val="20"/>
                <w:lang w:val="en-GB"/>
              </w:rPr>
              <w:t>(WG on CC)</w:t>
            </w:r>
          </w:p>
        </w:tc>
        <w:tc>
          <w:tcPr>
            <w:tcW w:w="3774" w:type="dxa"/>
            <w:gridSpan w:val="2"/>
            <w:tcBorders>
              <w:left w:val="single" w:sz="4" w:space="0" w:color="156082"/>
            </w:tcBorders>
          </w:tcPr>
          <w:p w14:paraId="2572E7A6" w14:textId="3B5E1A9E" w:rsidR="00EC69B5" w:rsidRPr="004F1D15" w:rsidRDefault="00266B18">
            <w:pPr>
              <w:cnfStyle w:val="000000100000" w:firstRow="0" w:lastRow="0" w:firstColumn="0" w:lastColumn="0" w:oddVBand="0" w:evenVBand="0" w:oddHBand="1" w:evenHBand="0" w:firstRowFirstColumn="0" w:firstRowLastColumn="0" w:lastRowFirstColumn="0" w:lastRowLastColumn="0"/>
              <w:rPr>
                <w:sz w:val="20"/>
                <w:szCs w:val="20"/>
              </w:rPr>
            </w:pPr>
            <w:r w:rsidRPr="00266B18">
              <w:rPr>
                <w:sz w:val="20"/>
                <w:szCs w:val="20"/>
              </w:rPr>
              <w:lastRenderedPageBreak/>
              <w:t>Các thước đo tiến độ chung</w:t>
            </w:r>
            <w:r w:rsidR="00EC69B5" w:rsidRPr="004F1D15">
              <w:rPr>
                <w:sz w:val="20"/>
                <w:szCs w:val="20"/>
              </w:rPr>
              <w:t>:</w:t>
            </w:r>
          </w:p>
          <w:p w14:paraId="68111461" w14:textId="44667448" w:rsidR="001F3BD7" w:rsidRPr="00266B18" w:rsidRDefault="00266B18" w:rsidP="001F3BD7">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bCs/>
                <w:sz w:val="20"/>
                <w:szCs w:val="20"/>
                <w:lang w:val="en-GB"/>
              </w:rPr>
            </w:pPr>
            <w:r w:rsidRPr="00266B18">
              <w:rPr>
                <w:rFonts w:ascii="Arial" w:hAnsi="Arial"/>
                <w:b/>
                <w:sz w:val="20"/>
                <w:szCs w:val="20"/>
                <w:lang w:val="en-GB"/>
              </w:rPr>
              <w:t xml:space="preserve">Phát triển hướng dẫn theo ngành: </w:t>
            </w:r>
            <w:r w:rsidRPr="00266B18">
              <w:rPr>
                <w:rFonts w:ascii="Arial" w:hAnsi="Arial"/>
                <w:bCs/>
                <w:sz w:val="20"/>
                <w:szCs w:val="20"/>
                <w:lang w:val="en-GB"/>
              </w:rPr>
              <w:t>Hoàn thành dự thảo hướng dẫn chi tiết cho các nhóm chủ thể chính như nền tảng thương mại điện tử, nhà cung cấp dịch vụ thanh toán, đơn vị logistics và người tiêu dùng, bảo đảm các tiêu chuẩn hành xử rõ ràng cho từng nhóm</w:t>
            </w:r>
            <w:r w:rsidR="001F3BD7" w:rsidRPr="00266B18">
              <w:rPr>
                <w:rFonts w:ascii="Arial" w:hAnsi="Arial"/>
                <w:bCs/>
                <w:sz w:val="20"/>
                <w:szCs w:val="20"/>
                <w:lang w:val="en-GB"/>
              </w:rPr>
              <w:t>.</w:t>
            </w:r>
          </w:p>
          <w:p w14:paraId="08004A56" w14:textId="31E4402E" w:rsidR="001F3BD7" w:rsidRPr="004F1D15" w:rsidRDefault="00266B18" w:rsidP="001F3BD7">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sz w:val="20"/>
                <w:szCs w:val="20"/>
                <w:lang w:val="en-GB"/>
              </w:rPr>
            </w:pPr>
            <w:r w:rsidRPr="00266B18">
              <w:rPr>
                <w:rFonts w:ascii="Arial" w:hAnsi="Arial"/>
                <w:b/>
                <w:sz w:val="20"/>
                <w:szCs w:val="20"/>
                <w:lang w:val="en-GB"/>
              </w:rPr>
              <w:t xml:space="preserve">Phản hồi từ các bên liên quan: </w:t>
            </w:r>
            <w:r w:rsidRPr="00266B18">
              <w:rPr>
                <w:rFonts w:ascii="Arial" w:hAnsi="Arial"/>
                <w:bCs/>
                <w:sz w:val="20"/>
                <w:szCs w:val="20"/>
                <w:lang w:val="en-GB"/>
              </w:rPr>
              <w:t>Thu thập phản hồi từ doanh nghiệp và các bên liên quan về mức độ hiệu quả và tính rõ ràng của Bộ Quy tắc.</w:t>
            </w:r>
          </w:p>
          <w:p w14:paraId="453CF545" w14:textId="5E9425D7" w:rsidR="001F3BD7" w:rsidRPr="00266B18" w:rsidRDefault="00266B18" w:rsidP="001F3BD7">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bCs/>
                <w:sz w:val="20"/>
                <w:szCs w:val="20"/>
                <w:lang w:val="en-GB"/>
              </w:rPr>
            </w:pPr>
            <w:r w:rsidRPr="00266B18">
              <w:rPr>
                <w:rFonts w:ascii="Arial" w:hAnsi="Arial"/>
                <w:b/>
                <w:sz w:val="20"/>
                <w:szCs w:val="20"/>
                <w:lang w:val="en-GB"/>
              </w:rPr>
              <w:t xml:space="preserve">Mức độ áp dụng và phổ biến: </w:t>
            </w:r>
            <w:r w:rsidRPr="00266B18">
              <w:rPr>
                <w:rFonts w:ascii="Arial" w:hAnsi="Arial"/>
                <w:bCs/>
                <w:sz w:val="20"/>
                <w:szCs w:val="20"/>
                <w:lang w:val="en-GB"/>
              </w:rPr>
              <w:t>Công bố và thúc đẩy việc áp dụng phiên bản Bộ Quy tắc được tăng cường</w:t>
            </w:r>
            <w:r w:rsidR="001F3BD7" w:rsidRPr="00266B18">
              <w:rPr>
                <w:rFonts w:ascii="Arial" w:hAnsi="Arial"/>
                <w:bCs/>
                <w:sz w:val="20"/>
                <w:szCs w:val="20"/>
                <w:lang w:val="en-GB"/>
              </w:rPr>
              <w:t>.</w:t>
            </w:r>
          </w:p>
          <w:p w14:paraId="27E3B080" w14:textId="2A4BC062" w:rsidR="00EC69B5" w:rsidRPr="004F1D15" w:rsidRDefault="00EC69B5" w:rsidP="00A70B46">
            <w:pPr>
              <w:pStyle w:val="ListParagraph"/>
              <w:numPr>
                <w:ilvl w:val="0"/>
                <w:numId w:val="0"/>
              </w:numPr>
              <w:ind w:left="360"/>
              <w:cnfStyle w:val="000000100000" w:firstRow="0" w:lastRow="0" w:firstColumn="0" w:lastColumn="0" w:oddVBand="0" w:evenVBand="0" w:oddHBand="1" w:evenHBand="0" w:firstRowFirstColumn="0" w:firstRowLastColumn="0" w:lastRowFirstColumn="0" w:lastRowLastColumn="0"/>
              <w:rPr>
                <w:sz w:val="20"/>
                <w:szCs w:val="20"/>
                <w:lang w:val="en-GB"/>
              </w:rPr>
            </w:pPr>
          </w:p>
        </w:tc>
      </w:tr>
    </w:tbl>
    <w:p w14:paraId="699B3F46" w14:textId="77777777" w:rsidR="005A7FFA" w:rsidRPr="004F1D15" w:rsidRDefault="005A7FFA" w:rsidP="007664A3">
      <w:pPr>
        <w:rPr>
          <w:sz w:val="20"/>
          <w:szCs w:val="20"/>
        </w:rPr>
      </w:pPr>
    </w:p>
    <w:p w14:paraId="0B8A0BB6" w14:textId="6222C9B9" w:rsidR="005A7FFA" w:rsidRPr="004F1D15" w:rsidRDefault="00954709" w:rsidP="00C82E40">
      <w:pPr>
        <w:pStyle w:val="Heading4"/>
        <w:rPr>
          <w:sz w:val="20"/>
          <w:lang w:val="en-GB"/>
        </w:rPr>
      </w:pPr>
      <w:r>
        <w:rPr>
          <w:sz w:val="20"/>
          <w:lang w:val="en-GB"/>
        </w:rPr>
        <w:lastRenderedPageBreak/>
        <w:t>Danh</w:t>
      </w:r>
      <w:r>
        <w:rPr>
          <w:sz w:val="20"/>
          <w:lang w:val="vi-VN"/>
        </w:rPr>
        <w:t xml:space="preserve"> mục</w:t>
      </w:r>
      <w:r w:rsidR="00CC6EE0" w:rsidRPr="004F1D15">
        <w:rPr>
          <w:sz w:val="20"/>
          <w:lang w:val="en-GB"/>
        </w:rPr>
        <w:t xml:space="preserve"> </w:t>
      </w:r>
      <w:r w:rsidR="005A7FFA" w:rsidRPr="004F1D15">
        <w:rPr>
          <w:sz w:val="20"/>
          <w:lang w:val="en-GB"/>
        </w:rPr>
        <w:t>3:</w:t>
      </w:r>
      <w:r>
        <w:rPr>
          <w:sz w:val="20"/>
          <w:lang w:val="en-GB"/>
        </w:rPr>
        <w:t>Phát</w:t>
      </w:r>
      <w:r>
        <w:rPr>
          <w:sz w:val="20"/>
          <w:lang w:val="vi-VN"/>
        </w:rPr>
        <w:t xml:space="preserve"> triển Hạ tầng Số</w:t>
      </w:r>
    </w:p>
    <w:tbl>
      <w:tblPr>
        <w:tblStyle w:val="ListTable3-Accent11"/>
        <w:tblW w:w="15314" w:type="dxa"/>
        <w:tblLook w:val="04A0" w:firstRow="1" w:lastRow="0" w:firstColumn="1" w:lastColumn="0" w:noHBand="0" w:noVBand="1"/>
      </w:tblPr>
      <w:tblGrid>
        <w:gridCol w:w="1694"/>
        <w:gridCol w:w="3764"/>
        <w:gridCol w:w="7"/>
        <w:gridCol w:w="3757"/>
        <w:gridCol w:w="15"/>
        <w:gridCol w:w="2303"/>
        <w:gridCol w:w="14"/>
        <w:gridCol w:w="3760"/>
      </w:tblGrid>
      <w:tr w:rsidR="00EC69B5" w:rsidRPr="004F1D15" w14:paraId="0D6B75F2" w14:textId="77777777" w:rsidTr="00AC0A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4" w:type="dxa"/>
            <w:tcBorders>
              <w:bottom w:val="single" w:sz="4" w:space="0" w:color="156082"/>
            </w:tcBorders>
            <w:shd w:val="clear" w:color="auto" w:fill="002060"/>
          </w:tcPr>
          <w:p w14:paraId="0974EDF2" w14:textId="65B73DB6" w:rsidR="00EC69B5" w:rsidRPr="00954709" w:rsidRDefault="00954709" w:rsidP="00AC0AE1">
            <w:pPr>
              <w:jc w:val="center"/>
              <w:rPr>
                <w:sz w:val="20"/>
                <w:szCs w:val="20"/>
                <w:lang w:val="vi-VN"/>
              </w:rPr>
            </w:pPr>
            <w:r>
              <w:rPr>
                <w:sz w:val="20"/>
                <w:szCs w:val="20"/>
              </w:rPr>
              <w:t>Khu</w:t>
            </w:r>
            <w:r>
              <w:rPr>
                <w:sz w:val="20"/>
                <w:szCs w:val="20"/>
                <w:lang w:val="vi-VN"/>
              </w:rPr>
              <w:t xml:space="preserve"> vực hành động</w:t>
            </w:r>
          </w:p>
        </w:tc>
        <w:tc>
          <w:tcPr>
            <w:tcW w:w="3771" w:type="dxa"/>
            <w:gridSpan w:val="2"/>
            <w:shd w:val="clear" w:color="auto" w:fill="002060"/>
          </w:tcPr>
          <w:p w14:paraId="65D905BF" w14:textId="302FBB7F" w:rsidR="00EC69B5" w:rsidRPr="00954709" w:rsidRDefault="00954709" w:rsidP="00AC0AE1">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Lĩnh</w:t>
            </w:r>
            <w:r>
              <w:rPr>
                <w:sz w:val="20"/>
                <w:szCs w:val="20"/>
                <w:lang w:val="vi-VN"/>
              </w:rPr>
              <w:t xml:space="preserve"> vực mục tiêu</w:t>
            </w:r>
          </w:p>
        </w:tc>
        <w:tc>
          <w:tcPr>
            <w:tcW w:w="3772" w:type="dxa"/>
            <w:gridSpan w:val="2"/>
            <w:shd w:val="clear" w:color="auto" w:fill="002060"/>
          </w:tcPr>
          <w:p w14:paraId="51BE705D" w14:textId="275F9117" w:rsidR="00EC69B5" w:rsidRPr="004F1D15" w:rsidRDefault="00CD5E47" w:rsidP="00AC0AE1">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Các</w:t>
            </w:r>
            <w:r>
              <w:rPr>
                <w:sz w:val="20"/>
                <w:szCs w:val="20"/>
                <w:lang w:val="vi-VN"/>
              </w:rPr>
              <w:t xml:space="preserve"> mốc dự kiến và khung thời gian tạm tính</w:t>
            </w:r>
            <w:r w:rsidR="00EC69B5" w:rsidRPr="004F1D15">
              <w:rPr>
                <w:sz w:val="20"/>
                <w:szCs w:val="20"/>
                <w:vertAlign w:val="superscript"/>
              </w:rPr>
              <w:footnoteReference w:id="355"/>
            </w:r>
          </w:p>
        </w:tc>
        <w:tc>
          <w:tcPr>
            <w:tcW w:w="2317" w:type="dxa"/>
            <w:gridSpan w:val="2"/>
            <w:shd w:val="clear" w:color="auto" w:fill="002060"/>
          </w:tcPr>
          <w:p w14:paraId="11E982EB" w14:textId="5DEFB526" w:rsidR="00EC69B5" w:rsidRPr="00CD5E47" w:rsidRDefault="00CD5E47" w:rsidP="00AC0AE1">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Các</w:t>
            </w:r>
            <w:r>
              <w:rPr>
                <w:sz w:val="20"/>
                <w:szCs w:val="20"/>
                <w:lang w:val="vi-VN"/>
              </w:rPr>
              <w:t xml:space="preserve"> bên chịu trách nhiệm chính</w:t>
            </w:r>
          </w:p>
        </w:tc>
        <w:tc>
          <w:tcPr>
            <w:tcW w:w="3760" w:type="dxa"/>
            <w:shd w:val="clear" w:color="auto" w:fill="002060"/>
          </w:tcPr>
          <w:p w14:paraId="465030C3" w14:textId="135B657F" w:rsidR="00EC69B5" w:rsidRPr="00CD5E47" w:rsidRDefault="00CD5E47" w:rsidP="00AC0AE1">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Thước</w:t>
            </w:r>
            <w:r>
              <w:rPr>
                <w:sz w:val="20"/>
                <w:szCs w:val="20"/>
                <w:lang w:val="vi-VN"/>
              </w:rPr>
              <w:t xml:space="preserve"> đo tiến độ</w:t>
            </w:r>
          </w:p>
        </w:tc>
      </w:tr>
      <w:tr w:rsidR="00EC69B5" w:rsidRPr="004F1D15" w14:paraId="441B769A" w14:textId="77777777" w:rsidTr="00AC0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shd w:val="clear" w:color="auto" w:fill="00B0F0"/>
          </w:tcPr>
          <w:p w14:paraId="6E9874DE" w14:textId="7147D144" w:rsidR="00EC69B5" w:rsidRPr="00954709" w:rsidRDefault="00954709">
            <w:pPr>
              <w:rPr>
                <w:sz w:val="20"/>
                <w:szCs w:val="20"/>
                <w:lang w:val="vi-VN"/>
              </w:rPr>
            </w:pPr>
            <w:r>
              <w:rPr>
                <w:sz w:val="20"/>
                <w:szCs w:val="20"/>
              </w:rPr>
              <w:t>Khu</w:t>
            </w:r>
            <w:r>
              <w:rPr>
                <w:sz w:val="20"/>
                <w:szCs w:val="20"/>
                <w:lang w:val="vi-VN"/>
              </w:rPr>
              <w:t xml:space="preserve"> vực hành động chính</w:t>
            </w:r>
          </w:p>
        </w:tc>
        <w:tc>
          <w:tcPr>
            <w:tcW w:w="13620" w:type="dxa"/>
            <w:gridSpan w:val="7"/>
            <w:tcBorders>
              <w:left w:val="single" w:sz="4" w:space="0" w:color="156082"/>
            </w:tcBorders>
            <w:shd w:val="clear" w:color="auto" w:fill="00B0F0"/>
          </w:tcPr>
          <w:p w14:paraId="69C84C13" w14:textId="7A968BC0" w:rsidR="00EC69B5" w:rsidRPr="00CD5E47" w:rsidRDefault="005147A1">
            <w:pPr>
              <w:cnfStyle w:val="000000100000" w:firstRow="0" w:lastRow="0" w:firstColumn="0" w:lastColumn="0" w:oddVBand="0" w:evenVBand="0" w:oddHBand="1" w:evenHBand="0" w:firstRowFirstColumn="0" w:firstRowLastColumn="0" w:lastRowFirstColumn="0" w:lastRowLastColumn="0"/>
              <w:rPr>
                <w:rFonts w:eastAsiaTheme="minorEastAsia"/>
                <w:b/>
                <w:bCs/>
                <w:sz w:val="20"/>
                <w:szCs w:val="20"/>
                <w:lang w:val="vi-VN"/>
              </w:rPr>
            </w:pPr>
            <w:r>
              <w:rPr>
                <w:b/>
                <w:sz w:val="20"/>
                <w:szCs w:val="20"/>
              </w:rPr>
              <w:t xml:space="preserve">6.2.9.3 </w:t>
            </w:r>
            <w:r w:rsidR="00CD5E47" w:rsidRPr="00CD5E47">
              <w:rPr>
                <w:b/>
                <w:sz w:val="20"/>
                <w:szCs w:val="20"/>
                <w:lang w:val="vi-VN"/>
              </w:rPr>
              <w:t>Tăng cường Hạ tầng Số phục vụ An toàn Trực tuyến</w:t>
            </w:r>
          </w:p>
        </w:tc>
      </w:tr>
      <w:tr w:rsidR="00EC69B5" w:rsidRPr="004F1D15" w14:paraId="045079FF" w14:textId="77777777" w:rsidTr="00AC0AE1">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156082"/>
              <w:bottom w:val="single" w:sz="4" w:space="0" w:color="156082"/>
              <w:right w:val="single" w:sz="4" w:space="0" w:color="156082"/>
            </w:tcBorders>
            <w:shd w:val="clear" w:color="auto" w:fill="BDD6EE" w:themeFill="accent5" w:themeFillTint="66"/>
          </w:tcPr>
          <w:p w14:paraId="6CA1DBE4" w14:textId="4A89B943" w:rsidR="00EC69B5" w:rsidRPr="00CD5E47" w:rsidRDefault="00CD5E47">
            <w:pPr>
              <w:rPr>
                <w:sz w:val="20"/>
                <w:szCs w:val="20"/>
                <w:lang w:val="vi-VN"/>
              </w:rPr>
            </w:pPr>
            <w:r>
              <w:rPr>
                <w:sz w:val="20"/>
                <w:szCs w:val="20"/>
              </w:rPr>
              <w:t>Mục</w:t>
            </w:r>
            <w:r>
              <w:rPr>
                <w:sz w:val="20"/>
                <w:szCs w:val="20"/>
                <w:lang w:val="vi-VN"/>
              </w:rPr>
              <w:t xml:space="preserve"> tiêu</w:t>
            </w:r>
          </w:p>
        </w:tc>
        <w:tc>
          <w:tcPr>
            <w:tcW w:w="13620" w:type="dxa"/>
            <w:gridSpan w:val="7"/>
            <w:tcBorders>
              <w:left w:val="single" w:sz="4" w:space="0" w:color="156082"/>
            </w:tcBorders>
            <w:shd w:val="clear" w:color="auto" w:fill="BDD6EE" w:themeFill="accent5" w:themeFillTint="66"/>
          </w:tcPr>
          <w:p w14:paraId="310189F2" w14:textId="741E5AC4" w:rsidR="00EC69B5" w:rsidRPr="00226BC3" w:rsidRDefault="00226BC3"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hAnsi="Arial"/>
                <w:sz w:val="20"/>
                <w:szCs w:val="20"/>
                <w:lang w:val="en-GB"/>
              </w:rPr>
            </w:pPr>
            <w:r w:rsidRPr="00226BC3">
              <w:rPr>
                <w:rFonts w:ascii="Arial" w:hAnsi="Arial"/>
                <w:b/>
                <w:bCs/>
                <w:sz w:val="20"/>
                <w:szCs w:val="20"/>
                <w:lang w:val="vi-VN"/>
              </w:rPr>
              <w:t xml:space="preserve">Hỗ trợ đổi mới sáng tạo: </w:t>
            </w:r>
            <w:r w:rsidRPr="00226BC3">
              <w:rPr>
                <w:rFonts w:ascii="Arial" w:hAnsi="Arial"/>
                <w:sz w:val="20"/>
                <w:szCs w:val="20"/>
                <w:lang w:val="vi-VN"/>
              </w:rPr>
              <w:t>Khuyến khích đổi mới nhằm đáp ứng nhu cầu an toàn trực tuyến và bảo vệ người tiêu dùng đang phát triển nhanh chóng, đồng thời thúc đẩy thương mại số.</w:t>
            </w:r>
          </w:p>
          <w:p w14:paraId="296AE142" w14:textId="309BFE28" w:rsidR="003507AA" w:rsidRPr="004F1D15" w:rsidRDefault="00226BC3"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hAnsi="Arial"/>
                <w:sz w:val="20"/>
                <w:szCs w:val="20"/>
                <w:lang w:val="en-GB"/>
              </w:rPr>
            </w:pPr>
            <w:r w:rsidRPr="00226BC3">
              <w:rPr>
                <w:rFonts w:ascii="Arial" w:hAnsi="Arial"/>
                <w:b/>
                <w:bCs/>
                <w:sz w:val="20"/>
                <w:szCs w:val="20"/>
                <w:u w:val="single"/>
                <w:lang w:val="vi-VN"/>
              </w:rPr>
              <w:t xml:space="preserve">Trao quyền cho người tiêu dùng và thúc đẩy tuân thủ của doanh nghiệp: </w:t>
            </w:r>
            <w:r w:rsidRPr="00226BC3">
              <w:rPr>
                <w:rFonts w:ascii="Arial" w:hAnsi="Arial"/>
                <w:sz w:val="20"/>
                <w:szCs w:val="20"/>
                <w:u w:val="single"/>
                <w:lang w:val="vi-VN"/>
              </w:rPr>
              <w:t>Tăng cường hoạt động tuyên truyền, nâng cao nhận thức cho người tiêu dùng và doanh nghiệp về các vấn đề bảo vệ người tiêu dùng mới nổi trong nền kinh tế số.</w:t>
            </w:r>
          </w:p>
        </w:tc>
      </w:tr>
      <w:tr w:rsidR="00EC69B5" w:rsidRPr="004F1D15" w14:paraId="1A048E1C" w14:textId="77777777" w:rsidTr="6BB67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tcPr>
          <w:p w14:paraId="1E64D706" w14:textId="68D7B1B8" w:rsidR="00EC69B5" w:rsidRPr="004F1D15" w:rsidRDefault="005147A1">
            <w:pPr>
              <w:rPr>
                <w:sz w:val="20"/>
                <w:szCs w:val="20"/>
              </w:rPr>
            </w:pPr>
            <w:r>
              <w:rPr>
                <w:sz w:val="20"/>
                <w:szCs w:val="20"/>
              </w:rPr>
              <w:t>6.2.9.3</w:t>
            </w:r>
            <w:r w:rsidR="00226BC3">
              <w:rPr>
                <w:sz w:val="20"/>
                <w:szCs w:val="20"/>
                <w:lang w:val="vi-VN"/>
              </w:rPr>
              <w:t xml:space="preserve"> </w:t>
            </w:r>
            <w:r w:rsidR="00226BC3" w:rsidRPr="00226BC3">
              <w:rPr>
                <w:sz w:val="20"/>
                <w:szCs w:val="20"/>
              </w:rPr>
              <w:t>Tăng cường Hạ tầng Số phục vụ An toàn Trực tuyến</w:t>
            </w:r>
          </w:p>
        </w:tc>
        <w:tc>
          <w:tcPr>
            <w:tcW w:w="3764" w:type="dxa"/>
            <w:tcBorders>
              <w:left w:val="single" w:sz="4" w:space="0" w:color="156082"/>
              <w:right w:val="single" w:sz="4" w:space="0" w:color="156082"/>
            </w:tcBorders>
          </w:tcPr>
          <w:p w14:paraId="2F489FA5" w14:textId="77777777" w:rsidR="00226BC3" w:rsidRPr="00226BC3" w:rsidRDefault="00226BC3" w:rsidP="00226BC3">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226BC3">
              <w:rPr>
                <w:rFonts w:ascii="Arial" w:hAnsi="Arial"/>
                <w:b/>
                <w:bCs/>
                <w:sz w:val="20"/>
                <w:szCs w:val="20"/>
                <w:lang w:val="en-GB"/>
              </w:rPr>
              <w:t xml:space="preserve">Nâng cấp hạ tầng: </w:t>
            </w:r>
            <w:r w:rsidRPr="00226BC3">
              <w:rPr>
                <w:rFonts w:ascii="Arial" w:hAnsi="Arial"/>
                <w:sz w:val="20"/>
                <w:szCs w:val="20"/>
                <w:lang w:val="en-GB"/>
              </w:rPr>
              <w:t>Nâng cấp và tăng cường hạ tầng số để hỗ trợ các tiêu chuẩn an toàn trực tuyến và bảo vệ người tiêu dùng.</w:t>
            </w:r>
          </w:p>
          <w:p w14:paraId="10213C09" w14:textId="154BBE70" w:rsidR="00226BC3" w:rsidRPr="00226BC3" w:rsidRDefault="00226BC3" w:rsidP="00226BC3">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226BC3">
              <w:rPr>
                <w:rFonts w:ascii="Arial" w:hAnsi="Arial"/>
                <w:b/>
                <w:bCs/>
                <w:sz w:val="20"/>
                <w:szCs w:val="20"/>
                <w:lang w:val="en-GB"/>
              </w:rPr>
              <w:t>Trung tâm đổi mới &amp; Sandbox:</w:t>
            </w:r>
            <w:r w:rsidRPr="00226BC3">
              <w:rPr>
                <w:rFonts w:ascii="Arial" w:hAnsi="Arial"/>
                <w:sz w:val="20"/>
                <w:szCs w:val="20"/>
                <w:lang w:val="en-GB"/>
              </w:rPr>
              <w:t xml:space="preserve"> Thúc đẩy và hỗ trợ các sáng kiến nghiên cứu – phát triển trong công nghệ liên quan đến an toàn trực tuyến và bảo vệ người tiêu dùng thông qua vườn ươm đổi mới, sandbox quy định và các dự án thử nghiệm nhằm kiểm nghiệm tiêu chuẩn mới, công nghệ mới, các trường hợp sử dụng và mô hình kinh doanh mới.</w:t>
            </w:r>
          </w:p>
          <w:p w14:paraId="6608D67F" w14:textId="3AF516AC" w:rsidR="00226BC3" w:rsidRPr="00226BC3" w:rsidRDefault="00226BC3" w:rsidP="00226BC3">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226BC3">
              <w:rPr>
                <w:rFonts w:ascii="Arial" w:hAnsi="Arial"/>
                <w:b/>
                <w:bCs/>
                <w:sz w:val="20"/>
                <w:szCs w:val="20"/>
                <w:lang w:val="en-GB"/>
              </w:rPr>
              <w:t>Đầu tư hạ tầng dài hạn:</w:t>
            </w:r>
            <w:r w:rsidRPr="00226BC3">
              <w:rPr>
                <w:rFonts w:ascii="Arial" w:hAnsi="Arial"/>
                <w:sz w:val="20"/>
                <w:szCs w:val="20"/>
                <w:lang w:val="en-GB"/>
              </w:rPr>
              <w:t xml:space="preserve"> Đầu tư phát triển dài hạn các công nghệ phù hợp với tiêu chuẩn quốc tế nhằm đảm bảo khả năng mở rộng và năng lực đón đầu các tiến bộ công nghệ trong tương lai.</w:t>
            </w:r>
          </w:p>
          <w:p w14:paraId="7C19ACEF" w14:textId="584036D3" w:rsidR="00226BC3" w:rsidRPr="00226BC3" w:rsidRDefault="00226BC3" w:rsidP="00226BC3">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226BC3">
              <w:rPr>
                <w:rFonts w:ascii="Arial" w:hAnsi="Arial"/>
                <w:b/>
                <w:bCs/>
                <w:sz w:val="20"/>
                <w:szCs w:val="20"/>
                <w:lang w:val="en-GB"/>
              </w:rPr>
              <w:lastRenderedPageBreak/>
              <w:t>Hạ tầng an ninh mạng:</w:t>
            </w:r>
            <w:r w:rsidRPr="00226BC3">
              <w:rPr>
                <w:rFonts w:ascii="Arial" w:hAnsi="Arial"/>
                <w:sz w:val="20"/>
                <w:szCs w:val="20"/>
                <w:lang w:val="en-GB"/>
              </w:rPr>
              <w:t xml:space="preserve"> Tăng cường biện pháp an ninh mạng nhằm bảo đảm an toàn trong toàn bộ các hoạt động và giao dịch số.</w:t>
            </w:r>
          </w:p>
          <w:p w14:paraId="64B84485" w14:textId="021570B2" w:rsidR="00EC69B5" w:rsidRPr="00226BC3" w:rsidRDefault="00226BC3" w:rsidP="00226BC3">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226BC3">
              <w:rPr>
                <w:rFonts w:ascii="Arial" w:hAnsi="Arial"/>
                <w:b/>
                <w:bCs/>
                <w:sz w:val="20"/>
                <w:szCs w:val="20"/>
                <w:lang w:val="en-GB"/>
              </w:rPr>
              <w:t>Trao quyền người tiêu dùng và thúc đẩy tuân thủ doanh nghiệp:</w:t>
            </w:r>
            <w:r w:rsidRPr="00226BC3">
              <w:rPr>
                <w:rFonts w:ascii="Arial" w:hAnsi="Arial"/>
                <w:sz w:val="20"/>
                <w:szCs w:val="20"/>
                <w:lang w:val="en-GB"/>
              </w:rPr>
              <w:t xml:space="preserve"> Tăng cường nhận thức của người tiêu dùng về các vấn đề bảo vệ người tiêu dùng trong nền kinh tế số và thúc đẩy doanh nghiệp tuân thủ luật bảo vệ người tiêu dùng.</w:t>
            </w:r>
          </w:p>
        </w:tc>
        <w:tc>
          <w:tcPr>
            <w:tcW w:w="3764" w:type="dxa"/>
            <w:gridSpan w:val="2"/>
            <w:tcBorders>
              <w:left w:val="single" w:sz="4" w:space="0" w:color="156082"/>
              <w:right w:val="single" w:sz="4" w:space="0" w:color="156082"/>
            </w:tcBorders>
          </w:tcPr>
          <w:p w14:paraId="1F492142" w14:textId="7C165899" w:rsidR="00EC69B5" w:rsidRPr="004F1D15" w:rsidRDefault="002E0CF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Ngắn</w:t>
            </w:r>
            <w:r>
              <w:rPr>
                <w:sz w:val="20"/>
                <w:szCs w:val="20"/>
                <w:lang w:val="vi-VN"/>
              </w:rPr>
              <w:t xml:space="preserve"> hạn</w:t>
            </w:r>
            <w:r w:rsidR="00EC69B5" w:rsidRPr="004F1D15">
              <w:rPr>
                <w:sz w:val="20"/>
                <w:szCs w:val="20"/>
              </w:rPr>
              <w:t>:</w:t>
            </w:r>
          </w:p>
          <w:p w14:paraId="1CBC1ED5" w14:textId="77777777" w:rsidR="002E0CFD" w:rsidRPr="002E0CFD" w:rsidRDefault="002E0CFD" w:rsidP="002E0CFD">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2E0CFD">
              <w:rPr>
                <w:rFonts w:ascii="Arial" w:hAnsi="Arial"/>
                <w:sz w:val="20"/>
                <w:szCs w:val="20"/>
                <w:lang w:val="en-GB"/>
              </w:rPr>
              <w:t>Tiến hành đánh giá toàn diện nhu cầu hạ tầng số trong các quốc gia thành viên ASEAN.</w:t>
            </w:r>
          </w:p>
          <w:p w14:paraId="77F7A512" w14:textId="24F7936A" w:rsidR="002E0CFD" w:rsidRPr="002E0CFD" w:rsidRDefault="002E0CFD" w:rsidP="002E0CFD">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2E0CFD">
              <w:rPr>
                <w:rFonts w:ascii="Arial" w:hAnsi="Arial"/>
                <w:sz w:val="20"/>
                <w:szCs w:val="20"/>
                <w:lang w:val="en-GB"/>
              </w:rPr>
              <w:t>Đánh giá nhu cầu an ninh mạng hiện tại tại các nước ASEAN liên quan đến hệ thống Giải quyết tranh chấp trực tuyến (ODR).</w:t>
            </w:r>
          </w:p>
          <w:p w14:paraId="72849F9E" w14:textId="2EB2F4AD" w:rsidR="002E0CFD" w:rsidRPr="002E0CFD" w:rsidRDefault="002E0CFD" w:rsidP="002E0CFD">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2E0CFD">
              <w:rPr>
                <w:rFonts w:ascii="Arial" w:hAnsi="Arial"/>
                <w:sz w:val="20"/>
                <w:szCs w:val="20"/>
                <w:lang w:val="en-GB"/>
              </w:rPr>
              <w:t>Khởi động các quan hệ hợp tác công – tư nhằm phát triển trung tâm đổi mới và sandbox ở cấp khu vực.</w:t>
            </w:r>
          </w:p>
          <w:p w14:paraId="64EC68CE" w14:textId="0BCB7032" w:rsidR="002E0CFD" w:rsidRPr="002E0CFD" w:rsidRDefault="002E0CFD" w:rsidP="002E0CFD">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2E0CFD">
              <w:rPr>
                <w:rFonts w:ascii="Arial" w:hAnsi="Arial"/>
                <w:sz w:val="20"/>
                <w:szCs w:val="20"/>
                <w:lang w:val="en-GB"/>
              </w:rPr>
              <w:t>Tổ chức chiến dịch nâng cao nhận thức cho người tiêu dùng về các vấn đề bảo vệ người tiêu dùng mới nổi trong nền kinh tế số.</w:t>
            </w:r>
          </w:p>
          <w:p w14:paraId="21C0F230" w14:textId="6F3D37C4" w:rsidR="009C463E" w:rsidRPr="00D476DC" w:rsidRDefault="002E0CFD" w:rsidP="002E0CFD">
            <w:pPr>
              <w:pStyle w:val="ListParagraph"/>
              <w:numPr>
                <w:ilvl w:val="0"/>
                <w:numId w:val="17"/>
              </w:num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2E0CFD">
              <w:rPr>
                <w:rFonts w:ascii="Arial" w:hAnsi="Arial"/>
                <w:sz w:val="20"/>
                <w:szCs w:val="20"/>
                <w:lang w:val="en-GB"/>
              </w:rPr>
              <w:t>Phát triển các công cụ nhằm thúc đẩy doanh nghiệp tuân thủ quy định bảo vệ người tiêu dùng.</w:t>
            </w:r>
          </w:p>
          <w:p w14:paraId="315B8BE4" w14:textId="77777777" w:rsidR="009C463E" w:rsidRPr="004F1D15" w:rsidRDefault="009C463E" w:rsidP="009C463E">
            <w:pPr>
              <w:pStyle w:val="ListParagraph"/>
              <w:numPr>
                <w:ilvl w:val="0"/>
                <w:numId w:val="0"/>
              </w:numPr>
              <w:spacing w:after="0"/>
              <w:ind w:left="36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p>
          <w:p w14:paraId="73F1DB23" w14:textId="144B5079" w:rsidR="00986B6C" w:rsidRPr="004F1D15" w:rsidRDefault="002E0CFD" w:rsidP="00986B6C">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Trung</w:t>
            </w:r>
            <w:r>
              <w:rPr>
                <w:sz w:val="20"/>
                <w:szCs w:val="20"/>
                <w:lang w:val="vi-VN"/>
              </w:rPr>
              <w:t xml:space="preserve"> hạn</w:t>
            </w:r>
            <w:r w:rsidR="00986B6C" w:rsidRPr="004F1D15">
              <w:rPr>
                <w:sz w:val="20"/>
                <w:szCs w:val="20"/>
              </w:rPr>
              <w:t>:</w:t>
            </w:r>
          </w:p>
          <w:p w14:paraId="0436CE8F" w14:textId="77777777" w:rsidR="002E0CFD" w:rsidRPr="002E0CFD" w:rsidRDefault="002E0CFD" w:rsidP="002E0CF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2E0CFD">
              <w:rPr>
                <w:rFonts w:ascii="Arial" w:eastAsia="DengXian" w:hAnsi="Arial"/>
                <w:sz w:val="20"/>
                <w:szCs w:val="20"/>
                <w:lang w:val="en-GB"/>
              </w:rPr>
              <w:lastRenderedPageBreak/>
              <w:t>Thí điểm các giải pháp cho hệ thống ODR an toàn mạng và có khả năng liên thông.</w:t>
            </w:r>
          </w:p>
          <w:p w14:paraId="459EF6C0" w14:textId="5CB8B6C1" w:rsidR="002E0CFD" w:rsidRPr="002E0CFD" w:rsidRDefault="002E0CFD" w:rsidP="002E0CF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2E0CFD">
              <w:rPr>
                <w:rFonts w:ascii="Arial" w:eastAsia="DengXian" w:hAnsi="Arial"/>
                <w:sz w:val="20"/>
                <w:szCs w:val="20"/>
                <w:lang w:val="en-GB"/>
              </w:rPr>
              <w:t>Mở rộng các trung tâm đổi mới và hỗ trợ các dự án hợp tác.</w:t>
            </w:r>
          </w:p>
          <w:p w14:paraId="7E6D036E" w14:textId="2648080B" w:rsidR="002E0CFD" w:rsidRPr="002E0CFD" w:rsidRDefault="002E0CFD" w:rsidP="002E0CF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2E0CFD">
              <w:rPr>
                <w:rFonts w:ascii="Arial" w:eastAsia="DengXian" w:hAnsi="Arial"/>
                <w:sz w:val="20"/>
                <w:szCs w:val="20"/>
                <w:lang w:val="en-GB"/>
              </w:rPr>
              <w:t>Thúc đẩy sử dụng các công cụ tuân thủ dành cho doanh nghiệp.</w:t>
            </w:r>
          </w:p>
          <w:p w14:paraId="194ED3E4" w14:textId="455AAC9F" w:rsidR="001865A4" w:rsidRPr="00B736E4" w:rsidRDefault="002E0CFD" w:rsidP="002E0CFD">
            <w:pPr>
              <w:pStyle w:val="ListParagraph"/>
              <w:numPr>
                <w:ilvl w:val="0"/>
                <w:numId w:val="17"/>
              </w:num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2E0CFD">
              <w:rPr>
                <w:rFonts w:ascii="Arial" w:eastAsia="DengXian" w:hAnsi="Arial"/>
                <w:sz w:val="20"/>
                <w:szCs w:val="20"/>
                <w:lang w:val="en-GB"/>
              </w:rPr>
              <w:t>Thường xuyên triển khai các chiến dịch bảo vệ người tiêu dùng ở cấp khu vực</w:t>
            </w:r>
            <w:r w:rsidR="001865A4" w:rsidRPr="00B736E4">
              <w:rPr>
                <w:rFonts w:ascii="Arial" w:eastAsia="DengXian" w:hAnsi="Arial"/>
                <w:sz w:val="20"/>
                <w:szCs w:val="20"/>
                <w:lang w:val="en-GB"/>
              </w:rPr>
              <w:t>.</w:t>
            </w:r>
            <w:r w:rsidR="001865A4" w:rsidRPr="00B736E4">
              <w:rPr>
                <w:rFonts w:eastAsia="DengXian"/>
                <w:lang w:val="en-GB"/>
              </w:rPr>
              <w:t>  </w:t>
            </w:r>
          </w:p>
          <w:p w14:paraId="6F4CB646" w14:textId="3A091CD9" w:rsidR="001865A4" w:rsidRPr="001865A4" w:rsidRDefault="001865A4" w:rsidP="001865A4">
            <w:pPr>
              <w:cnfStyle w:val="000000100000" w:firstRow="0" w:lastRow="0" w:firstColumn="0" w:lastColumn="0" w:oddVBand="0" w:evenVBand="0" w:oddHBand="1" w:evenHBand="0" w:firstRowFirstColumn="0" w:firstRowLastColumn="0" w:lastRowFirstColumn="0" w:lastRowLastColumn="0"/>
              <w:rPr>
                <w:bCs/>
                <w:sz w:val="20"/>
                <w:szCs w:val="20"/>
              </w:rPr>
            </w:pPr>
          </w:p>
          <w:p w14:paraId="16CCEEAD" w14:textId="74797CD6" w:rsidR="00EC69B5" w:rsidRPr="004F1D15" w:rsidRDefault="002E0CF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Dài</w:t>
            </w:r>
            <w:r>
              <w:rPr>
                <w:sz w:val="20"/>
                <w:szCs w:val="20"/>
                <w:lang w:val="vi-VN"/>
              </w:rPr>
              <w:t xml:space="preserve"> hạn</w:t>
            </w:r>
            <w:r w:rsidR="00EC69B5" w:rsidRPr="004F1D15">
              <w:rPr>
                <w:sz w:val="20"/>
                <w:szCs w:val="20"/>
              </w:rPr>
              <w:t>:</w:t>
            </w:r>
          </w:p>
          <w:p w14:paraId="57AE7BD0" w14:textId="77777777" w:rsidR="002E0CFD" w:rsidRPr="002E0CFD" w:rsidRDefault="002E0CFD" w:rsidP="002E0CF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2E0CFD">
              <w:rPr>
                <w:rFonts w:ascii="Arial" w:eastAsia="DengXian" w:hAnsi="Arial"/>
                <w:sz w:val="20"/>
                <w:szCs w:val="20"/>
                <w:lang w:val="en-GB"/>
              </w:rPr>
              <w:t>Đạt khả năng vận hành đầy đủ và liên thông của các hệ thống ODR trên toàn ASEAN.</w:t>
            </w:r>
          </w:p>
          <w:p w14:paraId="5BD0C449" w14:textId="62101116" w:rsidR="002E0CFD" w:rsidRPr="002E0CFD" w:rsidRDefault="002E0CFD" w:rsidP="002E0CF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2E0CFD">
              <w:rPr>
                <w:rFonts w:ascii="Arial" w:eastAsia="DengXian" w:hAnsi="Arial"/>
                <w:sz w:val="20"/>
                <w:szCs w:val="20"/>
                <w:lang w:val="en-GB"/>
              </w:rPr>
              <w:t>Lập kế hoạch cho các nâng cấp và mở rộng trong tương lai đối với hạ tầng liên quan đến an toàn trực tuyến để phù hợp với tiến bộ công nghệ.</w:t>
            </w:r>
          </w:p>
          <w:p w14:paraId="730709AC" w14:textId="62DA42B5" w:rsidR="002E0CFD" w:rsidRPr="002E0CFD" w:rsidRDefault="002E0CFD" w:rsidP="002E0CF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2E0CFD">
              <w:rPr>
                <w:rFonts w:ascii="Arial" w:eastAsia="DengXian" w:hAnsi="Arial"/>
                <w:sz w:val="20"/>
                <w:szCs w:val="20"/>
                <w:lang w:val="en-GB"/>
              </w:rPr>
              <w:t>Thúc đẩy đổi mới liên tục và việc áp dụng công nghệ mới.</w:t>
            </w:r>
          </w:p>
          <w:p w14:paraId="700AED90" w14:textId="6A544ABC" w:rsidR="002E0CFD" w:rsidRPr="002E0CFD" w:rsidRDefault="002E0CFD" w:rsidP="002E0CF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2E0CFD">
              <w:rPr>
                <w:rFonts w:ascii="Arial" w:eastAsia="DengXian" w:hAnsi="Arial"/>
                <w:sz w:val="20"/>
                <w:szCs w:val="20"/>
                <w:lang w:val="en-GB"/>
              </w:rPr>
              <w:t>Cải thiện mức độ tự tin và nhận thức của người tiêu dùng về các vấn đề bảo vệ người tiêu dùng trong nền kinh tế số.</w:t>
            </w:r>
          </w:p>
          <w:p w14:paraId="293050B9" w14:textId="017E80E9" w:rsidR="001865A4" w:rsidRPr="00516087" w:rsidRDefault="002E0CFD" w:rsidP="002E0CF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rPr>
            </w:pPr>
            <w:r w:rsidRPr="002E0CFD">
              <w:rPr>
                <w:rFonts w:ascii="Arial" w:eastAsia="DengXian" w:hAnsi="Arial"/>
                <w:sz w:val="20"/>
                <w:szCs w:val="20"/>
                <w:lang w:val="en-GB"/>
              </w:rPr>
              <w:t>Tăng cường mức độ tuân thủ luật bảo vệ người tiêu dùng của các doanh nghiệp hoạt động trong kinh tế số</w:t>
            </w:r>
            <w:r w:rsidR="001865A4" w:rsidRPr="00E24CA3">
              <w:rPr>
                <w:rFonts w:ascii="Arial" w:eastAsia="DengXian" w:hAnsi="Arial"/>
                <w:sz w:val="20"/>
                <w:szCs w:val="20"/>
                <w:lang w:val="en-GB"/>
              </w:rPr>
              <w:t>.</w:t>
            </w:r>
            <w:r w:rsidR="001865A4">
              <w:rPr>
                <w:rStyle w:val="eop"/>
                <w:rFonts w:ascii="Arial" w:hAnsi="Arial"/>
                <w:sz w:val="20"/>
                <w:szCs w:val="20"/>
              </w:rPr>
              <w:t> </w:t>
            </w:r>
          </w:p>
        </w:tc>
        <w:tc>
          <w:tcPr>
            <w:tcW w:w="2318" w:type="dxa"/>
            <w:gridSpan w:val="2"/>
            <w:tcBorders>
              <w:left w:val="single" w:sz="4" w:space="0" w:color="156082"/>
              <w:right w:val="single" w:sz="4" w:space="0" w:color="156082"/>
            </w:tcBorders>
          </w:tcPr>
          <w:p w14:paraId="2171CF6D" w14:textId="317AB52B" w:rsidR="00EC69B5" w:rsidRPr="004F1D15" w:rsidRDefault="001E3477">
            <w:pPr>
              <w:cnfStyle w:val="000000100000" w:firstRow="0" w:lastRow="0" w:firstColumn="0" w:lastColumn="0" w:oddVBand="0" w:evenVBand="0" w:oddHBand="1" w:evenHBand="0" w:firstRowFirstColumn="0" w:firstRowLastColumn="0" w:lastRowFirstColumn="0" w:lastRowLastColumn="0"/>
              <w:rPr>
                <w:sz w:val="20"/>
                <w:szCs w:val="20"/>
              </w:rPr>
            </w:pPr>
            <w:r w:rsidRPr="001E3477">
              <w:rPr>
                <w:sz w:val="20"/>
                <w:szCs w:val="20"/>
              </w:rPr>
              <w:lastRenderedPageBreak/>
              <w:t>Cơ quan điều phối lĩnh vực chính</w:t>
            </w:r>
            <w:r w:rsidR="44A2C2F2" w:rsidRPr="004F1D15">
              <w:rPr>
                <w:sz w:val="20"/>
                <w:szCs w:val="20"/>
              </w:rPr>
              <w:t>:</w:t>
            </w:r>
          </w:p>
          <w:p w14:paraId="57099366" w14:textId="150D8121" w:rsidR="00235EBE" w:rsidRPr="009C0C8A" w:rsidRDefault="001E3477" w:rsidP="00D344D3">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1E3477">
              <w:rPr>
                <w:rFonts w:ascii="Arial" w:eastAsia="DengXian" w:hAnsi="Arial"/>
                <w:sz w:val="20"/>
                <w:szCs w:val="20"/>
                <w:lang w:val="en-GB"/>
              </w:rPr>
              <w:t xml:space="preserve">Hội nghị Quan chức Cấp cao ASEAN về </w:t>
            </w:r>
            <w:r w:rsidR="00616696">
              <w:rPr>
                <w:rFonts w:ascii="Arial" w:eastAsia="DengXian" w:hAnsi="Arial"/>
                <w:sz w:val="20"/>
                <w:szCs w:val="20"/>
                <w:lang w:val="en-GB"/>
              </w:rPr>
              <w:t>Số</w:t>
            </w:r>
            <w:r w:rsidRPr="001E3477">
              <w:rPr>
                <w:rFonts w:ascii="Arial" w:eastAsia="DengXian" w:hAnsi="Arial"/>
                <w:sz w:val="20"/>
                <w:szCs w:val="20"/>
                <w:lang w:val="en-GB"/>
              </w:rPr>
              <w:t xml:space="preserve"> </w:t>
            </w:r>
            <w:r w:rsidR="00967A54">
              <w:rPr>
                <w:rFonts w:ascii="Arial" w:eastAsia="DengXian" w:hAnsi="Arial"/>
                <w:sz w:val="20"/>
                <w:szCs w:val="20"/>
                <w:lang w:val="en-GB"/>
              </w:rPr>
              <w:t>(</w:t>
            </w:r>
            <w:r w:rsidR="00235EBE" w:rsidRPr="009C0C8A">
              <w:rPr>
                <w:rFonts w:ascii="Arial" w:eastAsia="DengXian" w:hAnsi="Arial"/>
                <w:sz w:val="20"/>
                <w:szCs w:val="20"/>
                <w:lang w:val="en-GB"/>
              </w:rPr>
              <w:t>ADGSOM</w:t>
            </w:r>
            <w:r w:rsidR="00967A54">
              <w:rPr>
                <w:rFonts w:ascii="Arial" w:eastAsia="DengXian" w:hAnsi="Arial"/>
                <w:sz w:val="20"/>
                <w:szCs w:val="20"/>
                <w:lang w:val="en-GB"/>
              </w:rPr>
              <w:t>)</w:t>
            </w:r>
          </w:p>
          <w:p w14:paraId="269E45EC" w14:textId="77777777" w:rsidR="0020618A" w:rsidRPr="009C0C8A" w:rsidRDefault="0020618A" w:rsidP="0020618A">
            <w:pPr>
              <w:cnfStyle w:val="000000100000" w:firstRow="0" w:lastRow="0" w:firstColumn="0" w:lastColumn="0" w:oddVBand="0" w:evenVBand="0" w:oddHBand="1" w:evenHBand="0" w:firstRowFirstColumn="0" w:firstRowLastColumn="0" w:lastRowFirstColumn="0" w:lastRowLastColumn="0"/>
              <w:rPr>
                <w:sz w:val="20"/>
                <w:szCs w:val="20"/>
              </w:rPr>
            </w:pPr>
          </w:p>
          <w:p w14:paraId="4A10737C" w14:textId="07D757B7" w:rsidR="0020618A" w:rsidRPr="009C0C8A" w:rsidRDefault="001E3477" w:rsidP="0020618A">
            <w:pPr>
              <w:cnfStyle w:val="000000100000" w:firstRow="0" w:lastRow="0" w:firstColumn="0" w:lastColumn="0" w:oddVBand="0" w:evenVBand="0" w:oddHBand="1" w:evenHBand="0" w:firstRowFirstColumn="0" w:firstRowLastColumn="0" w:lastRowFirstColumn="0" w:lastRowLastColumn="0"/>
              <w:rPr>
                <w:sz w:val="20"/>
                <w:szCs w:val="20"/>
              </w:rPr>
            </w:pPr>
            <w:r w:rsidRPr="001E3477">
              <w:rPr>
                <w:sz w:val="20"/>
                <w:szCs w:val="20"/>
              </w:rPr>
              <w:t>Các cơ quan hỗ trợ</w:t>
            </w:r>
            <w:r w:rsidR="0020618A" w:rsidRPr="009C0C8A">
              <w:rPr>
                <w:sz w:val="20"/>
                <w:szCs w:val="20"/>
              </w:rPr>
              <w:t xml:space="preserve">: </w:t>
            </w:r>
          </w:p>
          <w:p w14:paraId="1845DBE0" w14:textId="5960D2D1" w:rsidR="001E3477" w:rsidRPr="001E3477" w:rsidRDefault="001E3477" w:rsidP="001E3477">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1E3477">
              <w:rPr>
                <w:rFonts w:ascii="Arial" w:eastAsia="DengXian" w:hAnsi="Arial"/>
                <w:sz w:val="20"/>
                <w:szCs w:val="20"/>
                <w:lang w:val="en-GB"/>
              </w:rPr>
              <w:t>Ủy ban Bảo vệ Người tiêu dùng ASEAN</w:t>
            </w:r>
          </w:p>
          <w:p w14:paraId="4B10EC80" w14:textId="464B7F56" w:rsidR="001E3477" w:rsidRPr="001E3477" w:rsidRDefault="001E3477" w:rsidP="001E3477">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1E3477">
              <w:rPr>
                <w:rFonts w:ascii="Arial" w:eastAsia="DengXian" w:hAnsi="Arial"/>
                <w:sz w:val="20"/>
                <w:szCs w:val="20"/>
                <w:lang w:val="en-GB"/>
              </w:rPr>
              <w:t>Ủy ban Điều phối ASEAN về Thương mại Điện tử và Kinh tế Số</w:t>
            </w:r>
          </w:p>
          <w:p w14:paraId="634DD951" w14:textId="424E0611" w:rsidR="001E3477" w:rsidRPr="001E3477" w:rsidRDefault="001E3477" w:rsidP="001E3477">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1E3477">
              <w:rPr>
                <w:rFonts w:ascii="Arial" w:eastAsia="DengXian" w:hAnsi="Arial"/>
                <w:sz w:val="20"/>
                <w:szCs w:val="20"/>
                <w:lang w:val="en-GB"/>
              </w:rPr>
              <w:t>Ủy ban Điều phối ASEAN về Doanh nghiệp Vừa, Nhỏ và Siêu nhỏ</w:t>
            </w:r>
          </w:p>
          <w:p w14:paraId="35C19F5D" w14:textId="112B399D" w:rsidR="00800A11" w:rsidRDefault="001E3477" w:rsidP="001E3477">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1E3477">
              <w:rPr>
                <w:rFonts w:ascii="Arial" w:eastAsia="DengXian" w:hAnsi="Arial"/>
                <w:sz w:val="20"/>
                <w:szCs w:val="20"/>
                <w:lang w:val="en-GB"/>
              </w:rPr>
              <w:t xml:space="preserve">Nhóm Công tác về Tội phạm mạng </w:t>
            </w:r>
            <w:r w:rsidRPr="001E3477">
              <w:rPr>
                <w:rFonts w:ascii="Arial" w:eastAsia="DengXian" w:hAnsi="Arial"/>
                <w:sz w:val="20"/>
                <w:szCs w:val="20"/>
                <w:lang w:val="en-GB"/>
              </w:rPr>
              <w:lastRenderedPageBreak/>
              <w:t xml:space="preserve">thuộc Hội nghị Quan chức cấp cao ASEAN về Phòng chống Tội phạm xuyên quốc </w:t>
            </w:r>
            <w:r>
              <w:rPr>
                <w:rFonts w:ascii="Arial" w:eastAsia="DengXian" w:hAnsi="Arial"/>
                <w:sz w:val="20"/>
                <w:szCs w:val="20"/>
                <w:lang w:val="en-GB"/>
              </w:rPr>
              <w:t>gia</w:t>
            </w:r>
          </w:p>
          <w:p w14:paraId="76424A71" w14:textId="76BB9C93" w:rsidR="00FB007C" w:rsidRPr="00BB1BB4" w:rsidRDefault="00FB007C" w:rsidP="00BB1BB4">
            <w:pPr>
              <w:cnfStyle w:val="000000100000" w:firstRow="0" w:lastRow="0" w:firstColumn="0" w:lastColumn="0" w:oddVBand="0" w:evenVBand="0" w:oddHBand="1" w:evenHBand="0" w:firstRowFirstColumn="0" w:firstRowLastColumn="0" w:lastRowFirstColumn="0" w:lastRowLastColumn="0"/>
              <w:rPr>
                <w:sz w:val="20"/>
                <w:szCs w:val="20"/>
              </w:rPr>
            </w:pPr>
          </w:p>
          <w:p w14:paraId="4C225208" w14:textId="1FAF3AFC" w:rsidR="00FB007C" w:rsidRPr="00FB007C" w:rsidRDefault="00FB007C" w:rsidP="00FB007C">
            <w:pPr>
              <w:cnfStyle w:val="000000100000" w:firstRow="0" w:lastRow="0" w:firstColumn="0" w:lastColumn="0" w:oddVBand="0" w:evenVBand="0" w:oddHBand="1" w:evenHBand="0" w:firstRowFirstColumn="0" w:firstRowLastColumn="0" w:lastRowFirstColumn="0" w:lastRowLastColumn="0"/>
              <w:rPr>
                <w:sz w:val="20"/>
                <w:szCs w:val="20"/>
              </w:rPr>
            </w:pPr>
          </w:p>
        </w:tc>
        <w:tc>
          <w:tcPr>
            <w:tcW w:w="3774" w:type="dxa"/>
            <w:gridSpan w:val="2"/>
            <w:tcBorders>
              <w:left w:val="single" w:sz="4" w:space="0" w:color="156082"/>
            </w:tcBorders>
          </w:tcPr>
          <w:p w14:paraId="60AD3858" w14:textId="39326D94" w:rsidR="00EC69B5" w:rsidRPr="004F1D15" w:rsidRDefault="001E3477">
            <w:pPr>
              <w:cnfStyle w:val="000000100000" w:firstRow="0" w:lastRow="0" w:firstColumn="0" w:lastColumn="0" w:oddVBand="0" w:evenVBand="0" w:oddHBand="1" w:evenHBand="0" w:firstRowFirstColumn="0" w:firstRowLastColumn="0" w:lastRowFirstColumn="0" w:lastRowLastColumn="0"/>
              <w:rPr>
                <w:sz w:val="20"/>
                <w:szCs w:val="20"/>
              </w:rPr>
            </w:pPr>
            <w:r w:rsidRPr="001E3477">
              <w:rPr>
                <w:sz w:val="20"/>
                <w:szCs w:val="20"/>
              </w:rPr>
              <w:lastRenderedPageBreak/>
              <w:t>Các thước đo tiến độ chung</w:t>
            </w:r>
            <w:r w:rsidR="00EC69B5" w:rsidRPr="004F1D15">
              <w:rPr>
                <w:sz w:val="20"/>
                <w:szCs w:val="20"/>
              </w:rPr>
              <w:t>:</w:t>
            </w:r>
          </w:p>
          <w:p w14:paraId="11704899" w14:textId="77777777" w:rsidR="001E3477" w:rsidRPr="001E3477" w:rsidRDefault="001E3477" w:rsidP="001E3477">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bCs/>
                <w:sz w:val="20"/>
                <w:szCs w:val="20"/>
                <w:lang w:val="en-GB"/>
              </w:rPr>
            </w:pPr>
            <w:r w:rsidRPr="001E3477">
              <w:rPr>
                <w:rFonts w:ascii="Arial" w:hAnsi="Arial"/>
                <w:b/>
                <w:sz w:val="20"/>
                <w:szCs w:val="20"/>
                <w:lang w:val="en-GB"/>
              </w:rPr>
              <w:t>Đầu tư vào R&amp;D</w:t>
            </w:r>
            <w:r w:rsidRPr="001E3477">
              <w:rPr>
                <w:rFonts w:ascii="Arial" w:hAnsi="Arial"/>
                <w:bCs/>
                <w:sz w:val="20"/>
                <w:szCs w:val="20"/>
                <w:lang w:val="en-GB"/>
              </w:rPr>
              <w:t>: Theo dõi mức đầu tư vào các sáng kiến nghiên cứu – phát triển công nghệ phục vụ an toàn trực tuyến và bảo vệ người tiêu dùng.</w:t>
            </w:r>
          </w:p>
          <w:p w14:paraId="1B9DC025" w14:textId="083998C5" w:rsidR="001E3477" w:rsidRPr="001E3477" w:rsidRDefault="001E3477" w:rsidP="001E3477">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bCs/>
                <w:sz w:val="20"/>
                <w:szCs w:val="20"/>
                <w:lang w:val="en-GB"/>
              </w:rPr>
            </w:pPr>
            <w:r w:rsidRPr="001E3477">
              <w:rPr>
                <w:rFonts w:ascii="Arial" w:hAnsi="Arial"/>
                <w:b/>
                <w:sz w:val="20"/>
                <w:szCs w:val="20"/>
                <w:lang w:val="en-GB"/>
              </w:rPr>
              <w:t xml:space="preserve">Kết quả từ các trung tâm đổi mới: </w:t>
            </w:r>
            <w:r w:rsidRPr="001E3477">
              <w:rPr>
                <w:rFonts w:ascii="Arial" w:hAnsi="Arial"/>
                <w:bCs/>
                <w:sz w:val="20"/>
                <w:szCs w:val="20"/>
                <w:lang w:val="en-GB"/>
              </w:rPr>
              <w:t>Theo dõi số lượng dự án và startup thành công xuất hiện từ các trung tâm đổi mới và sandbox.</w:t>
            </w:r>
          </w:p>
          <w:p w14:paraId="27F9176E" w14:textId="5923EAC9" w:rsidR="00FB007C" w:rsidRPr="00516087" w:rsidRDefault="001E3477" w:rsidP="001E3477">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1E3477">
              <w:rPr>
                <w:rFonts w:ascii="Arial" w:hAnsi="Arial"/>
                <w:b/>
                <w:sz w:val="20"/>
                <w:szCs w:val="20"/>
                <w:lang w:val="en-GB"/>
              </w:rPr>
              <w:t xml:space="preserve">Trao quyền cho người tiêu dùng: </w:t>
            </w:r>
            <w:r w:rsidRPr="001E3477">
              <w:rPr>
                <w:rFonts w:ascii="Arial" w:hAnsi="Arial"/>
                <w:bCs/>
                <w:sz w:val="20"/>
                <w:szCs w:val="20"/>
                <w:lang w:val="en-GB"/>
              </w:rPr>
              <w:t>Cải thiện Chỉ số Trao quyền Người tiêu dùng ASEAN (ASEAN Consumer Empowerment Index).</w:t>
            </w:r>
          </w:p>
        </w:tc>
      </w:tr>
    </w:tbl>
    <w:p w14:paraId="5AE7E08D" w14:textId="77777777" w:rsidR="00334681" w:rsidRPr="00DA0FD7" w:rsidRDefault="00334681" w:rsidP="00DA0FD7"/>
    <w:p w14:paraId="33BBF39B" w14:textId="77777777" w:rsidR="00334681" w:rsidRDefault="00334681">
      <w:pPr>
        <w:spacing w:line="259" w:lineRule="auto"/>
        <w:jc w:val="left"/>
        <w:rPr>
          <w:rFonts w:eastAsia="Arial"/>
          <w:color w:val="657C9C" w:themeColor="text2" w:themeTint="BF"/>
          <w:sz w:val="20"/>
          <w:szCs w:val="20"/>
        </w:rPr>
      </w:pPr>
      <w:r>
        <w:rPr>
          <w:sz w:val="20"/>
          <w:szCs w:val="20"/>
        </w:rPr>
        <w:br w:type="page"/>
      </w:r>
    </w:p>
    <w:p w14:paraId="38887617" w14:textId="6100658D" w:rsidR="00341DF4" w:rsidRPr="004F1D15" w:rsidRDefault="00A72014" w:rsidP="00341DF4">
      <w:pPr>
        <w:pStyle w:val="Heading3"/>
        <w:rPr>
          <w:sz w:val="20"/>
          <w:szCs w:val="20"/>
          <w:lang w:val="en-GB"/>
        </w:rPr>
      </w:pPr>
      <w:r>
        <w:rPr>
          <w:sz w:val="20"/>
          <w:szCs w:val="20"/>
          <w:lang w:val="en-GB"/>
        </w:rPr>
        <w:lastRenderedPageBreak/>
        <w:t>Tiểu</w:t>
      </w:r>
      <w:r>
        <w:rPr>
          <w:sz w:val="20"/>
          <w:szCs w:val="20"/>
          <w:lang w:val="vi-VN"/>
        </w:rPr>
        <w:t xml:space="preserve"> lĩnh vực</w:t>
      </w:r>
      <w:r w:rsidR="00341DF4" w:rsidRPr="004F1D15">
        <w:rPr>
          <w:sz w:val="20"/>
          <w:szCs w:val="20"/>
          <w:lang w:val="en-GB"/>
        </w:rPr>
        <w:t xml:space="preserve">: </w:t>
      </w:r>
      <w:r>
        <w:rPr>
          <w:sz w:val="20"/>
          <w:szCs w:val="20"/>
          <w:lang w:val="en-GB"/>
        </w:rPr>
        <w:t>Bảo</w:t>
      </w:r>
      <w:r>
        <w:rPr>
          <w:sz w:val="20"/>
          <w:szCs w:val="20"/>
          <w:lang w:val="vi-VN"/>
        </w:rPr>
        <w:t xml:space="preserve"> vệ Dữ liệu và Quyền riêng tư Xuyên biên giới</w:t>
      </w:r>
    </w:p>
    <w:p w14:paraId="66273582" w14:textId="601C5329" w:rsidR="00341DF4" w:rsidRPr="004F1D15" w:rsidRDefault="00A72014" w:rsidP="00C82E40">
      <w:pPr>
        <w:pStyle w:val="Heading4"/>
        <w:rPr>
          <w:sz w:val="20"/>
          <w:lang w:val="en-GB"/>
        </w:rPr>
      </w:pPr>
      <w:r>
        <w:rPr>
          <w:sz w:val="20"/>
          <w:lang w:val="en-GB"/>
        </w:rPr>
        <w:t>Danh</w:t>
      </w:r>
      <w:r>
        <w:rPr>
          <w:sz w:val="20"/>
          <w:lang w:val="vi-VN"/>
        </w:rPr>
        <w:t xml:space="preserve"> mục</w:t>
      </w:r>
      <w:r w:rsidR="00CC6EE0" w:rsidRPr="004F1D15">
        <w:rPr>
          <w:sz w:val="20"/>
          <w:lang w:val="en-GB"/>
        </w:rPr>
        <w:t xml:space="preserve"> </w:t>
      </w:r>
      <w:r w:rsidR="00341DF4" w:rsidRPr="004F1D15">
        <w:rPr>
          <w:sz w:val="20"/>
          <w:lang w:val="en-GB"/>
        </w:rPr>
        <w:t xml:space="preserve">1: </w:t>
      </w:r>
      <w:r>
        <w:rPr>
          <w:sz w:val="20"/>
          <w:lang w:val="en-GB"/>
        </w:rPr>
        <w:t>Điều</w:t>
      </w:r>
      <w:r>
        <w:rPr>
          <w:sz w:val="20"/>
          <w:lang w:val="vi-VN"/>
        </w:rPr>
        <w:t xml:space="preserve"> phối và điều chỉnh chính sách</w:t>
      </w:r>
    </w:p>
    <w:tbl>
      <w:tblPr>
        <w:tblStyle w:val="ListTable3-Accent11"/>
        <w:tblW w:w="15314" w:type="dxa"/>
        <w:tblLook w:val="04A0" w:firstRow="1" w:lastRow="0" w:firstColumn="1" w:lastColumn="0" w:noHBand="0" w:noVBand="1"/>
      </w:tblPr>
      <w:tblGrid>
        <w:gridCol w:w="1694"/>
        <w:gridCol w:w="3764"/>
        <w:gridCol w:w="7"/>
        <w:gridCol w:w="3757"/>
        <w:gridCol w:w="15"/>
        <w:gridCol w:w="2303"/>
        <w:gridCol w:w="14"/>
        <w:gridCol w:w="3760"/>
      </w:tblGrid>
      <w:tr w:rsidR="00EC69B5" w:rsidRPr="004F1D15" w14:paraId="64C5E152" w14:textId="77777777" w:rsidTr="00AC0A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4" w:type="dxa"/>
            <w:tcBorders>
              <w:bottom w:val="single" w:sz="4" w:space="0" w:color="156082"/>
            </w:tcBorders>
            <w:shd w:val="clear" w:color="auto" w:fill="002060"/>
          </w:tcPr>
          <w:p w14:paraId="55A3125F" w14:textId="2EC16251" w:rsidR="00EC69B5" w:rsidRPr="00A72014" w:rsidRDefault="00A72014" w:rsidP="00AC0AE1">
            <w:pPr>
              <w:jc w:val="center"/>
              <w:rPr>
                <w:sz w:val="20"/>
                <w:szCs w:val="20"/>
                <w:lang w:val="vi-VN"/>
              </w:rPr>
            </w:pPr>
            <w:r>
              <w:rPr>
                <w:sz w:val="20"/>
                <w:szCs w:val="20"/>
              </w:rPr>
              <w:t>Khu</w:t>
            </w:r>
            <w:r>
              <w:rPr>
                <w:sz w:val="20"/>
                <w:szCs w:val="20"/>
                <w:lang w:val="vi-VN"/>
              </w:rPr>
              <w:t xml:space="preserve"> vực hành động</w:t>
            </w:r>
          </w:p>
        </w:tc>
        <w:tc>
          <w:tcPr>
            <w:tcW w:w="3771" w:type="dxa"/>
            <w:gridSpan w:val="2"/>
            <w:shd w:val="clear" w:color="auto" w:fill="002060"/>
          </w:tcPr>
          <w:p w14:paraId="6C04BA93" w14:textId="272E624B" w:rsidR="00EC69B5" w:rsidRPr="00A72014" w:rsidRDefault="00A72014" w:rsidP="00AC0AE1">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Lĩnh</w:t>
            </w:r>
            <w:r>
              <w:rPr>
                <w:sz w:val="20"/>
                <w:szCs w:val="20"/>
                <w:lang w:val="vi-VN"/>
              </w:rPr>
              <w:t xml:space="preserve"> vực trọng tâm</w:t>
            </w:r>
          </w:p>
        </w:tc>
        <w:tc>
          <w:tcPr>
            <w:tcW w:w="3772" w:type="dxa"/>
            <w:gridSpan w:val="2"/>
            <w:shd w:val="clear" w:color="auto" w:fill="002060"/>
          </w:tcPr>
          <w:p w14:paraId="0C76811B" w14:textId="56EBBB15" w:rsidR="00EC69B5" w:rsidRPr="004F1D15" w:rsidRDefault="00A72014" w:rsidP="00AC0AE1">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Các</w:t>
            </w:r>
            <w:r>
              <w:rPr>
                <w:sz w:val="20"/>
                <w:szCs w:val="20"/>
                <w:lang w:val="vi-VN"/>
              </w:rPr>
              <w:t xml:space="preserve"> mốc dự kiến và khung thời gian tạm tính</w:t>
            </w:r>
            <w:r w:rsidR="00EC69B5" w:rsidRPr="004F1D15">
              <w:rPr>
                <w:sz w:val="20"/>
                <w:szCs w:val="20"/>
                <w:vertAlign w:val="superscript"/>
              </w:rPr>
              <w:footnoteReference w:id="356"/>
            </w:r>
          </w:p>
        </w:tc>
        <w:tc>
          <w:tcPr>
            <w:tcW w:w="2317" w:type="dxa"/>
            <w:gridSpan w:val="2"/>
            <w:shd w:val="clear" w:color="auto" w:fill="002060"/>
          </w:tcPr>
          <w:p w14:paraId="3943AB45" w14:textId="5B3929B3" w:rsidR="00EC69B5" w:rsidRPr="00A72014" w:rsidRDefault="00A72014" w:rsidP="00AC0AE1">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Các</w:t>
            </w:r>
            <w:r>
              <w:rPr>
                <w:sz w:val="20"/>
                <w:szCs w:val="20"/>
                <w:lang w:val="vi-VN"/>
              </w:rPr>
              <w:t xml:space="preserve"> bên chịu trách nhiệm</w:t>
            </w:r>
          </w:p>
        </w:tc>
        <w:tc>
          <w:tcPr>
            <w:tcW w:w="3760" w:type="dxa"/>
            <w:shd w:val="clear" w:color="auto" w:fill="002060"/>
          </w:tcPr>
          <w:p w14:paraId="740E5453" w14:textId="71D70881" w:rsidR="00EC69B5" w:rsidRPr="00A72014" w:rsidRDefault="00A72014" w:rsidP="00AC0AE1">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Thước</w:t>
            </w:r>
            <w:r>
              <w:rPr>
                <w:sz w:val="20"/>
                <w:szCs w:val="20"/>
                <w:lang w:val="vi-VN"/>
              </w:rPr>
              <w:t xml:space="preserve"> đo tiến độ</w:t>
            </w:r>
          </w:p>
        </w:tc>
      </w:tr>
      <w:tr w:rsidR="00EC69B5" w:rsidRPr="004F1D15" w14:paraId="4881EFC4" w14:textId="77777777" w:rsidTr="00AC0A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shd w:val="clear" w:color="auto" w:fill="00B0F0"/>
          </w:tcPr>
          <w:p w14:paraId="1661F9A8" w14:textId="5E6D2DD3" w:rsidR="00EC69B5" w:rsidRPr="00A72014" w:rsidRDefault="00A72014">
            <w:pPr>
              <w:rPr>
                <w:sz w:val="20"/>
                <w:szCs w:val="20"/>
                <w:lang w:val="vi-VN"/>
              </w:rPr>
            </w:pPr>
            <w:r>
              <w:rPr>
                <w:sz w:val="20"/>
                <w:szCs w:val="20"/>
              </w:rPr>
              <w:t>Khu</w:t>
            </w:r>
            <w:r>
              <w:rPr>
                <w:sz w:val="20"/>
                <w:szCs w:val="20"/>
                <w:lang w:val="vi-VN"/>
              </w:rPr>
              <w:t xml:space="preserve"> vực hành động chính</w:t>
            </w:r>
          </w:p>
        </w:tc>
        <w:tc>
          <w:tcPr>
            <w:tcW w:w="13620" w:type="dxa"/>
            <w:gridSpan w:val="7"/>
            <w:tcBorders>
              <w:left w:val="single" w:sz="4" w:space="0" w:color="156082"/>
            </w:tcBorders>
            <w:shd w:val="clear" w:color="auto" w:fill="00B0F0"/>
          </w:tcPr>
          <w:p w14:paraId="47B366F7" w14:textId="2289B8E0" w:rsidR="00EC69B5" w:rsidRPr="004F1D15" w:rsidRDefault="002F001D">
            <w:pPr>
              <w:cnfStyle w:val="000000100000" w:firstRow="0" w:lastRow="0" w:firstColumn="0" w:lastColumn="0" w:oddVBand="0" w:evenVBand="0" w:oddHBand="1" w:evenHBand="0" w:firstRowFirstColumn="0" w:firstRowLastColumn="0" w:lastRowFirstColumn="0" w:lastRowLastColumn="0"/>
              <w:rPr>
                <w:rFonts w:eastAsiaTheme="minorEastAsia"/>
                <w:b/>
                <w:bCs/>
                <w:sz w:val="20"/>
                <w:szCs w:val="20"/>
              </w:rPr>
            </w:pPr>
            <w:r>
              <w:rPr>
                <w:b/>
                <w:bCs/>
                <w:sz w:val="20"/>
                <w:szCs w:val="20"/>
              </w:rPr>
              <w:t>6.2.10</w:t>
            </w:r>
            <w:r w:rsidR="00F35D46" w:rsidRPr="004F1D15">
              <w:rPr>
                <w:b/>
                <w:bCs/>
                <w:sz w:val="20"/>
                <w:szCs w:val="20"/>
              </w:rPr>
              <w:t xml:space="preserve">.1 </w:t>
            </w:r>
            <w:r w:rsidR="00A72014" w:rsidRPr="00A72014">
              <w:rPr>
                <w:b/>
                <w:bCs/>
                <w:sz w:val="20"/>
                <w:szCs w:val="20"/>
              </w:rPr>
              <w:t>Phát triển và Hài hòa Hệ thống Quản trị Dữ liệu, Quyền riêng tư và Bảo vệ Dữ liệu, cùng Khung pháp lý và Quy định</w:t>
            </w:r>
          </w:p>
        </w:tc>
      </w:tr>
      <w:tr w:rsidR="00EC69B5" w:rsidRPr="004F1D15" w14:paraId="769C7B8E" w14:textId="77777777" w:rsidTr="00AC0AE1">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156082"/>
              <w:bottom w:val="single" w:sz="4" w:space="0" w:color="156082"/>
              <w:right w:val="single" w:sz="4" w:space="0" w:color="156082"/>
            </w:tcBorders>
            <w:shd w:val="clear" w:color="auto" w:fill="BDD6EE" w:themeFill="accent5" w:themeFillTint="66"/>
          </w:tcPr>
          <w:p w14:paraId="3BD80A78" w14:textId="3CD5EBBE" w:rsidR="00EC69B5" w:rsidRPr="00A72014" w:rsidRDefault="00A72014">
            <w:pPr>
              <w:rPr>
                <w:sz w:val="20"/>
                <w:szCs w:val="20"/>
                <w:lang w:val="vi-VN"/>
              </w:rPr>
            </w:pPr>
            <w:r>
              <w:rPr>
                <w:sz w:val="20"/>
                <w:szCs w:val="20"/>
              </w:rPr>
              <w:t>Mục</w:t>
            </w:r>
            <w:r>
              <w:rPr>
                <w:sz w:val="20"/>
                <w:szCs w:val="20"/>
                <w:lang w:val="vi-VN"/>
              </w:rPr>
              <w:t xml:space="preserve"> tiêu</w:t>
            </w:r>
          </w:p>
        </w:tc>
        <w:tc>
          <w:tcPr>
            <w:tcW w:w="13620" w:type="dxa"/>
            <w:gridSpan w:val="7"/>
            <w:tcBorders>
              <w:left w:val="single" w:sz="4" w:space="0" w:color="156082"/>
            </w:tcBorders>
            <w:shd w:val="clear" w:color="auto" w:fill="BDD6EE" w:themeFill="accent5" w:themeFillTint="66"/>
          </w:tcPr>
          <w:p w14:paraId="540223FA" w14:textId="465FAC1A" w:rsidR="00986B6C" w:rsidRPr="00797C1F" w:rsidRDefault="00F80DCE"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DengXian" w:hAnsi="Arial"/>
                <w:b/>
                <w:sz w:val="20"/>
                <w:szCs w:val="20"/>
                <w:lang w:val="en-GB"/>
              </w:rPr>
            </w:pPr>
            <w:r w:rsidRPr="00F80DCE">
              <w:rPr>
                <w:rFonts w:ascii="Arial" w:eastAsia="DengXian" w:hAnsi="Arial"/>
                <w:b/>
                <w:sz w:val="20"/>
                <w:szCs w:val="20"/>
                <w:lang w:val="en-GB"/>
              </w:rPr>
              <w:t xml:space="preserve">Hội tụ quy định: </w:t>
            </w:r>
            <w:r w:rsidRPr="00F80DCE">
              <w:rPr>
                <w:rFonts w:ascii="Arial" w:eastAsia="DengXian" w:hAnsi="Arial"/>
                <w:bCs/>
                <w:sz w:val="20"/>
                <w:szCs w:val="20"/>
                <w:lang w:val="en-GB"/>
              </w:rPr>
              <w:t>Thúc đẩy hội tụ quy định ở cấp khu vực về các khuôn khổ bảo vệ dữ liệu và quyền riêng tư</w:t>
            </w:r>
            <w:r w:rsidR="00986B6C" w:rsidRPr="00D3277B">
              <w:rPr>
                <w:rFonts w:ascii="Arial" w:eastAsia="DengXian" w:hAnsi="Arial"/>
                <w:bCs/>
                <w:sz w:val="20"/>
                <w:szCs w:val="20"/>
                <w:lang w:val="en-GB"/>
              </w:rPr>
              <w:t>.</w:t>
            </w:r>
          </w:p>
          <w:p w14:paraId="7AC870CE" w14:textId="76151E32" w:rsidR="00EC69B5" w:rsidRPr="00797C1F" w:rsidRDefault="00F80DCE"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hAnsi="Arial"/>
                <w:sz w:val="20"/>
                <w:szCs w:val="20"/>
                <w:lang w:val="en-GB"/>
              </w:rPr>
            </w:pPr>
            <w:r w:rsidRPr="00F80DCE">
              <w:rPr>
                <w:rFonts w:ascii="Arial" w:eastAsia="DengXian" w:hAnsi="Arial"/>
                <w:b/>
                <w:sz w:val="20"/>
                <w:szCs w:val="20"/>
                <w:lang w:val="en-GB"/>
              </w:rPr>
              <w:t xml:space="preserve">Tăng cường an ninh và niềm tin: </w:t>
            </w:r>
            <w:r w:rsidRPr="00F80DCE">
              <w:rPr>
                <w:rFonts w:ascii="Arial" w:eastAsia="DengXian" w:hAnsi="Arial"/>
                <w:bCs/>
                <w:sz w:val="20"/>
                <w:szCs w:val="20"/>
                <w:lang w:val="en-GB"/>
              </w:rPr>
              <w:t>Nâng cao mức độ tin cậy trong các hoạt động và giao dịch trực tuyến xuyên biên giới thông qua việc thúc đẩy hài hòa quốc tế và tham chiếu các tiêu chuẩn quốc tế chung</w:t>
            </w:r>
            <w:r w:rsidR="00986B6C" w:rsidRPr="00F80DCE">
              <w:rPr>
                <w:rFonts w:ascii="Arial" w:eastAsia="DengXian" w:hAnsi="Arial"/>
                <w:bCs/>
                <w:sz w:val="20"/>
                <w:szCs w:val="20"/>
                <w:lang w:val="en-GB"/>
              </w:rPr>
              <w:t>.</w:t>
            </w:r>
          </w:p>
        </w:tc>
      </w:tr>
      <w:tr w:rsidR="00EC69B5" w:rsidRPr="004F1D15" w14:paraId="2C248D42" w14:textId="77777777" w:rsidTr="6BB67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tcPr>
          <w:p w14:paraId="6C3CE600" w14:textId="7635461B" w:rsidR="00EC69B5" w:rsidRPr="004F1D15" w:rsidRDefault="002F001D">
            <w:pPr>
              <w:rPr>
                <w:sz w:val="20"/>
                <w:szCs w:val="20"/>
              </w:rPr>
            </w:pPr>
            <w:r>
              <w:rPr>
                <w:sz w:val="20"/>
                <w:szCs w:val="20"/>
              </w:rPr>
              <w:t>6.2.10</w:t>
            </w:r>
            <w:r w:rsidR="00D60678" w:rsidRPr="004F1D15">
              <w:rPr>
                <w:sz w:val="20"/>
                <w:szCs w:val="20"/>
              </w:rPr>
              <w:t xml:space="preserve">.1 </w:t>
            </w:r>
            <w:r w:rsidR="00A72014" w:rsidRPr="00A72014">
              <w:rPr>
                <w:sz w:val="20"/>
                <w:szCs w:val="20"/>
              </w:rPr>
              <w:t>Phát triển và Hài hòa Hệ thống Quản trị Dữ liệu, Quyền riêng tư và Bảo vệ Dữ liệu, cùng Khung pháp lý và Quy định</w:t>
            </w:r>
          </w:p>
        </w:tc>
        <w:tc>
          <w:tcPr>
            <w:tcW w:w="3764" w:type="dxa"/>
            <w:tcBorders>
              <w:left w:val="single" w:sz="4" w:space="0" w:color="156082"/>
              <w:right w:val="single" w:sz="4" w:space="0" w:color="156082"/>
            </w:tcBorders>
          </w:tcPr>
          <w:p w14:paraId="15CEFEE1" w14:textId="1B4A3021" w:rsidR="00EC69B5" w:rsidRPr="009717D9" w:rsidRDefault="009717D9" w:rsidP="00297FD7">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bCs/>
                <w:sz w:val="20"/>
                <w:szCs w:val="20"/>
                <w:lang w:val="en-GB"/>
              </w:rPr>
            </w:pPr>
            <w:r w:rsidRPr="009717D9">
              <w:rPr>
                <w:rFonts w:ascii="Arial" w:eastAsia="DengXian" w:hAnsi="Arial"/>
                <w:b/>
                <w:sz w:val="20"/>
                <w:szCs w:val="20"/>
                <w:lang w:val="en-GB"/>
              </w:rPr>
              <w:t xml:space="preserve">Tham vấn các bên liên quan: </w:t>
            </w:r>
            <w:r w:rsidRPr="009717D9">
              <w:rPr>
                <w:rFonts w:ascii="Arial" w:eastAsia="DengXian" w:hAnsi="Arial"/>
                <w:bCs/>
                <w:sz w:val="20"/>
                <w:szCs w:val="20"/>
                <w:lang w:val="en-GB"/>
              </w:rPr>
              <w:t>Thu hút sự tham gia của các bên liên quan chủ chốt, bao gồm nhà hoạch định chính sách, lãnh đạo ngành công nghiệp, doanh nghiệp MSME, giới học thuật và đại diện xã hội dân sự nhằm hỗ trợ phát triển và hài hòa khung quản trị dữ liệu, quyền riêng tư và bảo vệ dữ liệu</w:t>
            </w:r>
            <w:r w:rsidR="00986B6C" w:rsidRPr="009717D9">
              <w:rPr>
                <w:rFonts w:ascii="Arial" w:eastAsia="DengXian" w:hAnsi="Arial"/>
                <w:bCs/>
                <w:sz w:val="20"/>
                <w:szCs w:val="20"/>
                <w:lang w:val="en-GB"/>
              </w:rPr>
              <w:t>.</w:t>
            </w:r>
            <w:r w:rsidR="00D3277B" w:rsidRPr="009717D9">
              <w:rPr>
                <w:rFonts w:ascii="Arial" w:eastAsia="DengXian" w:hAnsi="Arial"/>
                <w:bCs/>
                <w:sz w:val="20"/>
                <w:szCs w:val="20"/>
                <w:lang w:val="vi-VN"/>
              </w:rPr>
              <w:t xml:space="preserve"> </w:t>
            </w:r>
          </w:p>
          <w:p w14:paraId="587E36EB" w14:textId="1CAA35BD" w:rsidR="00EC69B5" w:rsidRPr="00297FD7" w:rsidRDefault="009717D9" w:rsidP="0052124A">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9717D9">
              <w:rPr>
                <w:rFonts w:ascii="Arial" w:eastAsia="DengXian" w:hAnsi="Arial"/>
                <w:b/>
                <w:sz w:val="20"/>
                <w:szCs w:val="20"/>
                <w:lang w:val="en-GB"/>
              </w:rPr>
              <w:t xml:space="preserve">Phát triển khuôn khổ khu vực: </w:t>
            </w:r>
            <w:r w:rsidRPr="009717D9">
              <w:rPr>
                <w:rFonts w:ascii="Arial" w:eastAsia="DengXian" w:hAnsi="Arial"/>
                <w:bCs/>
                <w:sz w:val="20"/>
                <w:szCs w:val="20"/>
                <w:lang w:val="en-GB"/>
              </w:rPr>
              <w:t>Xây dựng một khuôn khổ khu vực ASEAN bao quát, quy định các định nghĩa cốt lõi, nguyên tắc và tiêu chuẩn tối thiểu về quản trị dữ liệu, quyền riêng tư và bảo vệ dữ liệu cho cả 10 quốc gia thành viên ASEAN</w:t>
            </w:r>
            <w:r w:rsidR="00297FD7" w:rsidRPr="009717D9">
              <w:rPr>
                <w:rFonts w:ascii="Arial" w:eastAsia="DengXian" w:hAnsi="Arial"/>
                <w:bCs/>
                <w:sz w:val="20"/>
                <w:szCs w:val="20"/>
                <w:lang w:val="en-GB"/>
              </w:rPr>
              <w:t>.</w:t>
            </w:r>
          </w:p>
        </w:tc>
        <w:tc>
          <w:tcPr>
            <w:tcW w:w="3764" w:type="dxa"/>
            <w:gridSpan w:val="2"/>
            <w:tcBorders>
              <w:left w:val="single" w:sz="4" w:space="0" w:color="156082"/>
              <w:right w:val="single" w:sz="4" w:space="0" w:color="156082"/>
            </w:tcBorders>
          </w:tcPr>
          <w:p w14:paraId="1A4E373A" w14:textId="6F0EED91" w:rsidR="00EC69B5" w:rsidRPr="004F1D15" w:rsidRDefault="009717D9">
            <w:pPr>
              <w:cnfStyle w:val="000000100000" w:firstRow="0" w:lastRow="0" w:firstColumn="0" w:lastColumn="0" w:oddVBand="0" w:evenVBand="0" w:oddHBand="1" w:evenHBand="0" w:firstRowFirstColumn="0" w:firstRowLastColumn="0" w:lastRowFirstColumn="0" w:lastRowLastColumn="0"/>
              <w:rPr>
                <w:sz w:val="20"/>
                <w:szCs w:val="20"/>
              </w:rPr>
            </w:pPr>
            <w:r w:rsidRPr="009717D9">
              <w:rPr>
                <w:sz w:val="20"/>
                <w:szCs w:val="20"/>
              </w:rPr>
              <w:t>Ngắn hạn</w:t>
            </w:r>
            <w:r w:rsidR="00EC69B5" w:rsidRPr="004F1D15">
              <w:rPr>
                <w:sz w:val="20"/>
                <w:szCs w:val="20"/>
              </w:rPr>
              <w:t>:</w:t>
            </w:r>
          </w:p>
          <w:p w14:paraId="045C0D91" w14:textId="77777777" w:rsidR="009717D9" w:rsidRPr="009717D9" w:rsidRDefault="009717D9" w:rsidP="009717D9">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9717D9">
              <w:rPr>
                <w:rFonts w:ascii="Arial" w:eastAsia="DengXian" w:hAnsi="Arial"/>
                <w:sz w:val="20"/>
                <w:szCs w:val="20"/>
                <w:lang w:val="en-GB"/>
              </w:rPr>
              <w:t>Thành lập lực lượng đặc nhiệm khu vực bao gồm đại diện chính phủ các nước ASEAN, ngành công nghiệp, giới học thuật và xã hội dân sự.</w:t>
            </w:r>
          </w:p>
          <w:p w14:paraId="5A813743" w14:textId="3BEFEC43" w:rsidR="009717D9" w:rsidRPr="009717D9" w:rsidRDefault="009717D9" w:rsidP="009717D9">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9717D9">
              <w:rPr>
                <w:rFonts w:ascii="Arial" w:eastAsia="DengXian" w:hAnsi="Arial"/>
                <w:sz w:val="20"/>
                <w:szCs w:val="20"/>
                <w:lang w:val="en-GB"/>
              </w:rPr>
              <w:t>Tiến hành rà soát toàn diện các luật, sáng kiến quy định và tiêu chuẩn hiện hành và chuẩn bị ban hành trong ASEAN để xác định khoảng trống và cơ hội nhằm hội tụ chính sách và quy định.</w:t>
            </w:r>
          </w:p>
          <w:p w14:paraId="2A31D909" w14:textId="1DE14A7D" w:rsidR="009717D9" w:rsidRPr="009717D9" w:rsidRDefault="009717D9" w:rsidP="009717D9">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9717D9">
              <w:rPr>
                <w:rFonts w:ascii="Arial" w:eastAsia="DengXian" w:hAnsi="Arial"/>
                <w:sz w:val="20"/>
                <w:szCs w:val="20"/>
                <w:lang w:val="en-GB"/>
              </w:rPr>
              <w:t>Tiến hành nghiên cứu toàn diện để xác định các yêu cầu kỹ thuật, vận hành và pháp lý cùng các khoảng trống cho một khuôn khổ khu vực về quản trị dữ liệu, quyền riêng tư và bảo vệ dữ liệu.</w:t>
            </w:r>
          </w:p>
          <w:p w14:paraId="556003FD" w14:textId="2013DEE6" w:rsidR="009717D9" w:rsidRPr="009717D9" w:rsidRDefault="009717D9" w:rsidP="009717D9">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9717D9">
              <w:rPr>
                <w:rFonts w:ascii="Arial" w:eastAsia="DengXian" w:hAnsi="Arial"/>
                <w:sz w:val="20"/>
                <w:szCs w:val="20"/>
                <w:lang w:val="en-GB"/>
              </w:rPr>
              <w:t>Xây dựng các định nghĩa chung, nguyên tắc và tiêu chuẩn, thông lệ quốc tế cho khuôn khổ khu vực này.</w:t>
            </w:r>
          </w:p>
          <w:p w14:paraId="4D691EA1" w14:textId="02109DE3" w:rsidR="00986B6C" w:rsidRPr="009717D9" w:rsidRDefault="009717D9" w:rsidP="009717D9">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bCs/>
                <w:sz w:val="20"/>
                <w:szCs w:val="20"/>
                <w:lang w:val="en-GB"/>
              </w:rPr>
            </w:pPr>
            <w:r w:rsidRPr="009717D9">
              <w:rPr>
                <w:rFonts w:ascii="Arial" w:eastAsia="DengXian" w:hAnsi="Arial"/>
                <w:sz w:val="20"/>
                <w:szCs w:val="20"/>
                <w:lang w:val="en-GB"/>
              </w:rPr>
              <w:lastRenderedPageBreak/>
              <w:t>Tiến hành tham vấn các bên liên quan nhằm thu thập phản hồi và xây dựng đồng thuận</w:t>
            </w:r>
            <w:r w:rsidR="00986B6C" w:rsidRPr="009717D9">
              <w:rPr>
                <w:rFonts w:eastAsia="DengXian"/>
                <w:sz w:val="20"/>
                <w:szCs w:val="20"/>
              </w:rPr>
              <w:t>.</w:t>
            </w:r>
            <w:r w:rsidR="008E0099" w:rsidRPr="009717D9">
              <w:rPr>
                <w:rFonts w:eastAsia="DengXian"/>
                <w:sz w:val="20"/>
                <w:szCs w:val="20"/>
              </w:rPr>
              <w:br/>
            </w:r>
          </w:p>
          <w:p w14:paraId="54C8D636" w14:textId="74922936" w:rsidR="00EC69B5" w:rsidRPr="004F1D15" w:rsidRDefault="007D5307">
            <w:pPr>
              <w:cnfStyle w:val="000000100000" w:firstRow="0" w:lastRow="0" w:firstColumn="0" w:lastColumn="0" w:oddVBand="0" w:evenVBand="0" w:oddHBand="1" w:evenHBand="0" w:firstRowFirstColumn="0" w:firstRowLastColumn="0" w:lastRowFirstColumn="0" w:lastRowLastColumn="0"/>
              <w:rPr>
                <w:sz w:val="20"/>
                <w:szCs w:val="20"/>
              </w:rPr>
            </w:pPr>
            <w:r w:rsidRPr="007D5307">
              <w:rPr>
                <w:sz w:val="20"/>
                <w:szCs w:val="20"/>
              </w:rPr>
              <w:t>Trung hạn</w:t>
            </w:r>
            <w:r w:rsidR="00EC69B5" w:rsidRPr="004F1D15">
              <w:rPr>
                <w:sz w:val="20"/>
                <w:szCs w:val="20"/>
              </w:rPr>
              <w:t>:</w:t>
            </w:r>
          </w:p>
          <w:p w14:paraId="448B2AAC" w14:textId="77777777" w:rsidR="007D5307" w:rsidRPr="007D5307" w:rsidRDefault="007D5307" w:rsidP="007D5307">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7D5307">
              <w:rPr>
                <w:rFonts w:ascii="Arial" w:eastAsia="DengXian" w:hAnsi="Arial"/>
                <w:sz w:val="20"/>
                <w:szCs w:val="20"/>
                <w:lang w:val="en-GB"/>
              </w:rPr>
              <w:t>Xây dựng và phê duyệt khuôn khổ khu vực, nêu rõ các mốc chính, hoạt động, lộ trình thời gian và nguồn lực cần thiết ở cả cấp quốc gia và khu vực, đồng thời tích hợp phản hồi từ chuyên gia ngành.</w:t>
            </w:r>
          </w:p>
          <w:p w14:paraId="29F0E83F" w14:textId="568B1574" w:rsidR="007D5307" w:rsidRPr="007D5307" w:rsidRDefault="007D5307" w:rsidP="007D5307">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7D5307">
              <w:rPr>
                <w:rFonts w:ascii="Arial" w:eastAsia="DengXian" w:hAnsi="Arial"/>
                <w:sz w:val="20"/>
                <w:szCs w:val="20"/>
                <w:lang w:val="en-GB"/>
              </w:rPr>
              <w:t>Xây dựng các hướng dẫn hỗ trợ triển khai khuôn khổ khu vực và các tiêu chuẩn liên quan.</w:t>
            </w:r>
          </w:p>
          <w:p w14:paraId="1A0A719C" w14:textId="3EE0B824" w:rsidR="007D5307" w:rsidRPr="007D5307" w:rsidRDefault="007D5307" w:rsidP="007D5307">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7D5307">
              <w:rPr>
                <w:rFonts w:ascii="Arial" w:eastAsia="DengXian" w:hAnsi="Arial"/>
                <w:sz w:val="20"/>
                <w:szCs w:val="20"/>
                <w:lang w:val="en-GB"/>
              </w:rPr>
              <w:t>Khởi động quá trình hội tụ chính sách và quy định pháp lý cấp quốc gia trong ASEAN liên quan đến điện toán đám mây.</w:t>
            </w:r>
          </w:p>
          <w:p w14:paraId="4043AC76" w14:textId="32C338C3" w:rsidR="00986B6C" w:rsidRPr="004F1D15" w:rsidRDefault="007D5307" w:rsidP="007D5307">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7D5307">
              <w:rPr>
                <w:rFonts w:ascii="Arial" w:eastAsia="DengXian" w:hAnsi="Arial"/>
                <w:sz w:val="20"/>
                <w:szCs w:val="20"/>
                <w:lang w:val="en-GB"/>
              </w:rPr>
              <w:t>Tiếp tục tương tác với các bên liên quan để đánh giá mức độ thành công của khuôn khổ điện toán đám mây khu vực</w:t>
            </w:r>
            <w:r w:rsidR="00986B6C" w:rsidRPr="004F1D15">
              <w:rPr>
                <w:rFonts w:ascii="Arial" w:eastAsia="DengXian" w:hAnsi="Arial"/>
                <w:sz w:val="20"/>
                <w:szCs w:val="20"/>
                <w:lang w:val="en-GB"/>
              </w:rPr>
              <w:t>.</w:t>
            </w:r>
          </w:p>
          <w:p w14:paraId="11AACFAA" w14:textId="77777777" w:rsidR="0052124A" w:rsidRDefault="0052124A">
            <w:pPr>
              <w:cnfStyle w:val="000000100000" w:firstRow="0" w:lastRow="0" w:firstColumn="0" w:lastColumn="0" w:oddVBand="0" w:evenVBand="0" w:oddHBand="1" w:evenHBand="0" w:firstRowFirstColumn="0" w:firstRowLastColumn="0" w:lastRowFirstColumn="0" w:lastRowLastColumn="0"/>
              <w:rPr>
                <w:sz w:val="20"/>
                <w:szCs w:val="20"/>
              </w:rPr>
            </w:pPr>
          </w:p>
          <w:p w14:paraId="7F3C0A66" w14:textId="4517C9D2" w:rsidR="00EC69B5" w:rsidRPr="004F1D15" w:rsidRDefault="007D5307">
            <w:pPr>
              <w:cnfStyle w:val="000000100000" w:firstRow="0" w:lastRow="0" w:firstColumn="0" w:lastColumn="0" w:oddVBand="0" w:evenVBand="0" w:oddHBand="1" w:evenHBand="0" w:firstRowFirstColumn="0" w:firstRowLastColumn="0" w:lastRowFirstColumn="0" w:lastRowLastColumn="0"/>
              <w:rPr>
                <w:sz w:val="20"/>
                <w:szCs w:val="20"/>
              </w:rPr>
            </w:pPr>
            <w:r w:rsidRPr="007D5307">
              <w:rPr>
                <w:sz w:val="20"/>
                <w:szCs w:val="20"/>
              </w:rPr>
              <w:t>Dài hạn</w:t>
            </w:r>
            <w:r w:rsidR="00EC69B5" w:rsidRPr="004F1D15">
              <w:rPr>
                <w:sz w:val="20"/>
                <w:szCs w:val="20"/>
              </w:rPr>
              <w:t>:</w:t>
            </w:r>
          </w:p>
          <w:p w14:paraId="52C1B544" w14:textId="77777777" w:rsidR="007D5307" w:rsidRPr="007D5307" w:rsidRDefault="007D5307" w:rsidP="007D5307">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7D5307">
              <w:rPr>
                <w:rFonts w:ascii="Arial" w:eastAsia="DengXian" w:hAnsi="Arial"/>
                <w:sz w:val="20"/>
                <w:szCs w:val="20"/>
                <w:lang w:val="en-GB"/>
              </w:rPr>
              <w:t>Đạt được hội tụ toàn diện về chính sách và quy định pháp lý quốc gia trong các nước ASEAN.</w:t>
            </w:r>
          </w:p>
          <w:p w14:paraId="731CEB11" w14:textId="0E935A55" w:rsidR="00EC69B5" w:rsidRPr="00516087" w:rsidRDefault="007D5307" w:rsidP="007D5307">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7D5307">
              <w:rPr>
                <w:rFonts w:ascii="Arial" w:eastAsia="DengXian" w:hAnsi="Arial"/>
                <w:sz w:val="20"/>
                <w:szCs w:val="20"/>
                <w:lang w:val="en-GB"/>
              </w:rPr>
              <w:t>Thường xuyên giám sát, cập nhật và cải thiện khuôn khổ khu vực dựa trên phản hồi và tiến bộ công nghệ</w:t>
            </w:r>
            <w:r w:rsidR="00986B6C" w:rsidRPr="004F1D15">
              <w:rPr>
                <w:rFonts w:ascii="Arial" w:eastAsia="DengXian" w:hAnsi="Arial"/>
                <w:sz w:val="20"/>
                <w:szCs w:val="20"/>
                <w:lang w:val="en-GB"/>
              </w:rPr>
              <w:t>.</w:t>
            </w:r>
          </w:p>
        </w:tc>
        <w:tc>
          <w:tcPr>
            <w:tcW w:w="2318" w:type="dxa"/>
            <w:gridSpan w:val="2"/>
            <w:tcBorders>
              <w:left w:val="single" w:sz="4" w:space="0" w:color="156082"/>
              <w:right w:val="single" w:sz="4" w:space="0" w:color="156082"/>
            </w:tcBorders>
          </w:tcPr>
          <w:p w14:paraId="0DE34A4A" w14:textId="6EB92F99" w:rsidR="00EC69B5" w:rsidRPr="00797C1F" w:rsidRDefault="007D5307">
            <w:pPr>
              <w:cnfStyle w:val="000000100000" w:firstRow="0" w:lastRow="0" w:firstColumn="0" w:lastColumn="0" w:oddVBand="0" w:evenVBand="0" w:oddHBand="1" w:evenHBand="0" w:firstRowFirstColumn="0" w:firstRowLastColumn="0" w:lastRowFirstColumn="0" w:lastRowLastColumn="0"/>
              <w:rPr>
                <w:sz w:val="20"/>
                <w:szCs w:val="20"/>
              </w:rPr>
            </w:pPr>
            <w:r w:rsidRPr="007D5307">
              <w:rPr>
                <w:sz w:val="20"/>
                <w:szCs w:val="20"/>
              </w:rPr>
              <w:lastRenderedPageBreak/>
              <w:t>Cơ quan điều phối lĩnh vực chính</w:t>
            </w:r>
            <w:r w:rsidR="44A2C2F2" w:rsidRPr="00797C1F">
              <w:rPr>
                <w:sz w:val="20"/>
                <w:szCs w:val="20"/>
              </w:rPr>
              <w:t>:</w:t>
            </w:r>
          </w:p>
          <w:p w14:paraId="0BF3E118" w14:textId="4D27C90D" w:rsidR="00294140" w:rsidRPr="00797C1F" w:rsidRDefault="007D5307" w:rsidP="0029414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7D5307">
              <w:rPr>
                <w:rFonts w:ascii="Arial" w:eastAsia="DengXian" w:hAnsi="Arial"/>
                <w:sz w:val="20"/>
                <w:szCs w:val="20"/>
                <w:lang w:val="en-GB"/>
              </w:rPr>
              <w:t xml:space="preserve">Hội nghị Quan chức Cấp cao ASEAN về </w:t>
            </w:r>
            <w:r w:rsidR="00616696">
              <w:rPr>
                <w:rFonts w:ascii="Arial" w:eastAsia="DengXian" w:hAnsi="Arial"/>
                <w:sz w:val="20"/>
                <w:szCs w:val="20"/>
                <w:lang w:val="en-GB"/>
              </w:rPr>
              <w:t>Số</w:t>
            </w:r>
            <w:r w:rsidRPr="007D5307">
              <w:rPr>
                <w:rFonts w:ascii="Arial" w:eastAsia="DengXian" w:hAnsi="Arial"/>
                <w:sz w:val="20"/>
                <w:szCs w:val="20"/>
                <w:lang w:val="en-GB"/>
              </w:rPr>
              <w:t xml:space="preserve"> </w:t>
            </w:r>
            <w:r w:rsidR="00294140" w:rsidRPr="00797C1F">
              <w:rPr>
                <w:rFonts w:ascii="Arial" w:eastAsia="DengXian" w:hAnsi="Arial"/>
                <w:sz w:val="20"/>
                <w:szCs w:val="20"/>
                <w:lang w:val="en-GB"/>
              </w:rPr>
              <w:t>(ADGSOM)</w:t>
            </w:r>
          </w:p>
          <w:p w14:paraId="485BE96F" w14:textId="77777777" w:rsidR="00EC69B5" w:rsidRPr="00797C1F" w:rsidRDefault="00EC69B5" w:rsidP="00712FEE">
            <w:pPr>
              <w:cnfStyle w:val="000000100000" w:firstRow="0" w:lastRow="0" w:firstColumn="0" w:lastColumn="0" w:oddVBand="0" w:evenVBand="0" w:oddHBand="1" w:evenHBand="0" w:firstRowFirstColumn="0" w:firstRowLastColumn="0" w:lastRowFirstColumn="0" w:lastRowLastColumn="0"/>
              <w:rPr>
                <w:sz w:val="20"/>
                <w:szCs w:val="20"/>
              </w:rPr>
            </w:pPr>
          </w:p>
          <w:p w14:paraId="6C680153" w14:textId="76B7AB76" w:rsidR="00712FEE" w:rsidRPr="00797C1F" w:rsidRDefault="007D5307" w:rsidP="00712FEE">
            <w:pPr>
              <w:cnfStyle w:val="000000100000" w:firstRow="0" w:lastRow="0" w:firstColumn="0" w:lastColumn="0" w:oddVBand="0" w:evenVBand="0" w:oddHBand="1" w:evenHBand="0" w:firstRowFirstColumn="0" w:firstRowLastColumn="0" w:lastRowFirstColumn="0" w:lastRowLastColumn="0"/>
              <w:rPr>
                <w:sz w:val="20"/>
                <w:szCs w:val="20"/>
              </w:rPr>
            </w:pPr>
            <w:r w:rsidRPr="007D5307">
              <w:rPr>
                <w:sz w:val="20"/>
                <w:szCs w:val="20"/>
              </w:rPr>
              <w:t>Cơ quan hỗ trợ</w:t>
            </w:r>
            <w:r w:rsidR="00B716ED" w:rsidRPr="00797C1F">
              <w:rPr>
                <w:sz w:val="20"/>
                <w:szCs w:val="20"/>
              </w:rPr>
              <w:t>:</w:t>
            </w:r>
          </w:p>
          <w:p w14:paraId="266198A4" w14:textId="0C46F6D3" w:rsidR="00294140" w:rsidRPr="00797C1F" w:rsidRDefault="007D5307" w:rsidP="0029414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7D5307">
              <w:rPr>
                <w:rFonts w:ascii="Arial" w:eastAsia="DengXian" w:hAnsi="Arial"/>
                <w:sz w:val="20"/>
                <w:szCs w:val="20"/>
                <w:lang w:val="en-GB"/>
              </w:rPr>
              <w:t xml:space="preserve">Nhóm Công tác về Quản trị Dữ liệu Số </w:t>
            </w:r>
            <w:r w:rsidR="00294140" w:rsidRPr="00797C1F">
              <w:rPr>
                <w:rFonts w:ascii="Arial" w:eastAsia="DengXian" w:hAnsi="Arial"/>
                <w:sz w:val="20"/>
                <w:szCs w:val="20"/>
                <w:lang w:val="en-GB"/>
              </w:rPr>
              <w:t xml:space="preserve">(WG-DDG) </w:t>
            </w:r>
          </w:p>
          <w:p w14:paraId="2568E1E3" w14:textId="77777777" w:rsidR="00BB178F" w:rsidRPr="00797C1F" w:rsidRDefault="00BB178F" w:rsidP="00712FEE">
            <w:pPr>
              <w:cnfStyle w:val="000000100000" w:firstRow="0" w:lastRow="0" w:firstColumn="0" w:lastColumn="0" w:oddVBand="0" w:evenVBand="0" w:oddHBand="1" w:evenHBand="0" w:firstRowFirstColumn="0" w:firstRowLastColumn="0" w:lastRowFirstColumn="0" w:lastRowLastColumn="0"/>
              <w:rPr>
                <w:sz w:val="20"/>
                <w:szCs w:val="20"/>
              </w:rPr>
            </w:pPr>
          </w:p>
          <w:p w14:paraId="0CCE4AB2" w14:textId="77777777" w:rsidR="00B716ED" w:rsidRPr="00797C1F" w:rsidRDefault="00B716ED" w:rsidP="00712FEE">
            <w:pPr>
              <w:cnfStyle w:val="000000100000" w:firstRow="0" w:lastRow="0" w:firstColumn="0" w:lastColumn="0" w:oddVBand="0" w:evenVBand="0" w:oddHBand="1" w:evenHBand="0" w:firstRowFirstColumn="0" w:firstRowLastColumn="0" w:lastRowFirstColumn="0" w:lastRowLastColumn="0"/>
              <w:rPr>
                <w:sz w:val="20"/>
                <w:szCs w:val="20"/>
              </w:rPr>
            </w:pPr>
          </w:p>
          <w:p w14:paraId="1270D477" w14:textId="73E5D36B" w:rsidR="00B716ED" w:rsidRPr="00797C1F" w:rsidRDefault="00B716ED" w:rsidP="00712FEE">
            <w:pPr>
              <w:cnfStyle w:val="000000100000" w:firstRow="0" w:lastRow="0" w:firstColumn="0" w:lastColumn="0" w:oddVBand="0" w:evenVBand="0" w:oddHBand="1" w:evenHBand="0" w:firstRowFirstColumn="0" w:firstRowLastColumn="0" w:lastRowFirstColumn="0" w:lastRowLastColumn="0"/>
              <w:rPr>
                <w:sz w:val="20"/>
                <w:szCs w:val="20"/>
              </w:rPr>
            </w:pPr>
          </w:p>
        </w:tc>
        <w:tc>
          <w:tcPr>
            <w:tcW w:w="3774" w:type="dxa"/>
            <w:gridSpan w:val="2"/>
            <w:tcBorders>
              <w:left w:val="single" w:sz="4" w:space="0" w:color="156082"/>
            </w:tcBorders>
          </w:tcPr>
          <w:p w14:paraId="0044473A" w14:textId="5098D5D6" w:rsidR="00EC69B5" w:rsidRPr="004F1D15" w:rsidRDefault="00A870EB">
            <w:pPr>
              <w:cnfStyle w:val="000000100000" w:firstRow="0" w:lastRow="0" w:firstColumn="0" w:lastColumn="0" w:oddVBand="0" w:evenVBand="0" w:oddHBand="1" w:evenHBand="0" w:firstRowFirstColumn="0" w:firstRowLastColumn="0" w:lastRowFirstColumn="0" w:lastRowLastColumn="0"/>
              <w:rPr>
                <w:sz w:val="20"/>
                <w:szCs w:val="20"/>
              </w:rPr>
            </w:pPr>
            <w:r w:rsidRPr="00A870EB">
              <w:rPr>
                <w:sz w:val="20"/>
                <w:szCs w:val="20"/>
              </w:rPr>
              <w:t>Các thước đo tiến độ chung</w:t>
            </w:r>
            <w:r w:rsidR="00EC69B5" w:rsidRPr="004F1D15">
              <w:rPr>
                <w:sz w:val="20"/>
                <w:szCs w:val="20"/>
              </w:rPr>
              <w:t>:</w:t>
            </w:r>
          </w:p>
          <w:p w14:paraId="2C0C5B93" w14:textId="77777777" w:rsidR="00A870EB" w:rsidRPr="00A870EB" w:rsidRDefault="00A870EB" w:rsidP="00A870EB">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b/>
                <w:sz w:val="20"/>
                <w:szCs w:val="20"/>
                <w:lang w:val="en-GB"/>
              </w:rPr>
            </w:pPr>
            <w:r w:rsidRPr="00A870EB">
              <w:rPr>
                <w:rFonts w:ascii="Arial" w:hAnsi="Arial"/>
                <w:b/>
                <w:sz w:val="20"/>
                <w:szCs w:val="20"/>
                <w:lang w:val="en-GB"/>
              </w:rPr>
              <w:t xml:space="preserve">Hội tụ chính sách và quy định liên quan đến điện toán đám mây: </w:t>
            </w:r>
            <w:r w:rsidRPr="00A870EB">
              <w:rPr>
                <w:rFonts w:ascii="Arial" w:hAnsi="Arial"/>
                <w:bCs/>
                <w:sz w:val="20"/>
                <w:szCs w:val="20"/>
                <w:lang w:val="en-GB"/>
              </w:rPr>
              <w:t>Đánh giá mức độ hội tụ của các bộ luật giữa các chính phủ ASEAN.</w:t>
            </w:r>
          </w:p>
          <w:p w14:paraId="7121D39E" w14:textId="5A95234C" w:rsidR="00A870EB" w:rsidRPr="00A870EB" w:rsidRDefault="00A870EB" w:rsidP="00A870EB">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bCs/>
                <w:sz w:val="20"/>
                <w:szCs w:val="20"/>
                <w:lang w:val="en-GB"/>
              </w:rPr>
            </w:pPr>
            <w:r w:rsidRPr="00A870EB">
              <w:rPr>
                <w:rFonts w:ascii="Arial" w:hAnsi="Arial"/>
                <w:b/>
                <w:sz w:val="20"/>
                <w:szCs w:val="20"/>
                <w:lang w:val="en-GB"/>
              </w:rPr>
              <w:t xml:space="preserve">Mức độ thông qua chính sách: </w:t>
            </w:r>
            <w:r w:rsidRPr="00A870EB">
              <w:rPr>
                <w:rFonts w:ascii="Arial" w:hAnsi="Arial"/>
                <w:bCs/>
                <w:sz w:val="20"/>
                <w:szCs w:val="20"/>
                <w:lang w:val="en-GB"/>
              </w:rPr>
              <w:t>Số lượng quốc gia ASEAN tích hợp các tiêu chuẩn quốc tế chung vào chính sách quốc gia.</w:t>
            </w:r>
          </w:p>
          <w:p w14:paraId="07294E87" w14:textId="3771045C" w:rsidR="00986B6C" w:rsidRPr="00A870EB" w:rsidRDefault="00A870EB" w:rsidP="00A870EB">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bCs/>
                <w:sz w:val="20"/>
                <w:szCs w:val="20"/>
                <w:lang w:val="en-GB"/>
              </w:rPr>
            </w:pPr>
            <w:r w:rsidRPr="00A870EB">
              <w:rPr>
                <w:rFonts w:ascii="Arial" w:hAnsi="Arial"/>
                <w:b/>
                <w:sz w:val="20"/>
                <w:szCs w:val="20"/>
                <w:lang w:val="en-GB"/>
              </w:rPr>
              <w:t xml:space="preserve">Phản hồi từ ngành: </w:t>
            </w:r>
            <w:r w:rsidRPr="00A870EB">
              <w:rPr>
                <w:rFonts w:ascii="Arial" w:hAnsi="Arial"/>
                <w:bCs/>
                <w:sz w:val="20"/>
                <w:szCs w:val="20"/>
                <w:lang w:val="en-GB"/>
              </w:rPr>
              <w:t>Thu thập phản hồi từ các bên liên quan trong ngành về hiệu quả và mức độ rõ ràng của khuôn khổ quy định</w:t>
            </w:r>
            <w:r w:rsidR="00986B6C" w:rsidRPr="00A870EB">
              <w:rPr>
                <w:rFonts w:ascii="Arial" w:hAnsi="Arial"/>
                <w:bCs/>
                <w:sz w:val="20"/>
                <w:szCs w:val="20"/>
                <w:lang w:val="en-GB"/>
              </w:rPr>
              <w:t>.</w:t>
            </w:r>
          </w:p>
          <w:p w14:paraId="2E3115F8" w14:textId="77777777" w:rsidR="00EC69B5" w:rsidRPr="004F1D15" w:rsidRDefault="00EC69B5">
            <w:pPr>
              <w:cnfStyle w:val="000000100000" w:firstRow="0" w:lastRow="0" w:firstColumn="0" w:lastColumn="0" w:oddVBand="0" w:evenVBand="0" w:oddHBand="1" w:evenHBand="0" w:firstRowFirstColumn="0" w:firstRowLastColumn="0" w:lastRowFirstColumn="0" w:lastRowLastColumn="0"/>
              <w:rPr>
                <w:sz w:val="20"/>
                <w:szCs w:val="20"/>
              </w:rPr>
            </w:pPr>
          </w:p>
        </w:tc>
      </w:tr>
    </w:tbl>
    <w:p w14:paraId="3ECBEBB3" w14:textId="77777777" w:rsidR="00341DF4" w:rsidRPr="004F1D15" w:rsidRDefault="00341DF4" w:rsidP="007664A3">
      <w:pPr>
        <w:rPr>
          <w:sz w:val="20"/>
          <w:szCs w:val="20"/>
        </w:rPr>
      </w:pPr>
    </w:p>
    <w:p w14:paraId="301E049A" w14:textId="4BA4A93A" w:rsidR="00341DF4" w:rsidRPr="004F1D15" w:rsidRDefault="00A870EB" w:rsidP="00C82E40">
      <w:pPr>
        <w:pStyle w:val="Heading4"/>
        <w:rPr>
          <w:sz w:val="20"/>
          <w:lang w:val="en-GB"/>
        </w:rPr>
      </w:pPr>
      <w:r>
        <w:rPr>
          <w:sz w:val="20"/>
          <w:lang w:val="en-GB"/>
        </w:rPr>
        <w:lastRenderedPageBreak/>
        <w:t>Danh</w:t>
      </w:r>
      <w:r>
        <w:rPr>
          <w:sz w:val="20"/>
          <w:lang w:val="vi-VN"/>
        </w:rPr>
        <w:t xml:space="preserve"> mục</w:t>
      </w:r>
      <w:r w:rsidR="00CC6EE0" w:rsidRPr="004F1D15">
        <w:rPr>
          <w:sz w:val="20"/>
          <w:lang w:val="en-GB"/>
        </w:rPr>
        <w:t xml:space="preserve"> </w:t>
      </w:r>
      <w:r w:rsidR="00341DF4" w:rsidRPr="004F1D15">
        <w:rPr>
          <w:sz w:val="20"/>
          <w:lang w:val="en-GB"/>
        </w:rPr>
        <w:t xml:space="preserve">2: </w:t>
      </w:r>
      <w:r>
        <w:rPr>
          <w:sz w:val="20"/>
          <w:lang w:val="en-GB"/>
        </w:rPr>
        <w:t>Xây</w:t>
      </w:r>
      <w:r>
        <w:rPr>
          <w:sz w:val="20"/>
          <w:lang w:val="vi-VN"/>
        </w:rPr>
        <w:t xml:space="preserve"> dựng năng lực và Hỗ trợ kỹ thuật</w:t>
      </w:r>
    </w:p>
    <w:tbl>
      <w:tblPr>
        <w:tblStyle w:val="ListTable3-Accent11"/>
        <w:tblW w:w="15314" w:type="dxa"/>
        <w:tblLook w:val="04A0" w:firstRow="1" w:lastRow="0" w:firstColumn="1" w:lastColumn="0" w:noHBand="0" w:noVBand="1"/>
      </w:tblPr>
      <w:tblGrid>
        <w:gridCol w:w="1694"/>
        <w:gridCol w:w="3764"/>
        <w:gridCol w:w="7"/>
        <w:gridCol w:w="3757"/>
        <w:gridCol w:w="15"/>
        <w:gridCol w:w="2303"/>
        <w:gridCol w:w="14"/>
        <w:gridCol w:w="3760"/>
      </w:tblGrid>
      <w:tr w:rsidR="00EC69B5" w:rsidRPr="004F1D15" w14:paraId="263D6183" w14:textId="77777777" w:rsidTr="00297F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4" w:type="dxa"/>
            <w:tcBorders>
              <w:bottom w:val="single" w:sz="4" w:space="0" w:color="156082"/>
            </w:tcBorders>
            <w:shd w:val="clear" w:color="auto" w:fill="002060"/>
          </w:tcPr>
          <w:p w14:paraId="043A5D79" w14:textId="442AFA15" w:rsidR="00EC69B5" w:rsidRPr="0036143B" w:rsidRDefault="0036143B" w:rsidP="00297FD7">
            <w:pPr>
              <w:jc w:val="center"/>
              <w:rPr>
                <w:sz w:val="20"/>
                <w:szCs w:val="20"/>
                <w:lang w:val="vi-VN"/>
              </w:rPr>
            </w:pPr>
            <w:r>
              <w:rPr>
                <w:sz w:val="20"/>
                <w:szCs w:val="20"/>
              </w:rPr>
              <w:t>Khu</w:t>
            </w:r>
            <w:r>
              <w:rPr>
                <w:sz w:val="20"/>
                <w:szCs w:val="20"/>
                <w:lang w:val="vi-VN"/>
              </w:rPr>
              <w:t xml:space="preserve"> vực hành động</w:t>
            </w:r>
          </w:p>
        </w:tc>
        <w:tc>
          <w:tcPr>
            <w:tcW w:w="3771" w:type="dxa"/>
            <w:gridSpan w:val="2"/>
            <w:shd w:val="clear" w:color="auto" w:fill="002060"/>
          </w:tcPr>
          <w:p w14:paraId="4E20B057" w14:textId="3929B3DA" w:rsidR="00EC69B5" w:rsidRPr="0036143B" w:rsidRDefault="0036143B" w:rsidP="00297FD7">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Lĩnh</w:t>
            </w:r>
            <w:r>
              <w:rPr>
                <w:sz w:val="20"/>
                <w:szCs w:val="20"/>
                <w:lang w:val="vi-VN"/>
              </w:rPr>
              <w:t xml:space="preserve"> vực trọng tâm</w:t>
            </w:r>
          </w:p>
        </w:tc>
        <w:tc>
          <w:tcPr>
            <w:tcW w:w="3772" w:type="dxa"/>
            <w:gridSpan w:val="2"/>
            <w:shd w:val="clear" w:color="auto" w:fill="002060"/>
          </w:tcPr>
          <w:p w14:paraId="5719DB16" w14:textId="614589F3" w:rsidR="00EC69B5" w:rsidRPr="004F1D15" w:rsidRDefault="0036143B" w:rsidP="00297FD7">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Các</w:t>
            </w:r>
            <w:r>
              <w:rPr>
                <w:sz w:val="20"/>
                <w:szCs w:val="20"/>
                <w:lang w:val="vi-VN"/>
              </w:rPr>
              <w:t xml:space="preserve"> mốc dự kiến và khung thời gian tạm tính</w:t>
            </w:r>
            <w:r w:rsidR="00EC69B5" w:rsidRPr="004F1D15">
              <w:rPr>
                <w:sz w:val="20"/>
                <w:szCs w:val="20"/>
                <w:vertAlign w:val="superscript"/>
              </w:rPr>
              <w:footnoteReference w:id="357"/>
            </w:r>
          </w:p>
        </w:tc>
        <w:tc>
          <w:tcPr>
            <w:tcW w:w="2317" w:type="dxa"/>
            <w:gridSpan w:val="2"/>
            <w:shd w:val="clear" w:color="auto" w:fill="002060"/>
          </w:tcPr>
          <w:p w14:paraId="15F6C0E6" w14:textId="1D6C9D15" w:rsidR="00EC69B5" w:rsidRPr="0036143B" w:rsidRDefault="0036143B" w:rsidP="00297FD7">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lang w:val="vi-VN"/>
              </w:rPr>
              <w:t>Các bên chịu trách nhiệm chính</w:t>
            </w:r>
          </w:p>
        </w:tc>
        <w:tc>
          <w:tcPr>
            <w:tcW w:w="3760" w:type="dxa"/>
            <w:shd w:val="clear" w:color="auto" w:fill="002060"/>
          </w:tcPr>
          <w:p w14:paraId="3652EC3B" w14:textId="7BFF35F9" w:rsidR="00EC69B5" w:rsidRPr="00E825F6" w:rsidRDefault="00E825F6" w:rsidP="00297FD7">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Thước</w:t>
            </w:r>
            <w:r>
              <w:rPr>
                <w:sz w:val="20"/>
                <w:szCs w:val="20"/>
                <w:lang w:val="vi-VN"/>
              </w:rPr>
              <w:t xml:space="preserve"> đo tiến độ</w:t>
            </w:r>
          </w:p>
        </w:tc>
      </w:tr>
      <w:tr w:rsidR="00EC69B5" w:rsidRPr="004F1D15" w14:paraId="65A3DE22" w14:textId="77777777" w:rsidTr="00297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shd w:val="clear" w:color="auto" w:fill="00B0F0"/>
          </w:tcPr>
          <w:p w14:paraId="1BD29C69" w14:textId="2EC65BF4" w:rsidR="00EC69B5" w:rsidRPr="0036143B" w:rsidRDefault="0036143B">
            <w:pPr>
              <w:rPr>
                <w:sz w:val="20"/>
                <w:szCs w:val="20"/>
                <w:lang w:val="vi-VN"/>
              </w:rPr>
            </w:pPr>
            <w:r>
              <w:rPr>
                <w:sz w:val="20"/>
                <w:szCs w:val="20"/>
              </w:rPr>
              <w:t>Khu</w:t>
            </w:r>
            <w:r>
              <w:rPr>
                <w:sz w:val="20"/>
                <w:szCs w:val="20"/>
                <w:lang w:val="vi-VN"/>
              </w:rPr>
              <w:t xml:space="preserve"> vực hành động chính</w:t>
            </w:r>
          </w:p>
        </w:tc>
        <w:tc>
          <w:tcPr>
            <w:tcW w:w="13620" w:type="dxa"/>
            <w:gridSpan w:val="7"/>
            <w:tcBorders>
              <w:left w:val="single" w:sz="4" w:space="0" w:color="156082"/>
            </w:tcBorders>
            <w:shd w:val="clear" w:color="auto" w:fill="00B0F0"/>
          </w:tcPr>
          <w:p w14:paraId="79C715FF" w14:textId="46797C65" w:rsidR="00EC69B5" w:rsidRPr="00E825F6" w:rsidRDefault="00BA1E04">
            <w:pPr>
              <w:cnfStyle w:val="000000100000" w:firstRow="0" w:lastRow="0" w:firstColumn="0" w:lastColumn="0" w:oddVBand="0" w:evenVBand="0" w:oddHBand="1" w:evenHBand="0" w:firstRowFirstColumn="0" w:firstRowLastColumn="0" w:lastRowFirstColumn="0" w:lastRowLastColumn="0"/>
              <w:rPr>
                <w:rFonts w:eastAsiaTheme="minorEastAsia"/>
                <w:b/>
                <w:bCs/>
                <w:sz w:val="20"/>
                <w:szCs w:val="20"/>
                <w:lang w:val="vi-VN"/>
              </w:rPr>
            </w:pPr>
            <w:r>
              <w:rPr>
                <w:b/>
                <w:bCs/>
                <w:sz w:val="20"/>
                <w:szCs w:val="20"/>
              </w:rPr>
              <w:t>6.2.10.2</w:t>
            </w:r>
            <w:r w:rsidR="00986B6C" w:rsidRPr="004F1D15">
              <w:rPr>
                <w:b/>
                <w:sz w:val="20"/>
                <w:szCs w:val="20"/>
              </w:rPr>
              <w:t xml:space="preserve"> </w:t>
            </w:r>
            <w:r w:rsidR="00E825F6" w:rsidRPr="00E825F6">
              <w:rPr>
                <w:b/>
                <w:sz w:val="20"/>
                <w:szCs w:val="20"/>
                <w:lang w:val="vi-VN"/>
              </w:rPr>
              <w:t>Tăng cường việc áp dụng MCCs trong các doanh nghiệp trong nước</w:t>
            </w:r>
          </w:p>
        </w:tc>
      </w:tr>
      <w:tr w:rsidR="00EC69B5" w:rsidRPr="004F1D15" w14:paraId="4562016C" w14:textId="77777777" w:rsidTr="00297FD7">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156082"/>
              <w:bottom w:val="single" w:sz="4" w:space="0" w:color="156082"/>
              <w:right w:val="single" w:sz="4" w:space="0" w:color="156082"/>
            </w:tcBorders>
            <w:shd w:val="clear" w:color="auto" w:fill="BDD6EE" w:themeFill="accent5" w:themeFillTint="66"/>
          </w:tcPr>
          <w:p w14:paraId="5A8D99FD" w14:textId="14012367" w:rsidR="00EC69B5" w:rsidRPr="00E825F6" w:rsidRDefault="00E825F6">
            <w:pPr>
              <w:rPr>
                <w:sz w:val="20"/>
                <w:szCs w:val="20"/>
                <w:lang w:val="vi-VN"/>
              </w:rPr>
            </w:pPr>
            <w:r>
              <w:rPr>
                <w:sz w:val="20"/>
                <w:szCs w:val="20"/>
              </w:rPr>
              <w:t>Mục</w:t>
            </w:r>
            <w:r>
              <w:rPr>
                <w:sz w:val="20"/>
                <w:szCs w:val="20"/>
                <w:lang w:val="vi-VN"/>
              </w:rPr>
              <w:t xml:space="preserve"> tiêu</w:t>
            </w:r>
          </w:p>
        </w:tc>
        <w:tc>
          <w:tcPr>
            <w:tcW w:w="13620" w:type="dxa"/>
            <w:gridSpan w:val="7"/>
            <w:tcBorders>
              <w:left w:val="single" w:sz="4" w:space="0" w:color="156082"/>
            </w:tcBorders>
            <w:shd w:val="clear" w:color="auto" w:fill="BDD6EE" w:themeFill="accent5" w:themeFillTint="66"/>
          </w:tcPr>
          <w:p w14:paraId="6F36ECD2" w14:textId="34A76F5E" w:rsidR="00986B6C" w:rsidRPr="00516087" w:rsidRDefault="00E825F6"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DengXian" w:hAnsi="Arial"/>
                <w:b/>
                <w:sz w:val="20"/>
                <w:szCs w:val="20"/>
                <w:lang w:val="en-GB"/>
              </w:rPr>
            </w:pPr>
            <w:r w:rsidRPr="00E825F6">
              <w:rPr>
                <w:rFonts w:ascii="Arial" w:hAnsi="Arial"/>
                <w:b/>
                <w:sz w:val="20"/>
                <w:szCs w:val="20"/>
                <w:lang w:val="en-GB"/>
              </w:rPr>
              <w:t xml:space="preserve">Thúc đẩy Thương mại và Năng lực Cạnh tranh Kinh tế: </w:t>
            </w:r>
            <w:r w:rsidRPr="00E825F6">
              <w:rPr>
                <w:rFonts w:ascii="Arial" w:hAnsi="Arial"/>
                <w:bCs/>
                <w:sz w:val="20"/>
                <w:szCs w:val="20"/>
                <w:lang w:val="en-GB"/>
              </w:rPr>
              <w:t>Cho phép dòng chảy dữ liệu xuyên biên giới diễn ra tự do giúp đẩy nhanh các giao dịch và hoạt động xuyên biên giới, từ đó thúc đẩy thương mại nội khối ASEAN và nâng cao năng lực cạnh tranh kinh tế của ASEAN</w:t>
            </w:r>
            <w:r w:rsidR="00986B6C" w:rsidRPr="00E825F6">
              <w:rPr>
                <w:rFonts w:ascii="Arial" w:eastAsia="DengXian" w:hAnsi="Arial"/>
                <w:bCs/>
                <w:sz w:val="20"/>
                <w:szCs w:val="20"/>
                <w:lang w:val="en-GB"/>
              </w:rPr>
              <w:t>.</w:t>
            </w:r>
          </w:p>
          <w:p w14:paraId="292828BB" w14:textId="52624EE9" w:rsidR="00986B6C" w:rsidRPr="00DE468A" w:rsidRDefault="00DE468A"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DengXian" w:hAnsi="Arial"/>
                <w:bCs/>
                <w:sz w:val="20"/>
                <w:szCs w:val="20"/>
                <w:lang w:val="en-GB"/>
              </w:rPr>
            </w:pPr>
            <w:r w:rsidRPr="00DE468A">
              <w:rPr>
                <w:rFonts w:ascii="Arial" w:eastAsia="DengXian" w:hAnsi="Arial"/>
                <w:b/>
                <w:sz w:val="20"/>
                <w:szCs w:val="20"/>
                <w:lang w:val="en-GB"/>
              </w:rPr>
              <w:t xml:space="preserve">Tăng cường Năng lực Khu vực Tư nhân: </w:t>
            </w:r>
            <w:r w:rsidRPr="00DE468A">
              <w:rPr>
                <w:rFonts w:ascii="Arial" w:eastAsia="DengXian" w:hAnsi="Arial"/>
                <w:bCs/>
                <w:sz w:val="20"/>
                <w:szCs w:val="20"/>
                <w:lang w:val="en-GB"/>
              </w:rPr>
              <w:t>Hỗ trợ các doanh nghiệp hiểu và đáp ứng các yêu cầu cần thiết về quyền riêng tư và bảo vệ dữ liệu để áp dụng MCCs thông qua hướng dẫn, thông lệ tốt nhất và dịch vụ tư vấn</w:t>
            </w:r>
            <w:r w:rsidR="00986B6C" w:rsidRPr="00DE468A">
              <w:rPr>
                <w:rFonts w:ascii="Arial" w:eastAsia="DengXian" w:hAnsi="Arial"/>
                <w:bCs/>
                <w:sz w:val="20"/>
                <w:szCs w:val="20"/>
                <w:lang w:val="en-GB"/>
              </w:rPr>
              <w:t>.</w:t>
            </w:r>
          </w:p>
          <w:p w14:paraId="508625B9" w14:textId="5F9ACFFB" w:rsidR="00EC69B5" w:rsidRPr="00516087" w:rsidRDefault="00DE468A"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DengXian" w:hAnsi="Arial"/>
                <w:b/>
                <w:sz w:val="20"/>
                <w:szCs w:val="20"/>
                <w:lang w:val="en-GB"/>
              </w:rPr>
            </w:pPr>
            <w:r w:rsidRPr="00DE468A">
              <w:rPr>
                <w:rFonts w:ascii="Arial" w:hAnsi="Arial"/>
                <w:b/>
                <w:sz w:val="20"/>
                <w:szCs w:val="20"/>
                <w:lang w:val="en-GB"/>
              </w:rPr>
              <w:t xml:space="preserve">Tăng cường Mức độ Sẵn sàng và Năng lực Thể chế: </w:t>
            </w:r>
            <w:r w:rsidRPr="00DE468A">
              <w:rPr>
                <w:rFonts w:ascii="Arial" w:hAnsi="Arial"/>
                <w:bCs/>
                <w:sz w:val="20"/>
                <w:szCs w:val="20"/>
                <w:lang w:val="en-GB"/>
              </w:rPr>
              <w:t>Cung cấp hỗ trợ cho các cơ quan trong các quốc gia thành viên ASEAN (AMS) nhằm xây dựng và hài hòa hóa các khuôn khổ lập pháp và quy định về quản trị, bảo vệ và quyền riêng tư dữ liệu</w:t>
            </w:r>
            <w:r w:rsidR="00986B6C" w:rsidRPr="00DE468A">
              <w:rPr>
                <w:rFonts w:ascii="Arial" w:eastAsia="DengXian" w:hAnsi="Arial"/>
                <w:bCs/>
                <w:sz w:val="20"/>
                <w:szCs w:val="20"/>
                <w:lang w:val="en-GB"/>
              </w:rPr>
              <w:t>.</w:t>
            </w:r>
          </w:p>
        </w:tc>
      </w:tr>
      <w:tr w:rsidR="00EC69B5" w:rsidRPr="004F1D15" w14:paraId="372E6CEF" w14:textId="77777777" w:rsidTr="6BB67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tcPr>
          <w:p w14:paraId="5BDD768E" w14:textId="4D288BCC" w:rsidR="00EC69B5" w:rsidRPr="004F1D15" w:rsidRDefault="00BA1E04">
            <w:pPr>
              <w:rPr>
                <w:sz w:val="20"/>
                <w:szCs w:val="20"/>
              </w:rPr>
            </w:pPr>
            <w:r>
              <w:rPr>
                <w:sz w:val="20"/>
                <w:szCs w:val="20"/>
              </w:rPr>
              <w:t>6.2.10.2</w:t>
            </w:r>
            <w:r w:rsidR="00986B6C" w:rsidRPr="004F1D15">
              <w:rPr>
                <w:sz w:val="20"/>
                <w:szCs w:val="20"/>
              </w:rPr>
              <w:t xml:space="preserve"> </w:t>
            </w:r>
            <w:r w:rsidR="00E825F6" w:rsidRPr="00E825F6">
              <w:rPr>
                <w:sz w:val="20"/>
                <w:szCs w:val="20"/>
              </w:rPr>
              <w:t>Tăng cường việc áp dụng MCCs trong các doanh nghiệp trong nước</w:t>
            </w:r>
          </w:p>
        </w:tc>
        <w:tc>
          <w:tcPr>
            <w:tcW w:w="3764" w:type="dxa"/>
            <w:tcBorders>
              <w:left w:val="single" w:sz="4" w:space="0" w:color="156082"/>
              <w:right w:val="single" w:sz="4" w:space="0" w:color="156082"/>
            </w:tcBorders>
          </w:tcPr>
          <w:p w14:paraId="0C39084E" w14:textId="2EFC50F6" w:rsidR="00986B6C" w:rsidRPr="00DE468A" w:rsidRDefault="00DE468A" w:rsidP="00C82E40">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bCs/>
                <w:sz w:val="20"/>
                <w:szCs w:val="20"/>
                <w:lang w:val="en-GB"/>
              </w:rPr>
            </w:pPr>
            <w:r w:rsidRPr="00DE468A">
              <w:rPr>
                <w:rFonts w:ascii="Arial" w:hAnsi="Arial"/>
                <w:b/>
                <w:sz w:val="20"/>
                <w:szCs w:val="20"/>
                <w:lang w:val="en-GB"/>
              </w:rPr>
              <w:t xml:space="preserve">Hướng dẫn vận hành MCCs: </w:t>
            </w:r>
            <w:r w:rsidRPr="00DE468A">
              <w:rPr>
                <w:rFonts w:ascii="Arial" w:hAnsi="Arial"/>
                <w:bCs/>
                <w:sz w:val="20"/>
                <w:szCs w:val="20"/>
                <w:lang w:val="en-GB"/>
              </w:rPr>
              <w:t>Xây dựng hướng dẫn cho các doanh nghiệp trong nước nhằm vận hành hóa MCCs</w:t>
            </w:r>
            <w:r w:rsidR="00986B6C" w:rsidRPr="00DE468A">
              <w:rPr>
                <w:rFonts w:ascii="Arial" w:hAnsi="Arial"/>
                <w:bCs/>
                <w:sz w:val="20"/>
                <w:szCs w:val="20"/>
                <w:lang w:val="en-GB"/>
              </w:rPr>
              <w:t>.</w:t>
            </w:r>
          </w:p>
          <w:p w14:paraId="03004CCA" w14:textId="617EC1B2" w:rsidR="00986B6C" w:rsidRPr="00934ED4" w:rsidRDefault="00DE468A" w:rsidP="00934ED4">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DE468A">
              <w:rPr>
                <w:rFonts w:ascii="Arial" w:hAnsi="Arial"/>
                <w:b/>
                <w:sz w:val="20"/>
                <w:szCs w:val="20"/>
                <w:lang w:val="en-GB"/>
              </w:rPr>
              <w:t xml:space="preserve">Dịch vụ tư vấn và Chương trình đào tạo: </w:t>
            </w:r>
            <w:r w:rsidRPr="00DE468A">
              <w:rPr>
                <w:rFonts w:ascii="Arial" w:hAnsi="Arial"/>
                <w:bCs/>
                <w:sz w:val="20"/>
                <w:szCs w:val="20"/>
                <w:lang w:val="en-GB"/>
              </w:rPr>
              <w:t>Xây dựng và triển khai các chương trình đào tạo và chương trình chứng nhận cho doanh nghiệp, đặc biệt là MSMEs, về các khuôn khổ pháp lý liên quan đến quyền riêng tư và bảo vệ dữ liệu. Cung cấp dịch vụ tư vấn để hỗ trợ việc triển khai và áp dụng MCCs và giảm gánh nặng hành chính đối với dòng chảy dữ liệu xuyên biên giới</w:t>
            </w:r>
            <w:r w:rsidR="00986B6C" w:rsidRPr="00DE468A">
              <w:rPr>
                <w:rFonts w:ascii="Arial" w:hAnsi="Arial"/>
                <w:bCs/>
                <w:sz w:val="20"/>
                <w:szCs w:val="20"/>
                <w:lang w:val="en-GB"/>
              </w:rPr>
              <w:t>.</w:t>
            </w:r>
          </w:p>
          <w:p w14:paraId="3D8E9A8E" w14:textId="2C204E6E" w:rsidR="00986B6C" w:rsidRPr="00DE468A" w:rsidRDefault="00DE468A" w:rsidP="008035D5">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bCs/>
                <w:sz w:val="20"/>
                <w:szCs w:val="20"/>
                <w:lang w:val="en-GB"/>
              </w:rPr>
            </w:pPr>
            <w:r w:rsidRPr="00DE468A">
              <w:rPr>
                <w:rFonts w:ascii="Arial" w:hAnsi="Arial"/>
                <w:b/>
                <w:sz w:val="20"/>
                <w:szCs w:val="20"/>
                <w:lang w:val="en-GB"/>
              </w:rPr>
              <w:t xml:space="preserve">Hỗ trợ thể chế và Hỗ trợ kỹ thuật: </w:t>
            </w:r>
            <w:r w:rsidRPr="00DE468A">
              <w:rPr>
                <w:rFonts w:ascii="Arial" w:hAnsi="Arial"/>
                <w:bCs/>
                <w:sz w:val="20"/>
                <w:szCs w:val="20"/>
                <w:lang w:val="en-GB"/>
              </w:rPr>
              <w:t xml:space="preserve">Tăng cường năng lực cho các cơ quan quốc gia nhằm xây dựng và hài hòa hóa các quy định về quản trị, </w:t>
            </w:r>
            <w:r w:rsidRPr="00DE468A">
              <w:rPr>
                <w:rFonts w:ascii="Arial" w:hAnsi="Arial"/>
                <w:bCs/>
                <w:sz w:val="20"/>
                <w:szCs w:val="20"/>
                <w:lang w:val="en-GB"/>
              </w:rPr>
              <w:lastRenderedPageBreak/>
              <w:t>quyền riêng tư và bảo vệ dữ liệu và áp dụng các tiêu chuẩn. Tăng cường hợp tác và chia sẻ thông tin giữa các AMS để giải quyết thách thức và chia sẻ thông lệ tốt nhất, cũng như cung cấp hỗ trợ kỹ thuật cho các chính phủ và cơ quan của AMS</w:t>
            </w:r>
            <w:r w:rsidR="00986B6C" w:rsidRPr="00DE468A">
              <w:rPr>
                <w:rFonts w:ascii="Arial" w:eastAsia="DengXian" w:hAnsi="Arial"/>
                <w:bCs/>
                <w:sz w:val="20"/>
                <w:szCs w:val="20"/>
                <w:lang w:val="en-GB"/>
              </w:rPr>
              <w:t>.</w:t>
            </w:r>
          </w:p>
          <w:p w14:paraId="7A3F5E63" w14:textId="77777777" w:rsidR="00EC69B5" w:rsidRPr="004F1D15" w:rsidRDefault="00EC69B5">
            <w:pPr>
              <w:cnfStyle w:val="000000100000" w:firstRow="0" w:lastRow="0" w:firstColumn="0" w:lastColumn="0" w:oddVBand="0" w:evenVBand="0" w:oddHBand="1" w:evenHBand="0" w:firstRowFirstColumn="0" w:firstRowLastColumn="0" w:lastRowFirstColumn="0" w:lastRowLastColumn="0"/>
              <w:rPr>
                <w:sz w:val="20"/>
                <w:szCs w:val="20"/>
              </w:rPr>
            </w:pPr>
          </w:p>
        </w:tc>
        <w:tc>
          <w:tcPr>
            <w:tcW w:w="3764" w:type="dxa"/>
            <w:gridSpan w:val="2"/>
            <w:tcBorders>
              <w:left w:val="single" w:sz="4" w:space="0" w:color="156082"/>
              <w:right w:val="single" w:sz="4" w:space="0" w:color="156082"/>
            </w:tcBorders>
          </w:tcPr>
          <w:p w14:paraId="07B9604E" w14:textId="2E33B85F" w:rsidR="00EC69B5" w:rsidRPr="004F1D15" w:rsidRDefault="00832793">
            <w:pPr>
              <w:cnfStyle w:val="000000100000" w:firstRow="0" w:lastRow="0" w:firstColumn="0" w:lastColumn="0" w:oddVBand="0" w:evenVBand="0" w:oddHBand="1" w:evenHBand="0" w:firstRowFirstColumn="0" w:firstRowLastColumn="0" w:lastRowFirstColumn="0" w:lastRowLastColumn="0"/>
              <w:rPr>
                <w:sz w:val="20"/>
                <w:szCs w:val="20"/>
              </w:rPr>
            </w:pPr>
            <w:r w:rsidRPr="00832793">
              <w:rPr>
                <w:sz w:val="20"/>
                <w:szCs w:val="20"/>
              </w:rPr>
              <w:lastRenderedPageBreak/>
              <w:t>Ngắn hạn</w:t>
            </w:r>
            <w:r w:rsidR="00EC69B5" w:rsidRPr="004F1D15">
              <w:rPr>
                <w:sz w:val="20"/>
                <w:szCs w:val="20"/>
              </w:rPr>
              <w:t>:</w:t>
            </w:r>
          </w:p>
          <w:p w14:paraId="536B5753" w14:textId="77777777" w:rsidR="00832793" w:rsidRPr="00832793" w:rsidRDefault="00832793" w:rsidP="00832793">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832793">
              <w:rPr>
                <w:rFonts w:ascii="Arial" w:eastAsia="DengXian" w:hAnsi="Arial"/>
                <w:sz w:val="20"/>
                <w:szCs w:val="20"/>
                <w:lang w:val="en-GB"/>
              </w:rPr>
              <w:t>Đánh giá nhu cầu đào tạo, nhu cầu tuân thủ và các khoảng trống về kỹ năng của các doanh nghiệp trong khối AMS.</w:t>
            </w:r>
          </w:p>
          <w:p w14:paraId="5801DB40" w14:textId="19FD8252" w:rsidR="00832793" w:rsidRPr="00832793" w:rsidRDefault="00832793" w:rsidP="00832793">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832793">
              <w:rPr>
                <w:rFonts w:ascii="Arial" w:eastAsia="DengXian" w:hAnsi="Arial"/>
                <w:sz w:val="20"/>
                <w:szCs w:val="20"/>
                <w:lang w:val="en-GB"/>
              </w:rPr>
              <w:t>Triển khai các chương trình đào tạo thí điểm tại một số AMS được lựa chọn, tập trung vào các kỹ năng và năng lực thiết yếu cho MSMEs.</w:t>
            </w:r>
          </w:p>
          <w:p w14:paraId="5A4506C2" w14:textId="3A3F0089" w:rsidR="00832793" w:rsidRPr="00832793" w:rsidRDefault="00832793" w:rsidP="00832793">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832793">
              <w:rPr>
                <w:rFonts w:ascii="Arial" w:eastAsia="DengXian" w:hAnsi="Arial"/>
                <w:sz w:val="20"/>
                <w:szCs w:val="20"/>
                <w:lang w:val="en-GB"/>
              </w:rPr>
              <w:t>Xây dựng hướng dẫn ban đầu cho doanh nghiệp nhằm vận hành hóa MCCs. Tham vấn các bên liên quan từ khu vực công và tư để lấy phản hồi về dự thảo hướng dẫn và cập nhật hướng dẫn theo phản hồi.</w:t>
            </w:r>
          </w:p>
          <w:p w14:paraId="2B0F637E" w14:textId="29524D26" w:rsidR="00986B6C" w:rsidRPr="00516087" w:rsidRDefault="00832793" w:rsidP="00832793">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832793">
              <w:rPr>
                <w:rFonts w:ascii="Arial" w:eastAsia="DengXian" w:hAnsi="Arial"/>
                <w:sz w:val="20"/>
                <w:szCs w:val="20"/>
                <w:lang w:val="en-GB"/>
              </w:rPr>
              <w:t xml:space="preserve">Đánh giá các khoảng trống trong năng lực thể chế hiện tại và xây dựng cơ chế cấp vùng cho đào tạo </w:t>
            </w:r>
            <w:r w:rsidRPr="00832793">
              <w:rPr>
                <w:rFonts w:ascii="Arial" w:eastAsia="DengXian" w:hAnsi="Arial"/>
                <w:sz w:val="20"/>
                <w:szCs w:val="20"/>
                <w:lang w:val="en-GB"/>
              </w:rPr>
              <w:lastRenderedPageBreak/>
              <w:t>khu vực công, hợp tác và chia sẻ thông tin giữa các AMS</w:t>
            </w:r>
            <w:r w:rsidR="00986B6C" w:rsidRPr="00516087">
              <w:rPr>
                <w:rFonts w:ascii="Arial" w:eastAsia="DengXian" w:hAnsi="Arial"/>
                <w:sz w:val="20"/>
                <w:szCs w:val="20"/>
                <w:lang w:val="en-GB"/>
              </w:rPr>
              <w:t>.</w:t>
            </w:r>
            <w:r w:rsidR="004B0B6A" w:rsidRPr="00516087">
              <w:rPr>
                <w:rFonts w:ascii="Arial" w:eastAsia="DengXian" w:hAnsi="Arial"/>
                <w:sz w:val="20"/>
                <w:szCs w:val="20"/>
                <w:lang w:val="en-GB"/>
              </w:rPr>
              <w:br/>
            </w:r>
          </w:p>
          <w:p w14:paraId="0868ADAC" w14:textId="45CDBB88" w:rsidR="00EC69B5" w:rsidRPr="004F1D15" w:rsidRDefault="00832793">
            <w:pPr>
              <w:cnfStyle w:val="000000100000" w:firstRow="0" w:lastRow="0" w:firstColumn="0" w:lastColumn="0" w:oddVBand="0" w:evenVBand="0" w:oddHBand="1" w:evenHBand="0" w:firstRowFirstColumn="0" w:firstRowLastColumn="0" w:lastRowFirstColumn="0" w:lastRowLastColumn="0"/>
              <w:rPr>
                <w:sz w:val="20"/>
                <w:szCs w:val="20"/>
              </w:rPr>
            </w:pPr>
            <w:r w:rsidRPr="00832793">
              <w:rPr>
                <w:sz w:val="20"/>
                <w:szCs w:val="20"/>
              </w:rPr>
              <w:t>Trung hạn</w:t>
            </w:r>
            <w:r w:rsidR="00EC69B5" w:rsidRPr="004F1D15">
              <w:rPr>
                <w:sz w:val="20"/>
                <w:szCs w:val="20"/>
              </w:rPr>
              <w:t>:</w:t>
            </w:r>
          </w:p>
          <w:p w14:paraId="48B698FE" w14:textId="77777777" w:rsidR="00832793" w:rsidRPr="00832793" w:rsidRDefault="00832793" w:rsidP="00832793">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832793">
              <w:rPr>
                <w:rFonts w:ascii="Arial" w:eastAsia="DengXian" w:hAnsi="Arial"/>
                <w:sz w:val="20"/>
                <w:szCs w:val="20"/>
                <w:lang w:val="en-GB"/>
              </w:rPr>
              <w:t>Đánh giá hiệu quả của các chương trình thí điểm và mở rộng các chương trình đào tạo dựa trên phản hồi đối với các doanh nghiệp khác.</w:t>
            </w:r>
          </w:p>
          <w:p w14:paraId="20182E1A" w14:textId="0BBE007C" w:rsidR="00832793" w:rsidRPr="00832793" w:rsidRDefault="00832793" w:rsidP="00832793">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832793">
              <w:rPr>
                <w:rFonts w:ascii="Arial" w:eastAsia="DengXian" w:hAnsi="Arial"/>
                <w:sz w:val="20"/>
                <w:szCs w:val="20"/>
                <w:lang w:val="en-GB"/>
              </w:rPr>
              <w:t>Phát triển quan hệ đối tác với các cơ sở giáo dục và hiệp hội ngành để cung cấp các cơ hội học tập liên tục.</w:t>
            </w:r>
          </w:p>
          <w:p w14:paraId="5AAD6F83" w14:textId="198700E8" w:rsidR="00832793" w:rsidRPr="00832793" w:rsidRDefault="00832793" w:rsidP="00832793">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832793">
              <w:rPr>
                <w:rFonts w:ascii="Arial" w:eastAsia="DengXian" w:hAnsi="Arial"/>
                <w:sz w:val="20"/>
                <w:szCs w:val="20"/>
                <w:lang w:val="en-GB"/>
              </w:rPr>
              <w:t>Xây dựng các chương trình chứng nhận phối hợp với các tổ chức quốc tế nhằm đảm bảo chuyên gia được trang bị đầy đủ kiến thức về triển khai và quản lý MCCs.</w:t>
            </w:r>
          </w:p>
          <w:p w14:paraId="4A9BED26" w14:textId="3C02EB4E" w:rsidR="00832793" w:rsidRPr="00832793" w:rsidRDefault="00832793" w:rsidP="00832793">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832793">
              <w:rPr>
                <w:rFonts w:ascii="Arial" w:eastAsia="DengXian" w:hAnsi="Arial"/>
                <w:sz w:val="20"/>
                <w:szCs w:val="20"/>
                <w:lang w:val="en-GB"/>
              </w:rPr>
              <w:t>Thông qua hướng dẫn cho doanh nghiệp nhằm vận hành hóa MCCs.</w:t>
            </w:r>
          </w:p>
          <w:p w14:paraId="5AE5AE9C" w14:textId="32C1AF55" w:rsidR="00832793" w:rsidRPr="00832793" w:rsidRDefault="00832793" w:rsidP="00832793">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832793">
              <w:rPr>
                <w:rFonts w:ascii="Arial" w:eastAsia="DengXian" w:hAnsi="Arial"/>
                <w:sz w:val="20"/>
                <w:szCs w:val="20"/>
                <w:lang w:val="en-GB"/>
              </w:rPr>
              <w:t>Mở rộng cơ chế hỗ trợ khu vực công để cung cấp hỗ trợ kỹ thuật cho việc triển khai các quy định về quản trị, quyền riêng tư và bảo vệ dữ liệu, cũng như giám sát việc tuân thủ của doanh nghiệp.</w:t>
            </w:r>
          </w:p>
          <w:p w14:paraId="3B637F62" w14:textId="24BEBA67" w:rsidR="00986B6C" w:rsidRPr="00516087" w:rsidRDefault="00832793" w:rsidP="00832793">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832793">
              <w:rPr>
                <w:rFonts w:ascii="Arial" w:eastAsia="DengXian" w:hAnsi="Arial"/>
                <w:sz w:val="20"/>
                <w:szCs w:val="20"/>
                <w:lang w:val="en-GB"/>
              </w:rPr>
              <w:t>Triển khai các cơ chế giám sát và đánh giá nhằm đo lường hiệu quả và tác động của các chương trình đào tạo và dịch vụ tư vấn. Thu thập phản hồi từ người tham gia và các bên liên quan nhằm xác định các lĩnh vực cần cải thiện và tối ưu hóa</w:t>
            </w:r>
            <w:r w:rsidR="00986B6C" w:rsidRPr="00516087">
              <w:rPr>
                <w:rFonts w:ascii="Arial" w:eastAsia="DengXian" w:hAnsi="Arial"/>
                <w:sz w:val="20"/>
                <w:szCs w:val="20"/>
                <w:lang w:val="en-GB"/>
              </w:rPr>
              <w:t xml:space="preserve">. </w:t>
            </w:r>
            <w:r w:rsidR="004B0B6A" w:rsidRPr="00516087">
              <w:rPr>
                <w:rFonts w:ascii="Arial" w:eastAsia="DengXian" w:hAnsi="Arial"/>
                <w:sz w:val="20"/>
                <w:szCs w:val="20"/>
                <w:lang w:val="en-GB"/>
              </w:rPr>
              <w:br/>
            </w:r>
          </w:p>
          <w:p w14:paraId="731AB25B" w14:textId="2CC2E464" w:rsidR="00EC69B5" w:rsidRPr="004F1D15" w:rsidRDefault="00832793">
            <w:pPr>
              <w:cnfStyle w:val="000000100000" w:firstRow="0" w:lastRow="0" w:firstColumn="0" w:lastColumn="0" w:oddVBand="0" w:evenVBand="0" w:oddHBand="1" w:evenHBand="0" w:firstRowFirstColumn="0" w:firstRowLastColumn="0" w:lastRowFirstColumn="0" w:lastRowLastColumn="0"/>
              <w:rPr>
                <w:sz w:val="20"/>
                <w:szCs w:val="20"/>
              </w:rPr>
            </w:pPr>
            <w:r w:rsidRPr="00832793">
              <w:rPr>
                <w:sz w:val="20"/>
                <w:szCs w:val="20"/>
              </w:rPr>
              <w:t>Dài hạn</w:t>
            </w:r>
            <w:r w:rsidR="00EC69B5" w:rsidRPr="004F1D15">
              <w:rPr>
                <w:sz w:val="20"/>
                <w:szCs w:val="20"/>
              </w:rPr>
              <w:t>:</w:t>
            </w:r>
          </w:p>
          <w:p w14:paraId="5020F45C" w14:textId="77777777" w:rsidR="00832793" w:rsidRPr="00832793" w:rsidRDefault="00832793" w:rsidP="00832793">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832793">
              <w:rPr>
                <w:rFonts w:ascii="Arial" w:eastAsia="DengXian" w:hAnsi="Arial"/>
                <w:sz w:val="20"/>
                <w:szCs w:val="20"/>
                <w:lang w:val="en-GB"/>
              </w:rPr>
              <w:lastRenderedPageBreak/>
              <w:t>Thường xuyên cập nhật nội dung đào tạo để phản ánh các tiến bộ công nghệ, động thái thị trường và các khuôn khổ chính sách và quy định thay đổi.</w:t>
            </w:r>
          </w:p>
          <w:p w14:paraId="1B4B5A72" w14:textId="4F79508B" w:rsidR="00832793" w:rsidRPr="00832793" w:rsidRDefault="00832793" w:rsidP="00832793">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832793">
              <w:rPr>
                <w:rFonts w:ascii="Arial" w:eastAsia="DengXian" w:hAnsi="Arial"/>
                <w:sz w:val="20"/>
                <w:szCs w:val="20"/>
                <w:lang w:val="en-GB"/>
              </w:rPr>
              <w:t>Rà soát hướng dẫn cho doanh nghiệp nhằm vận hành hóa MCCs và cập nhật để phản ánh các thay đổi trong khuôn khổ chính sách và quy định.</w:t>
            </w:r>
          </w:p>
          <w:p w14:paraId="34D985E8" w14:textId="6F593A54" w:rsidR="00832793" w:rsidRPr="00832793" w:rsidRDefault="00832793" w:rsidP="00832793">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832793">
              <w:rPr>
                <w:rFonts w:ascii="Arial" w:eastAsia="DengXian" w:hAnsi="Arial"/>
                <w:sz w:val="20"/>
                <w:szCs w:val="20"/>
                <w:lang w:val="en-GB"/>
              </w:rPr>
              <w:t>Duy trì hỗ trợ thể chế mạnh mẽ cho các cơ quan quốc gia và cấp khu vực.</w:t>
            </w:r>
          </w:p>
          <w:p w14:paraId="4941B377" w14:textId="7D1D6218" w:rsidR="00EC69B5" w:rsidRPr="004F1D15" w:rsidRDefault="00832793" w:rsidP="00832793">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Pr>
                <w:rFonts w:ascii="Arial" w:eastAsia="DengXian" w:hAnsi="Arial"/>
                <w:sz w:val="20"/>
                <w:szCs w:val="20"/>
                <w:lang w:val="en-GB"/>
              </w:rPr>
              <w:t>T</w:t>
            </w:r>
            <w:r w:rsidRPr="00832793">
              <w:rPr>
                <w:rFonts w:ascii="Arial" w:eastAsia="DengXian" w:hAnsi="Arial"/>
                <w:sz w:val="20"/>
                <w:szCs w:val="20"/>
                <w:lang w:val="en-GB"/>
              </w:rPr>
              <w:t>ăng cường hợp tác với các đối tác toàn cầu nhằm cập nhật thông lệ tốt nhất về dòng chảy dữ liệu xuyên biên giới</w:t>
            </w:r>
            <w:r w:rsidR="00986B6C" w:rsidRPr="004F1D15">
              <w:rPr>
                <w:rFonts w:ascii="Arial" w:eastAsia="DengXian" w:hAnsi="Arial"/>
                <w:sz w:val="20"/>
                <w:szCs w:val="20"/>
                <w:lang w:val="en-GB"/>
              </w:rPr>
              <w:t>.</w:t>
            </w:r>
          </w:p>
        </w:tc>
        <w:tc>
          <w:tcPr>
            <w:tcW w:w="2318" w:type="dxa"/>
            <w:gridSpan w:val="2"/>
            <w:tcBorders>
              <w:left w:val="single" w:sz="4" w:space="0" w:color="156082"/>
              <w:right w:val="single" w:sz="4" w:space="0" w:color="156082"/>
            </w:tcBorders>
          </w:tcPr>
          <w:p w14:paraId="44598B6E" w14:textId="70BAFA0D" w:rsidR="00EC69B5" w:rsidRPr="004F1D15" w:rsidRDefault="00333DA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Cơ</w:t>
            </w:r>
            <w:r>
              <w:rPr>
                <w:sz w:val="20"/>
                <w:szCs w:val="20"/>
                <w:lang w:val="vi-VN"/>
              </w:rPr>
              <w:t xml:space="preserve"> quan điều phối</w:t>
            </w:r>
            <w:r w:rsidR="44A2C2F2" w:rsidRPr="004F1D15">
              <w:rPr>
                <w:sz w:val="20"/>
                <w:szCs w:val="20"/>
              </w:rPr>
              <w:t>:</w:t>
            </w:r>
          </w:p>
          <w:p w14:paraId="540B890A" w14:textId="0B050327" w:rsidR="00473019" w:rsidRPr="00797C1F" w:rsidRDefault="00333DA4" w:rsidP="00473019">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Pr>
                <w:rFonts w:ascii="Arial" w:eastAsia="DengXian" w:hAnsi="Arial"/>
                <w:sz w:val="20"/>
                <w:szCs w:val="20"/>
                <w:lang w:val="en-GB"/>
              </w:rPr>
              <w:t>Hội</w:t>
            </w:r>
            <w:r>
              <w:rPr>
                <w:rFonts w:ascii="Arial" w:eastAsia="DengXian" w:hAnsi="Arial"/>
                <w:sz w:val="20"/>
                <w:szCs w:val="20"/>
                <w:lang w:val="vi-VN"/>
              </w:rPr>
              <w:t xml:space="preserve"> nghị</w:t>
            </w:r>
            <w:r w:rsidRPr="00333DA4">
              <w:rPr>
                <w:rFonts w:ascii="Arial" w:eastAsia="DengXian" w:hAnsi="Arial"/>
                <w:sz w:val="20"/>
                <w:szCs w:val="20"/>
                <w:lang w:val="en-GB"/>
              </w:rPr>
              <w:t xml:space="preserve"> Quan chức Cấp cao </w:t>
            </w:r>
            <w:r w:rsidR="00616696">
              <w:rPr>
                <w:rFonts w:ascii="Arial" w:eastAsia="DengXian" w:hAnsi="Arial"/>
                <w:sz w:val="20"/>
                <w:szCs w:val="20"/>
                <w:lang w:val="en-GB"/>
              </w:rPr>
              <w:t>Số</w:t>
            </w:r>
            <w:r w:rsidRPr="00333DA4">
              <w:rPr>
                <w:rFonts w:ascii="Arial" w:eastAsia="DengXian" w:hAnsi="Arial"/>
                <w:sz w:val="20"/>
                <w:szCs w:val="20"/>
                <w:lang w:val="en-GB"/>
              </w:rPr>
              <w:t xml:space="preserve"> ASEAN </w:t>
            </w:r>
            <w:r w:rsidR="00F9599D" w:rsidRPr="00797C1F">
              <w:rPr>
                <w:rFonts w:ascii="Arial" w:eastAsia="DengXian" w:hAnsi="Arial"/>
                <w:sz w:val="20"/>
                <w:szCs w:val="20"/>
                <w:lang w:val="en-GB"/>
              </w:rPr>
              <w:t>(ADGSOM)</w:t>
            </w:r>
            <w:r w:rsidR="00473019" w:rsidRPr="00797C1F">
              <w:rPr>
                <w:rFonts w:ascii="Arial" w:eastAsia="DengXian" w:hAnsi="Arial"/>
                <w:sz w:val="20"/>
                <w:szCs w:val="20"/>
                <w:lang w:val="en-GB"/>
              </w:rPr>
              <w:t xml:space="preserve"> </w:t>
            </w:r>
          </w:p>
          <w:p w14:paraId="07359445" w14:textId="4457CDAC" w:rsidR="00473019" w:rsidRPr="00797C1F" w:rsidRDefault="00333DA4" w:rsidP="00473019">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333DA4">
              <w:rPr>
                <w:rFonts w:ascii="Arial" w:eastAsia="DengXian" w:hAnsi="Arial"/>
                <w:sz w:val="20"/>
                <w:szCs w:val="20"/>
                <w:lang w:val="en-GB"/>
              </w:rPr>
              <w:t xml:space="preserve">Nhóm Công tác về Quản trị Dữ liệu Số </w:t>
            </w:r>
            <w:r w:rsidR="00473019" w:rsidRPr="00797C1F">
              <w:rPr>
                <w:rFonts w:ascii="Arial" w:eastAsia="DengXian" w:hAnsi="Arial"/>
                <w:sz w:val="20"/>
                <w:szCs w:val="20"/>
                <w:lang w:val="en-GB"/>
              </w:rPr>
              <w:t xml:space="preserve">(WG-DDG) </w:t>
            </w:r>
          </w:p>
          <w:p w14:paraId="456D1EAE" w14:textId="2D85DF7A" w:rsidR="00F9599D" w:rsidRPr="00F9599D" w:rsidRDefault="00F9599D" w:rsidP="00473019">
            <w:pPr>
              <w:pStyle w:val="ListParagraph"/>
              <w:numPr>
                <w:ilvl w:val="0"/>
                <w:numId w:val="0"/>
              </w:numPr>
              <w:spacing w:after="0"/>
              <w:ind w:left="36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p>
        </w:tc>
        <w:tc>
          <w:tcPr>
            <w:tcW w:w="3774" w:type="dxa"/>
            <w:gridSpan w:val="2"/>
            <w:tcBorders>
              <w:left w:val="single" w:sz="4" w:space="0" w:color="156082"/>
            </w:tcBorders>
          </w:tcPr>
          <w:p w14:paraId="755939AC" w14:textId="1D0AF4C8" w:rsidR="00EC69B5" w:rsidRPr="004F1D15" w:rsidRDefault="00333DA4">
            <w:pPr>
              <w:cnfStyle w:val="000000100000" w:firstRow="0" w:lastRow="0" w:firstColumn="0" w:lastColumn="0" w:oddVBand="0" w:evenVBand="0" w:oddHBand="1" w:evenHBand="0" w:firstRowFirstColumn="0" w:firstRowLastColumn="0" w:lastRowFirstColumn="0" w:lastRowLastColumn="0"/>
              <w:rPr>
                <w:sz w:val="20"/>
                <w:szCs w:val="20"/>
              </w:rPr>
            </w:pPr>
            <w:r w:rsidRPr="00333DA4">
              <w:rPr>
                <w:sz w:val="20"/>
                <w:szCs w:val="20"/>
              </w:rPr>
              <w:t>Các thước đo tiến độ chung</w:t>
            </w:r>
            <w:r w:rsidR="00EC69B5" w:rsidRPr="004F1D15">
              <w:rPr>
                <w:sz w:val="20"/>
                <w:szCs w:val="20"/>
              </w:rPr>
              <w:t>:</w:t>
            </w:r>
          </w:p>
          <w:p w14:paraId="0C4B6C06" w14:textId="77777777" w:rsidR="00333DA4" w:rsidRPr="00333DA4" w:rsidRDefault="00333DA4" w:rsidP="00333DA4">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bCs/>
                <w:sz w:val="20"/>
                <w:szCs w:val="20"/>
                <w:lang w:val="en-GB"/>
              </w:rPr>
            </w:pPr>
            <w:r w:rsidRPr="00333DA4">
              <w:rPr>
                <w:rFonts w:ascii="Arial" w:hAnsi="Arial"/>
                <w:b/>
                <w:sz w:val="20"/>
                <w:szCs w:val="20"/>
                <w:lang w:val="en-GB"/>
              </w:rPr>
              <w:t xml:space="preserve">Tỷ lệ áp dụng: </w:t>
            </w:r>
            <w:r w:rsidRPr="00333DA4">
              <w:rPr>
                <w:rFonts w:ascii="Arial" w:hAnsi="Arial"/>
                <w:bCs/>
                <w:sz w:val="20"/>
                <w:szCs w:val="20"/>
                <w:lang w:val="en-GB"/>
              </w:rPr>
              <w:t>Tăng số lượng MCCs được doanh nghiệp trong nước áp dụng như công cụ chính cho dòng chảy dữ liệu xuyên biên giới.</w:t>
            </w:r>
          </w:p>
          <w:p w14:paraId="447BD9DA" w14:textId="18937185" w:rsidR="00333DA4" w:rsidRPr="00333DA4" w:rsidRDefault="00333DA4" w:rsidP="00333DA4">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bCs/>
                <w:sz w:val="20"/>
                <w:szCs w:val="20"/>
                <w:lang w:val="en-GB"/>
              </w:rPr>
            </w:pPr>
            <w:r w:rsidRPr="00333DA4">
              <w:rPr>
                <w:rFonts w:ascii="Arial" w:hAnsi="Arial"/>
                <w:b/>
                <w:sz w:val="20"/>
                <w:szCs w:val="20"/>
                <w:lang w:val="en-GB"/>
              </w:rPr>
              <w:t xml:space="preserve">Chỉ số cải thiện kỹ năng: </w:t>
            </w:r>
            <w:r w:rsidRPr="00333DA4">
              <w:rPr>
                <w:rFonts w:ascii="Arial" w:hAnsi="Arial"/>
                <w:bCs/>
                <w:sz w:val="20"/>
                <w:szCs w:val="20"/>
                <w:lang w:val="en-GB"/>
              </w:rPr>
              <w:t>Mức độ cải thiện kỹ năng của người tham gia, được đánh giá thông qua kiểm tra trước và sau đào tạo.</w:t>
            </w:r>
          </w:p>
          <w:p w14:paraId="7F13D710" w14:textId="09842D5E" w:rsidR="00EC69B5" w:rsidRPr="00516087" w:rsidRDefault="00333DA4" w:rsidP="00333DA4">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sz w:val="20"/>
                <w:szCs w:val="20"/>
                <w:lang w:val="en-GB"/>
              </w:rPr>
            </w:pPr>
            <w:r w:rsidRPr="00333DA4">
              <w:rPr>
                <w:rFonts w:ascii="Arial" w:hAnsi="Arial"/>
                <w:b/>
                <w:sz w:val="20"/>
                <w:szCs w:val="20"/>
                <w:lang w:val="en-GB"/>
              </w:rPr>
              <w:t xml:space="preserve">Mức độ tham gia của các bên liên quan: </w:t>
            </w:r>
            <w:r w:rsidRPr="00333DA4">
              <w:rPr>
                <w:rFonts w:ascii="Arial" w:hAnsi="Arial"/>
                <w:bCs/>
                <w:sz w:val="20"/>
                <w:szCs w:val="20"/>
                <w:lang w:val="en-GB"/>
              </w:rPr>
              <w:t>Số lượng các bên liên quan tham gia và phản hồi được thu thập.</w:t>
            </w:r>
          </w:p>
        </w:tc>
      </w:tr>
    </w:tbl>
    <w:p w14:paraId="497CCAA8" w14:textId="73E1D7F3" w:rsidR="00934ED4" w:rsidRDefault="00934ED4">
      <w:pPr>
        <w:spacing w:line="259" w:lineRule="auto"/>
        <w:jc w:val="left"/>
        <w:rPr>
          <w:rFonts w:eastAsia="Arial"/>
          <w:i/>
          <w:color w:val="657C9C" w:themeColor="text2" w:themeTint="BF"/>
          <w:sz w:val="20"/>
          <w:szCs w:val="20"/>
        </w:rPr>
      </w:pPr>
    </w:p>
    <w:p w14:paraId="7C436E0A" w14:textId="77777777" w:rsidR="00334681" w:rsidRDefault="00334681">
      <w:pPr>
        <w:spacing w:line="259" w:lineRule="auto"/>
        <w:jc w:val="left"/>
        <w:rPr>
          <w:rFonts w:eastAsia="Arial"/>
          <w:i/>
          <w:color w:val="657C9C" w:themeColor="text2" w:themeTint="BF"/>
          <w:sz w:val="20"/>
          <w:szCs w:val="20"/>
        </w:rPr>
      </w:pPr>
      <w:r>
        <w:rPr>
          <w:sz w:val="20"/>
        </w:rPr>
        <w:br w:type="page"/>
      </w:r>
    </w:p>
    <w:p w14:paraId="46685BA8" w14:textId="4B0EAA11" w:rsidR="00341DF4" w:rsidRPr="004F1D15" w:rsidRDefault="00D40E2F" w:rsidP="00C82E40">
      <w:pPr>
        <w:pStyle w:val="Heading4"/>
        <w:rPr>
          <w:sz w:val="20"/>
          <w:lang w:val="en-GB"/>
        </w:rPr>
      </w:pPr>
      <w:r>
        <w:rPr>
          <w:sz w:val="20"/>
          <w:lang w:val="en-GB"/>
        </w:rPr>
        <w:lastRenderedPageBreak/>
        <w:t>Danh</w:t>
      </w:r>
      <w:r>
        <w:rPr>
          <w:sz w:val="20"/>
          <w:lang w:val="vi-VN"/>
        </w:rPr>
        <w:t xml:space="preserve"> mục</w:t>
      </w:r>
      <w:r w:rsidR="00CC6EE0" w:rsidRPr="004F1D15">
        <w:rPr>
          <w:sz w:val="20"/>
          <w:lang w:val="en-GB"/>
        </w:rPr>
        <w:t xml:space="preserve"> </w:t>
      </w:r>
      <w:r w:rsidR="00341DF4" w:rsidRPr="004F1D15">
        <w:rPr>
          <w:sz w:val="20"/>
          <w:lang w:val="en-GB"/>
        </w:rPr>
        <w:t xml:space="preserve">3: </w:t>
      </w:r>
      <w:r>
        <w:rPr>
          <w:sz w:val="20"/>
          <w:lang w:val="en-GB"/>
        </w:rPr>
        <w:t>Phát</w:t>
      </w:r>
      <w:r>
        <w:rPr>
          <w:sz w:val="20"/>
          <w:lang w:val="vi-VN"/>
        </w:rPr>
        <w:t xml:space="preserve"> triển Hạ tầng </w:t>
      </w:r>
      <w:r w:rsidR="00616696">
        <w:rPr>
          <w:sz w:val="20"/>
          <w:lang w:val="vi-VN"/>
        </w:rPr>
        <w:t>Số</w:t>
      </w:r>
    </w:p>
    <w:tbl>
      <w:tblPr>
        <w:tblStyle w:val="ListTable3-Accent11"/>
        <w:tblW w:w="15314" w:type="dxa"/>
        <w:tblLook w:val="04A0" w:firstRow="1" w:lastRow="0" w:firstColumn="1" w:lastColumn="0" w:noHBand="0" w:noVBand="1"/>
      </w:tblPr>
      <w:tblGrid>
        <w:gridCol w:w="1694"/>
        <w:gridCol w:w="3764"/>
        <w:gridCol w:w="7"/>
        <w:gridCol w:w="3757"/>
        <w:gridCol w:w="15"/>
        <w:gridCol w:w="2303"/>
        <w:gridCol w:w="14"/>
        <w:gridCol w:w="3760"/>
      </w:tblGrid>
      <w:tr w:rsidR="00EC69B5" w:rsidRPr="004F1D15" w14:paraId="686B0605" w14:textId="77777777" w:rsidTr="6BB67A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4" w:type="dxa"/>
            <w:tcBorders>
              <w:bottom w:val="single" w:sz="4" w:space="0" w:color="156082"/>
            </w:tcBorders>
            <w:shd w:val="clear" w:color="auto" w:fill="1F4E79" w:themeFill="accent5" w:themeFillShade="80"/>
          </w:tcPr>
          <w:p w14:paraId="2C9C1BC8" w14:textId="4109F0C6" w:rsidR="00EC69B5" w:rsidRPr="00D40E2F" w:rsidRDefault="00D40E2F" w:rsidP="00297FD7">
            <w:pPr>
              <w:jc w:val="center"/>
              <w:rPr>
                <w:sz w:val="20"/>
                <w:szCs w:val="20"/>
                <w:lang w:val="vi-VN"/>
              </w:rPr>
            </w:pPr>
            <w:r>
              <w:rPr>
                <w:sz w:val="20"/>
                <w:szCs w:val="20"/>
              </w:rPr>
              <w:t>Khu</w:t>
            </w:r>
            <w:r>
              <w:rPr>
                <w:sz w:val="20"/>
                <w:szCs w:val="20"/>
                <w:lang w:val="vi-VN"/>
              </w:rPr>
              <w:t xml:space="preserve"> vực hành động</w:t>
            </w:r>
          </w:p>
        </w:tc>
        <w:tc>
          <w:tcPr>
            <w:tcW w:w="3771" w:type="dxa"/>
            <w:gridSpan w:val="2"/>
            <w:shd w:val="clear" w:color="auto" w:fill="1F4E79" w:themeFill="accent5" w:themeFillShade="80"/>
          </w:tcPr>
          <w:p w14:paraId="7BE280C0" w14:textId="38F84059" w:rsidR="00EC69B5" w:rsidRPr="00D40E2F" w:rsidRDefault="00D40E2F" w:rsidP="00297FD7">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Lĩnh</w:t>
            </w:r>
            <w:r>
              <w:rPr>
                <w:sz w:val="20"/>
                <w:szCs w:val="20"/>
                <w:lang w:val="vi-VN"/>
              </w:rPr>
              <w:t xml:space="preserve"> vực trọng tâm</w:t>
            </w:r>
          </w:p>
        </w:tc>
        <w:tc>
          <w:tcPr>
            <w:tcW w:w="3772" w:type="dxa"/>
            <w:gridSpan w:val="2"/>
            <w:shd w:val="clear" w:color="auto" w:fill="1F4E79" w:themeFill="accent5" w:themeFillShade="80"/>
          </w:tcPr>
          <w:p w14:paraId="3B722F53" w14:textId="08F6B4E2" w:rsidR="00EC69B5" w:rsidRPr="004F1D15" w:rsidRDefault="00D40E2F" w:rsidP="00297FD7">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Các</w:t>
            </w:r>
            <w:r>
              <w:rPr>
                <w:sz w:val="20"/>
                <w:szCs w:val="20"/>
                <w:lang w:val="vi-VN"/>
              </w:rPr>
              <w:t xml:space="preserve"> mốc dự kiến và khung thời gian tạm tính</w:t>
            </w:r>
            <w:r w:rsidR="00EC69B5" w:rsidRPr="004F1D15">
              <w:rPr>
                <w:sz w:val="20"/>
                <w:szCs w:val="20"/>
                <w:vertAlign w:val="superscript"/>
              </w:rPr>
              <w:footnoteReference w:id="358"/>
            </w:r>
          </w:p>
        </w:tc>
        <w:tc>
          <w:tcPr>
            <w:tcW w:w="2317" w:type="dxa"/>
            <w:gridSpan w:val="2"/>
            <w:shd w:val="clear" w:color="auto" w:fill="1F4E79" w:themeFill="accent5" w:themeFillShade="80"/>
          </w:tcPr>
          <w:p w14:paraId="268E5A72" w14:textId="10ACB642" w:rsidR="00EC69B5" w:rsidRPr="00D40E2F" w:rsidRDefault="00D40E2F" w:rsidP="00297FD7">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Các</w:t>
            </w:r>
            <w:r>
              <w:rPr>
                <w:sz w:val="20"/>
                <w:szCs w:val="20"/>
                <w:lang w:val="vi-VN"/>
              </w:rPr>
              <w:t xml:space="preserve"> bên chịu trách nhiệm chính</w:t>
            </w:r>
          </w:p>
        </w:tc>
        <w:tc>
          <w:tcPr>
            <w:tcW w:w="3760" w:type="dxa"/>
            <w:shd w:val="clear" w:color="auto" w:fill="1F4E79" w:themeFill="accent5" w:themeFillShade="80"/>
          </w:tcPr>
          <w:p w14:paraId="3E309258" w14:textId="26548E1B" w:rsidR="00EC69B5" w:rsidRPr="00D40E2F" w:rsidRDefault="00D40E2F" w:rsidP="00297FD7">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Thước</w:t>
            </w:r>
            <w:r>
              <w:rPr>
                <w:sz w:val="20"/>
                <w:szCs w:val="20"/>
                <w:lang w:val="vi-VN"/>
              </w:rPr>
              <w:t xml:space="preserve"> đo tiến độ</w:t>
            </w:r>
          </w:p>
        </w:tc>
      </w:tr>
      <w:tr w:rsidR="00EC69B5" w:rsidRPr="004F1D15" w14:paraId="3081B169" w14:textId="77777777" w:rsidTr="00297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shd w:val="clear" w:color="auto" w:fill="00B0F0"/>
          </w:tcPr>
          <w:p w14:paraId="6CD2D5AA" w14:textId="17479BDA" w:rsidR="00EC69B5" w:rsidRPr="00D40E2F" w:rsidRDefault="00D40E2F">
            <w:pPr>
              <w:rPr>
                <w:sz w:val="20"/>
                <w:szCs w:val="20"/>
                <w:lang w:val="vi-VN"/>
              </w:rPr>
            </w:pPr>
            <w:r>
              <w:rPr>
                <w:sz w:val="20"/>
                <w:szCs w:val="20"/>
              </w:rPr>
              <w:t>Khu</w:t>
            </w:r>
            <w:r>
              <w:rPr>
                <w:sz w:val="20"/>
                <w:szCs w:val="20"/>
                <w:lang w:val="vi-VN"/>
              </w:rPr>
              <w:t xml:space="preserve"> vực hành động chính</w:t>
            </w:r>
          </w:p>
        </w:tc>
        <w:tc>
          <w:tcPr>
            <w:tcW w:w="13620" w:type="dxa"/>
            <w:gridSpan w:val="7"/>
            <w:tcBorders>
              <w:left w:val="single" w:sz="4" w:space="0" w:color="156082"/>
            </w:tcBorders>
            <w:shd w:val="clear" w:color="auto" w:fill="00B0F0"/>
          </w:tcPr>
          <w:p w14:paraId="6F5BD184" w14:textId="27A64900" w:rsidR="00EC69B5" w:rsidRPr="002A2529" w:rsidRDefault="00BA1E04">
            <w:pPr>
              <w:cnfStyle w:val="000000100000" w:firstRow="0" w:lastRow="0" w:firstColumn="0" w:lastColumn="0" w:oddVBand="0" w:evenVBand="0" w:oddHBand="1" w:evenHBand="0" w:firstRowFirstColumn="0" w:firstRowLastColumn="0" w:lastRowFirstColumn="0" w:lastRowLastColumn="0"/>
              <w:rPr>
                <w:rFonts w:eastAsiaTheme="minorEastAsia"/>
                <w:b/>
                <w:bCs/>
                <w:sz w:val="20"/>
                <w:szCs w:val="20"/>
                <w:lang w:val="vi-VN"/>
              </w:rPr>
            </w:pPr>
            <w:r>
              <w:rPr>
                <w:b/>
                <w:bCs/>
                <w:sz w:val="20"/>
                <w:szCs w:val="20"/>
              </w:rPr>
              <w:t>6.2.10.3</w:t>
            </w:r>
            <w:r w:rsidR="00986B6C" w:rsidRPr="004F1D15">
              <w:rPr>
                <w:b/>
                <w:sz w:val="20"/>
                <w:szCs w:val="20"/>
              </w:rPr>
              <w:t xml:space="preserve"> </w:t>
            </w:r>
            <w:r w:rsidR="002A2529" w:rsidRPr="002A2529">
              <w:rPr>
                <w:b/>
                <w:sz w:val="20"/>
                <w:szCs w:val="20"/>
                <w:lang w:val="vi-VN"/>
              </w:rPr>
              <w:t>Phát triển hạ tầng để hỗ trợ Dòng chảy Dữ liệu Tự do giữa các Quốc gia Thành viên ASEAN (AMS)</w:t>
            </w:r>
          </w:p>
        </w:tc>
      </w:tr>
      <w:tr w:rsidR="00EC69B5" w:rsidRPr="004F1D15" w14:paraId="1AFE8C1C" w14:textId="77777777" w:rsidTr="00297FD7">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156082"/>
              <w:bottom w:val="single" w:sz="4" w:space="0" w:color="156082"/>
              <w:right w:val="single" w:sz="4" w:space="0" w:color="156082"/>
            </w:tcBorders>
            <w:shd w:val="clear" w:color="auto" w:fill="BDD6EE" w:themeFill="accent5" w:themeFillTint="66"/>
          </w:tcPr>
          <w:p w14:paraId="7A7FD7BE" w14:textId="7D78F998" w:rsidR="00EC69B5" w:rsidRPr="00D40E2F" w:rsidRDefault="00D40E2F">
            <w:pPr>
              <w:rPr>
                <w:sz w:val="20"/>
                <w:szCs w:val="20"/>
                <w:lang w:val="vi-VN"/>
              </w:rPr>
            </w:pPr>
            <w:r>
              <w:rPr>
                <w:sz w:val="20"/>
                <w:szCs w:val="20"/>
              </w:rPr>
              <w:t>Mục</w:t>
            </w:r>
            <w:r>
              <w:rPr>
                <w:sz w:val="20"/>
                <w:szCs w:val="20"/>
                <w:lang w:val="vi-VN"/>
              </w:rPr>
              <w:t xml:space="preserve"> tiêu</w:t>
            </w:r>
          </w:p>
        </w:tc>
        <w:tc>
          <w:tcPr>
            <w:tcW w:w="13620" w:type="dxa"/>
            <w:gridSpan w:val="7"/>
            <w:tcBorders>
              <w:left w:val="single" w:sz="4" w:space="0" w:color="156082"/>
            </w:tcBorders>
            <w:shd w:val="clear" w:color="auto" w:fill="BDD6EE" w:themeFill="accent5" w:themeFillTint="66"/>
          </w:tcPr>
          <w:p w14:paraId="1793C523" w14:textId="757D16BA" w:rsidR="00EC69B5" w:rsidRPr="004F1D15" w:rsidRDefault="002A2529"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hAnsi="Arial"/>
                <w:sz w:val="20"/>
                <w:szCs w:val="20"/>
                <w:lang w:val="en-GB"/>
              </w:rPr>
            </w:pPr>
            <w:r w:rsidRPr="002A2529">
              <w:rPr>
                <w:rFonts w:ascii="Arial" w:eastAsia="DengXian" w:hAnsi="Arial"/>
                <w:b/>
                <w:sz w:val="20"/>
                <w:szCs w:val="20"/>
                <w:lang w:val="en-GB"/>
              </w:rPr>
              <w:t xml:space="preserve">Dòng chảy dữ liệu an toàn và liền mạch: </w:t>
            </w:r>
            <w:r w:rsidRPr="002A2529">
              <w:rPr>
                <w:rFonts w:ascii="Arial" w:eastAsia="DengXian" w:hAnsi="Arial"/>
                <w:bCs/>
                <w:sz w:val="20"/>
                <w:szCs w:val="20"/>
                <w:lang w:val="en-GB"/>
              </w:rPr>
              <w:t>Phát triển và nâng cấp hạ tầng số liên quan nhằm bảo đảm dòng chảy dữ liệu xuyên biên giới diễn ra liền mạch và an toàn</w:t>
            </w:r>
            <w:r w:rsidR="00986B6C" w:rsidRPr="002A2529">
              <w:rPr>
                <w:rFonts w:ascii="Arial" w:eastAsia="DengXian" w:hAnsi="Arial"/>
                <w:bCs/>
                <w:sz w:val="20"/>
                <w:szCs w:val="20"/>
                <w:lang w:val="en-GB"/>
              </w:rPr>
              <w:t>.</w:t>
            </w:r>
          </w:p>
        </w:tc>
      </w:tr>
      <w:tr w:rsidR="00EC69B5" w:rsidRPr="004F1D15" w14:paraId="1D03E664" w14:textId="77777777" w:rsidTr="6BB67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tcPr>
          <w:p w14:paraId="3251D116" w14:textId="275A8ECD" w:rsidR="00EC69B5" w:rsidRPr="004F1D15" w:rsidRDefault="00BA1E04">
            <w:pPr>
              <w:rPr>
                <w:sz w:val="20"/>
                <w:szCs w:val="20"/>
              </w:rPr>
            </w:pPr>
            <w:r>
              <w:rPr>
                <w:sz w:val="20"/>
                <w:szCs w:val="20"/>
              </w:rPr>
              <w:t xml:space="preserve">6.2.10.3 </w:t>
            </w:r>
            <w:r w:rsidR="002A2529" w:rsidRPr="002A2529">
              <w:rPr>
                <w:sz w:val="20"/>
                <w:szCs w:val="20"/>
              </w:rPr>
              <w:t>Phát triển hạ tầng để hỗ trợ Dòng chảy Dữ liệu Tự do giữa các Quốc gia Thành viên ASEAN (AMS)</w:t>
            </w:r>
          </w:p>
        </w:tc>
        <w:tc>
          <w:tcPr>
            <w:tcW w:w="3764" w:type="dxa"/>
            <w:tcBorders>
              <w:left w:val="single" w:sz="4" w:space="0" w:color="156082"/>
              <w:right w:val="single" w:sz="4" w:space="0" w:color="156082"/>
            </w:tcBorders>
          </w:tcPr>
          <w:p w14:paraId="0D490E59" w14:textId="384025CF" w:rsidR="00986B6C" w:rsidRPr="004F1D15" w:rsidRDefault="002A2529" w:rsidP="00C82E40">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sz w:val="20"/>
                <w:szCs w:val="20"/>
                <w:lang w:val="en-GB"/>
              </w:rPr>
            </w:pPr>
            <w:r w:rsidRPr="002A2529">
              <w:rPr>
                <w:rFonts w:ascii="Arial" w:hAnsi="Arial"/>
                <w:b/>
                <w:sz w:val="20"/>
                <w:szCs w:val="20"/>
                <w:lang w:val="en-GB"/>
              </w:rPr>
              <w:t xml:space="preserve">Hạ tầng số cho dòng chảy dữ liệu: </w:t>
            </w:r>
            <w:r w:rsidRPr="002A2529">
              <w:rPr>
                <w:rFonts w:ascii="Arial" w:hAnsi="Arial"/>
                <w:bCs/>
                <w:sz w:val="20"/>
                <w:szCs w:val="20"/>
                <w:lang w:val="en-GB"/>
              </w:rPr>
              <w:t>Thúc đẩy việc sử dụng các công nghệ như điện toán đám mây (cloud) nhằm hỗ trợ khả năng phục hồi mạng và vận hành (cyber and operational resilience) để đảm bảo dòng dữ liệu tin cậy. Thúc đẩy phát triển các trung tâm dữ liệu (data centres) trong nước và khu vực với các biện pháp an ninh tiên tiến nhằm tăng cường chủ quyền dữ liệu và giảm độ trễ</w:t>
            </w:r>
            <w:r w:rsidR="00986B6C" w:rsidRPr="002A2529">
              <w:rPr>
                <w:rFonts w:ascii="Arial" w:hAnsi="Arial"/>
                <w:bCs/>
                <w:sz w:val="20"/>
                <w:szCs w:val="20"/>
                <w:lang w:val="en-GB"/>
              </w:rPr>
              <w:t>.</w:t>
            </w:r>
            <w:r w:rsidR="00986B6C" w:rsidRPr="004F1D15">
              <w:rPr>
                <w:rFonts w:ascii="Arial" w:hAnsi="Arial"/>
                <w:sz w:val="20"/>
                <w:szCs w:val="20"/>
                <w:lang w:val="en-GB"/>
              </w:rPr>
              <w:t xml:space="preserve"> </w:t>
            </w:r>
          </w:p>
          <w:p w14:paraId="072A7F3D" w14:textId="1604AAB5" w:rsidR="00EC69B5" w:rsidRPr="00516087" w:rsidRDefault="002A2529" w:rsidP="00C82E40">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sz w:val="20"/>
                <w:szCs w:val="20"/>
                <w:lang w:val="en-GB"/>
              </w:rPr>
            </w:pPr>
            <w:r w:rsidRPr="002A2529">
              <w:rPr>
                <w:rFonts w:ascii="Arial" w:eastAsia="DengXian" w:hAnsi="Arial"/>
                <w:b/>
                <w:sz w:val="20"/>
                <w:szCs w:val="20"/>
                <w:lang w:val="en-GB"/>
              </w:rPr>
              <w:t xml:space="preserve">Nghiên cứu và Phát triển (R&amp;D): </w:t>
            </w:r>
            <w:r w:rsidRPr="002A2529">
              <w:rPr>
                <w:rFonts w:ascii="Arial" w:eastAsia="DengXian" w:hAnsi="Arial"/>
                <w:bCs/>
                <w:sz w:val="20"/>
                <w:szCs w:val="20"/>
                <w:lang w:val="en-GB"/>
              </w:rPr>
              <w:t>Hỗ trợ các sáng kiến R&amp;D nhằm khám phá công nghệ mới và các thông lệ tốt nhất trong quản trị và quyền riêng tư dữ liệu.</w:t>
            </w:r>
          </w:p>
        </w:tc>
        <w:tc>
          <w:tcPr>
            <w:tcW w:w="3764" w:type="dxa"/>
            <w:gridSpan w:val="2"/>
            <w:tcBorders>
              <w:left w:val="single" w:sz="4" w:space="0" w:color="156082"/>
              <w:right w:val="single" w:sz="4" w:space="0" w:color="156082"/>
            </w:tcBorders>
          </w:tcPr>
          <w:p w14:paraId="24809B1A" w14:textId="2CC27F9A" w:rsidR="00EC69B5" w:rsidRPr="004F1D15" w:rsidRDefault="002A2529">
            <w:pPr>
              <w:cnfStyle w:val="000000100000" w:firstRow="0" w:lastRow="0" w:firstColumn="0" w:lastColumn="0" w:oddVBand="0" w:evenVBand="0" w:oddHBand="1" w:evenHBand="0" w:firstRowFirstColumn="0" w:firstRowLastColumn="0" w:lastRowFirstColumn="0" w:lastRowLastColumn="0"/>
              <w:rPr>
                <w:sz w:val="20"/>
                <w:szCs w:val="20"/>
              </w:rPr>
            </w:pPr>
            <w:r w:rsidRPr="002A2529">
              <w:rPr>
                <w:sz w:val="20"/>
                <w:szCs w:val="20"/>
              </w:rPr>
              <w:t>Ngắn hạn</w:t>
            </w:r>
            <w:r w:rsidR="00EC69B5" w:rsidRPr="004F1D15">
              <w:rPr>
                <w:sz w:val="20"/>
                <w:szCs w:val="20"/>
              </w:rPr>
              <w:t>:</w:t>
            </w:r>
          </w:p>
          <w:p w14:paraId="49482EE4" w14:textId="77777777" w:rsidR="002A2529" w:rsidRPr="002A2529" w:rsidRDefault="002A2529" w:rsidP="002A2529">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2A2529">
              <w:rPr>
                <w:rFonts w:ascii="Arial" w:eastAsia="DengXian" w:hAnsi="Arial"/>
                <w:sz w:val="20"/>
                <w:szCs w:val="20"/>
                <w:lang w:val="en-GB"/>
              </w:rPr>
              <w:t>Tiến hành đánh giá toàn diện về nhu cầu hạ tầng số trên toàn các AMS.</w:t>
            </w:r>
          </w:p>
          <w:p w14:paraId="2C577F0C" w14:textId="0E605F9E" w:rsidR="00986B6C" w:rsidRPr="004F1D15" w:rsidRDefault="002A2529" w:rsidP="002A2529">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2A2529">
              <w:rPr>
                <w:rFonts w:ascii="Arial" w:eastAsia="DengXian" w:hAnsi="Arial"/>
                <w:sz w:val="20"/>
                <w:szCs w:val="20"/>
                <w:lang w:val="en-GB"/>
              </w:rPr>
              <w:t>Khởi động các quan hệ đối tác công – tư nhằm hỗ trợ thí điểm các dự án R&amp;D</w:t>
            </w:r>
            <w:r w:rsidR="00986B6C" w:rsidRPr="004F1D15">
              <w:rPr>
                <w:rFonts w:ascii="Arial" w:eastAsia="DengXian" w:hAnsi="Arial"/>
                <w:sz w:val="20"/>
                <w:szCs w:val="20"/>
                <w:lang w:val="en-GB"/>
              </w:rPr>
              <w:t>.</w:t>
            </w:r>
            <w:r w:rsidR="00ED16CA" w:rsidRPr="00516087">
              <w:rPr>
                <w:rFonts w:ascii="Arial" w:eastAsia="DengXian" w:hAnsi="Arial"/>
                <w:sz w:val="20"/>
                <w:szCs w:val="20"/>
                <w:lang w:val="en-GB"/>
              </w:rPr>
              <w:br/>
            </w:r>
          </w:p>
          <w:p w14:paraId="33B1BD10" w14:textId="33366EEF" w:rsidR="00EC69B5" w:rsidRPr="004F1D15" w:rsidRDefault="002A2529">
            <w:pPr>
              <w:cnfStyle w:val="000000100000" w:firstRow="0" w:lastRow="0" w:firstColumn="0" w:lastColumn="0" w:oddVBand="0" w:evenVBand="0" w:oddHBand="1" w:evenHBand="0" w:firstRowFirstColumn="0" w:firstRowLastColumn="0" w:lastRowFirstColumn="0" w:lastRowLastColumn="0"/>
              <w:rPr>
                <w:sz w:val="20"/>
                <w:szCs w:val="20"/>
              </w:rPr>
            </w:pPr>
            <w:r w:rsidRPr="002A2529">
              <w:rPr>
                <w:sz w:val="20"/>
                <w:szCs w:val="20"/>
              </w:rPr>
              <w:t>Trung hạn</w:t>
            </w:r>
            <w:r w:rsidR="00EC69B5" w:rsidRPr="004F1D15">
              <w:rPr>
                <w:sz w:val="20"/>
                <w:szCs w:val="20"/>
              </w:rPr>
              <w:t>:</w:t>
            </w:r>
          </w:p>
          <w:p w14:paraId="44AED026" w14:textId="3B8A0558" w:rsidR="00986B6C" w:rsidRPr="004F1D15" w:rsidRDefault="000F2292" w:rsidP="00C82E4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0F2292">
              <w:rPr>
                <w:rFonts w:ascii="Arial" w:eastAsia="DengXian" w:hAnsi="Arial"/>
                <w:sz w:val="20"/>
                <w:szCs w:val="20"/>
                <w:lang w:val="en-GB"/>
              </w:rPr>
              <w:t>Triển khai công nghệ điện toán đám mây và thí điểm các dự án hạ tầng trung tâm dữ liệu tại một số AMS được lựa chọn</w:t>
            </w:r>
            <w:r w:rsidR="00986B6C" w:rsidRPr="004F1D15">
              <w:rPr>
                <w:rFonts w:ascii="Arial" w:eastAsia="DengXian" w:hAnsi="Arial"/>
                <w:sz w:val="20"/>
                <w:szCs w:val="20"/>
                <w:lang w:val="en-GB"/>
              </w:rPr>
              <w:t>.</w:t>
            </w:r>
            <w:r w:rsidR="002A457B" w:rsidRPr="00516087">
              <w:rPr>
                <w:rFonts w:ascii="Arial" w:eastAsia="DengXian" w:hAnsi="Arial"/>
                <w:sz w:val="20"/>
                <w:szCs w:val="20"/>
                <w:lang w:val="en-GB"/>
              </w:rPr>
              <w:br/>
            </w:r>
          </w:p>
          <w:p w14:paraId="01742AA2" w14:textId="3774776B" w:rsidR="00EC69B5" w:rsidRPr="004F1D15" w:rsidRDefault="000F2292">
            <w:pPr>
              <w:cnfStyle w:val="000000100000" w:firstRow="0" w:lastRow="0" w:firstColumn="0" w:lastColumn="0" w:oddVBand="0" w:evenVBand="0" w:oddHBand="1" w:evenHBand="0" w:firstRowFirstColumn="0" w:firstRowLastColumn="0" w:lastRowFirstColumn="0" w:lastRowLastColumn="0"/>
              <w:rPr>
                <w:sz w:val="20"/>
                <w:szCs w:val="20"/>
              </w:rPr>
            </w:pPr>
            <w:r w:rsidRPr="000F2292">
              <w:rPr>
                <w:sz w:val="20"/>
                <w:szCs w:val="20"/>
              </w:rPr>
              <w:t>Dài hạn</w:t>
            </w:r>
            <w:r w:rsidR="00EC69B5" w:rsidRPr="004F1D15">
              <w:rPr>
                <w:sz w:val="20"/>
                <w:szCs w:val="20"/>
              </w:rPr>
              <w:t>:</w:t>
            </w:r>
          </w:p>
          <w:p w14:paraId="57A8A936" w14:textId="77777777" w:rsidR="000F2292" w:rsidRPr="000F2292" w:rsidRDefault="000F2292" w:rsidP="000F2292">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0F2292">
              <w:rPr>
                <w:rFonts w:ascii="Arial" w:eastAsia="DengXian" w:hAnsi="Arial"/>
                <w:sz w:val="20"/>
                <w:szCs w:val="20"/>
                <w:lang w:val="en-GB"/>
              </w:rPr>
              <w:t>Lập kế hoạch cho các lần nâng cấp và mở rộng tương lai đối với hạ tầng điện toán đám mây và trung tâm dữ liệu nhằm đáp ứng tiến bộ công nghệ.</w:t>
            </w:r>
          </w:p>
          <w:p w14:paraId="6F4DE155" w14:textId="3E86037B" w:rsidR="00EC69B5" w:rsidRPr="00516087" w:rsidRDefault="000F2292" w:rsidP="000F2292">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0F2292">
              <w:rPr>
                <w:rFonts w:ascii="Arial" w:eastAsia="DengXian" w:hAnsi="Arial"/>
                <w:sz w:val="20"/>
                <w:szCs w:val="20"/>
                <w:lang w:val="en-GB"/>
              </w:rPr>
              <w:t>Thúc đẩy đổi mới liên tục và việc áp dụng công nghệ mới</w:t>
            </w:r>
            <w:r w:rsidR="00986B6C" w:rsidRPr="004F1D15">
              <w:rPr>
                <w:rFonts w:ascii="Arial" w:eastAsia="DengXian" w:hAnsi="Arial"/>
                <w:sz w:val="20"/>
                <w:szCs w:val="20"/>
                <w:lang w:val="en-GB"/>
              </w:rPr>
              <w:t>.</w:t>
            </w:r>
          </w:p>
        </w:tc>
        <w:tc>
          <w:tcPr>
            <w:tcW w:w="2318" w:type="dxa"/>
            <w:gridSpan w:val="2"/>
            <w:tcBorders>
              <w:left w:val="single" w:sz="4" w:space="0" w:color="156082"/>
              <w:right w:val="single" w:sz="4" w:space="0" w:color="156082"/>
            </w:tcBorders>
          </w:tcPr>
          <w:p w14:paraId="2BA861D7" w14:textId="200FA59C" w:rsidR="00EC69B5" w:rsidRPr="000F2292" w:rsidRDefault="000F2292">
            <w:pPr>
              <w:cnfStyle w:val="000000100000" w:firstRow="0" w:lastRow="0" w:firstColumn="0" w:lastColumn="0" w:oddVBand="0" w:evenVBand="0" w:oddHBand="1" w:evenHBand="0" w:firstRowFirstColumn="0" w:firstRowLastColumn="0" w:lastRowFirstColumn="0" w:lastRowLastColumn="0"/>
              <w:rPr>
                <w:sz w:val="20"/>
                <w:szCs w:val="20"/>
                <w:lang w:val="vi-VN"/>
              </w:rPr>
            </w:pPr>
            <w:r>
              <w:rPr>
                <w:sz w:val="20"/>
                <w:szCs w:val="20"/>
                <w:lang w:val="vi-VN"/>
              </w:rPr>
              <w:t>Cơ quan điều phối:</w:t>
            </w:r>
          </w:p>
          <w:p w14:paraId="18D76FB1" w14:textId="516D0C03" w:rsidR="00EC69B5" w:rsidRPr="004F1D15" w:rsidRDefault="000F2292" w:rsidP="00FC3CC8">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Pr>
                <w:rFonts w:ascii="Arial" w:eastAsia="DengXian" w:hAnsi="Arial"/>
                <w:sz w:val="20"/>
                <w:szCs w:val="20"/>
                <w:lang w:val="en-GB"/>
              </w:rPr>
              <w:t>H</w:t>
            </w:r>
            <w:r>
              <w:rPr>
                <w:rFonts w:ascii="Arial" w:eastAsia="DengXian" w:hAnsi="Arial"/>
                <w:sz w:val="20"/>
                <w:szCs w:val="20"/>
                <w:lang w:val="vi-VN"/>
              </w:rPr>
              <w:t>ội nghị</w:t>
            </w:r>
            <w:r w:rsidRPr="000F2292">
              <w:rPr>
                <w:rFonts w:ascii="Arial" w:eastAsia="DengXian" w:hAnsi="Arial"/>
                <w:sz w:val="20"/>
                <w:szCs w:val="20"/>
                <w:lang w:val="en-GB"/>
              </w:rPr>
              <w:t xml:space="preserve"> Quan chức Cấp cao </w:t>
            </w:r>
            <w:r w:rsidR="00616696">
              <w:rPr>
                <w:rFonts w:ascii="Arial" w:eastAsia="DengXian" w:hAnsi="Arial"/>
                <w:sz w:val="20"/>
                <w:szCs w:val="20"/>
                <w:lang w:val="en-GB"/>
              </w:rPr>
              <w:t>Số</w:t>
            </w:r>
            <w:r w:rsidRPr="000F2292">
              <w:rPr>
                <w:rFonts w:ascii="Arial" w:eastAsia="DengXian" w:hAnsi="Arial"/>
                <w:sz w:val="20"/>
                <w:szCs w:val="20"/>
                <w:lang w:val="en-GB"/>
              </w:rPr>
              <w:t xml:space="preserve"> ASEAN </w:t>
            </w:r>
            <w:r w:rsidR="00BE6F35">
              <w:rPr>
                <w:rFonts w:ascii="Arial" w:eastAsia="DengXian" w:hAnsi="Arial"/>
                <w:sz w:val="20"/>
                <w:szCs w:val="20"/>
                <w:lang w:val="en-GB"/>
              </w:rPr>
              <w:t>(ADGSOM)</w:t>
            </w:r>
          </w:p>
        </w:tc>
        <w:tc>
          <w:tcPr>
            <w:tcW w:w="3774" w:type="dxa"/>
            <w:gridSpan w:val="2"/>
            <w:tcBorders>
              <w:left w:val="single" w:sz="4" w:space="0" w:color="156082"/>
            </w:tcBorders>
          </w:tcPr>
          <w:p w14:paraId="202AD95A" w14:textId="23EE9110" w:rsidR="00EC69B5" w:rsidRPr="004F1D15" w:rsidRDefault="000F2292">
            <w:pPr>
              <w:cnfStyle w:val="000000100000" w:firstRow="0" w:lastRow="0" w:firstColumn="0" w:lastColumn="0" w:oddVBand="0" w:evenVBand="0" w:oddHBand="1" w:evenHBand="0" w:firstRowFirstColumn="0" w:firstRowLastColumn="0" w:lastRowFirstColumn="0" w:lastRowLastColumn="0"/>
              <w:rPr>
                <w:sz w:val="20"/>
                <w:szCs w:val="20"/>
              </w:rPr>
            </w:pPr>
            <w:r w:rsidRPr="000F2292">
              <w:rPr>
                <w:sz w:val="20"/>
                <w:szCs w:val="20"/>
              </w:rPr>
              <w:t>Các thước đo tiến độ chung gồm:</w:t>
            </w:r>
          </w:p>
          <w:p w14:paraId="5021F020" w14:textId="77777777" w:rsidR="000F2292" w:rsidRPr="000F2292" w:rsidRDefault="000F2292" w:rsidP="000F2292">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b/>
                <w:sz w:val="20"/>
                <w:szCs w:val="20"/>
                <w:lang w:val="en-GB"/>
              </w:rPr>
            </w:pPr>
            <w:r w:rsidRPr="000F2292">
              <w:rPr>
                <w:rFonts w:ascii="Arial" w:eastAsia="DengXian" w:hAnsi="Arial"/>
                <w:b/>
                <w:sz w:val="20"/>
                <w:szCs w:val="20"/>
                <w:lang w:val="en-GB"/>
              </w:rPr>
              <w:t xml:space="preserve">Đầu tư vào R&amp;D: </w:t>
            </w:r>
            <w:r w:rsidRPr="000F2292">
              <w:rPr>
                <w:rFonts w:ascii="Arial" w:eastAsia="DengXian" w:hAnsi="Arial"/>
                <w:bCs/>
                <w:sz w:val="20"/>
                <w:szCs w:val="20"/>
                <w:lang w:val="en-GB"/>
              </w:rPr>
              <w:t>Theo dõi lượng đầu tư vào các sáng kiến R&amp;D.</w:t>
            </w:r>
          </w:p>
          <w:p w14:paraId="22B84D56" w14:textId="208775A3" w:rsidR="00986B6C" w:rsidRPr="000F2292" w:rsidRDefault="000F2292" w:rsidP="000F2292">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bCs/>
                <w:sz w:val="20"/>
                <w:szCs w:val="20"/>
                <w:lang w:val="en-GB"/>
              </w:rPr>
            </w:pPr>
            <w:r w:rsidRPr="000F2292">
              <w:rPr>
                <w:rFonts w:ascii="Arial" w:eastAsia="DengXian" w:hAnsi="Arial"/>
                <w:b/>
                <w:sz w:val="20"/>
                <w:szCs w:val="20"/>
                <w:lang w:val="en-GB"/>
              </w:rPr>
              <w:t xml:space="preserve">Dòng chảy dữ liệu xuyên biên giới: </w:t>
            </w:r>
            <w:r w:rsidRPr="000F2292">
              <w:rPr>
                <w:rFonts w:ascii="Arial" w:eastAsia="DengXian" w:hAnsi="Arial"/>
                <w:bCs/>
                <w:sz w:val="20"/>
                <w:szCs w:val="20"/>
                <w:lang w:val="en-GB"/>
              </w:rPr>
              <w:t>Khối lượng dòng dữ liệu xuyên biên giới thành công được hỗ trợ bởi các khuôn khổ mới</w:t>
            </w:r>
            <w:r w:rsidR="00986B6C" w:rsidRPr="000F2292">
              <w:rPr>
                <w:rFonts w:ascii="Arial" w:eastAsia="DengXian" w:hAnsi="Arial"/>
                <w:bCs/>
                <w:sz w:val="20"/>
                <w:szCs w:val="20"/>
                <w:lang w:val="en-GB"/>
              </w:rPr>
              <w:t>.</w:t>
            </w:r>
          </w:p>
          <w:p w14:paraId="45EC8054" w14:textId="77777777" w:rsidR="00EC69B5" w:rsidRPr="004F1D15" w:rsidRDefault="00EC69B5">
            <w:pPr>
              <w:cnfStyle w:val="000000100000" w:firstRow="0" w:lastRow="0" w:firstColumn="0" w:lastColumn="0" w:oddVBand="0" w:evenVBand="0" w:oddHBand="1" w:evenHBand="0" w:firstRowFirstColumn="0" w:firstRowLastColumn="0" w:lastRowFirstColumn="0" w:lastRowLastColumn="0"/>
              <w:rPr>
                <w:sz w:val="20"/>
                <w:szCs w:val="20"/>
              </w:rPr>
            </w:pPr>
          </w:p>
        </w:tc>
      </w:tr>
    </w:tbl>
    <w:p w14:paraId="4332AF76" w14:textId="77777777" w:rsidR="00341DF4" w:rsidRPr="004F1D15" w:rsidRDefault="00341DF4" w:rsidP="00341DF4">
      <w:pPr>
        <w:rPr>
          <w:sz w:val="20"/>
          <w:szCs w:val="20"/>
        </w:rPr>
      </w:pPr>
    </w:p>
    <w:p w14:paraId="5FBD4D04" w14:textId="69CCB0FA" w:rsidR="00341DF4" w:rsidRPr="00336A35" w:rsidRDefault="00336A35" w:rsidP="00BA1E04">
      <w:pPr>
        <w:pStyle w:val="Heading2"/>
        <w:numPr>
          <w:ilvl w:val="0"/>
          <w:numId w:val="0"/>
        </w:numPr>
        <w:rPr>
          <w:rFonts w:cs="Arial"/>
          <w:b/>
          <w:szCs w:val="24"/>
          <w:lang w:val="vi-VN"/>
        </w:rPr>
      </w:pPr>
      <w:r w:rsidRPr="00336A35">
        <w:rPr>
          <w:rFonts w:cs="Arial"/>
          <w:b/>
          <w:color w:val="auto"/>
          <w:szCs w:val="24"/>
          <w:lang w:val="vi-VN"/>
        </w:rPr>
        <w:lastRenderedPageBreak/>
        <w:t>Lộ trình cho Khu vực Thương mại Số 4: Hợp tác về Các Chủ đề Mới nổi</w:t>
      </w:r>
    </w:p>
    <w:p w14:paraId="7C406FA9" w14:textId="3D6C28C7" w:rsidR="00341DF4" w:rsidRPr="004F1D15" w:rsidRDefault="00336A35" w:rsidP="00341DF4">
      <w:pPr>
        <w:pStyle w:val="Heading3"/>
        <w:rPr>
          <w:szCs w:val="24"/>
          <w:lang w:val="en-GB"/>
        </w:rPr>
      </w:pPr>
      <w:r>
        <w:rPr>
          <w:szCs w:val="24"/>
          <w:lang w:val="en-GB"/>
        </w:rPr>
        <w:t>Ti</w:t>
      </w:r>
      <w:r>
        <w:rPr>
          <w:szCs w:val="24"/>
          <w:lang w:val="vi-VN"/>
        </w:rPr>
        <w:t>ểu lĩnh vực</w:t>
      </w:r>
      <w:r w:rsidR="00341DF4" w:rsidRPr="004F1D15">
        <w:rPr>
          <w:szCs w:val="24"/>
          <w:lang w:val="en-GB"/>
        </w:rPr>
        <w:t xml:space="preserve">: </w:t>
      </w:r>
      <w:r>
        <w:rPr>
          <w:szCs w:val="24"/>
          <w:lang w:val="en-GB"/>
        </w:rPr>
        <w:t>Tr</w:t>
      </w:r>
      <w:r>
        <w:rPr>
          <w:szCs w:val="24"/>
          <w:lang w:val="vi-VN"/>
        </w:rPr>
        <w:t>í tuệ nhân tạo (</w:t>
      </w:r>
      <w:r>
        <w:rPr>
          <w:szCs w:val="24"/>
          <w:lang w:val="en-GB"/>
        </w:rPr>
        <w:t>AI</w:t>
      </w:r>
      <w:r>
        <w:rPr>
          <w:szCs w:val="24"/>
          <w:lang w:val="vi-VN"/>
        </w:rPr>
        <w:t>)</w:t>
      </w:r>
      <w:r w:rsidR="00341DF4" w:rsidRPr="004F1D15">
        <w:rPr>
          <w:szCs w:val="24"/>
          <w:lang w:val="en-GB"/>
        </w:rPr>
        <w:t xml:space="preserve"> </w:t>
      </w:r>
    </w:p>
    <w:p w14:paraId="4F08A519" w14:textId="78E37F65" w:rsidR="00341DF4" w:rsidRPr="004F1D15" w:rsidRDefault="00336A35" w:rsidP="00C82E40">
      <w:pPr>
        <w:pStyle w:val="Heading4"/>
        <w:rPr>
          <w:sz w:val="20"/>
          <w:lang w:val="en-GB"/>
        </w:rPr>
      </w:pPr>
      <w:r>
        <w:rPr>
          <w:sz w:val="20"/>
          <w:lang w:val="en-GB"/>
        </w:rPr>
        <w:t>Danh</w:t>
      </w:r>
      <w:r>
        <w:rPr>
          <w:sz w:val="20"/>
          <w:lang w:val="vi-VN"/>
        </w:rPr>
        <w:t xml:space="preserve"> mục</w:t>
      </w:r>
      <w:r w:rsidR="00CC6EE0" w:rsidRPr="004F1D15">
        <w:rPr>
          <w:sz w:val="20"/>
          <w:lang w:val="en-GB"/>
        </w:rPr>
        <w:t xml:space="preserve"> </w:t>
      </w:r>
      <w:r w:rsidR="00341DF4" w:rsidRPr="004F1D15">
        <w:rPr>
          <w:sz w:val="20"/>
          <w:lang w:val="en-GB"/>
        </w:rPr>
        <w:t xml:space="preserve">1: </w:t>
      </w:r>
      <w:r>
        <w:rPr>
          <w:sz w:val="20"/>
          <w:lang w:val="en-GB"/>
        </w:rPr>
        <w:t>Đi</w:t>
      </w:r>
      <w:r>
        <w:rPr>
          <w:sz w:val="20"/>
          <w:lang w:val="vi-VN"/>
        </w:rPr>
        <w:t>ều phối và Điều chỉnh chính sách</w:t>
      </w:r>
    </w:p>
    <w:tbl>
      <w:tblPr>
        <w:tblStyle w:val="ListTable3-Accent11"/>
        <w:tblW w:w="15314" w:type="dxa"/>
        <w:tblLook w:val="04A0" w:firstRow="1" w:lastRow="0" w:firstColumn="1" w:lastColumn="0" w:noHBand="0" w:noVBand="1"/>
      </w:tblPr>
      <w:tblGrid>
        <w:gridCol w:w="1694"/>
        <w:gridCol w:w="3764"/>
        <w:gridCol w:w="7"/>
        <w:gridCol w:w="3757"/>
        <w:gridCol w:w="15"/>
        <w:gridCol w:w="2303"/>
        <w:gridCol w:w="14"/>
        <w:gridCol w:w="3760"/>
      </w:tblGrid>
      <w:tr w:rsidR="00986B6C" w:rsidRPr="004F1D15" w14:paraId="59E572BB" w14:textId="77777777" w:rsidTr="00297F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4" w:type="dxa"/>
            <w:tcBorders>
              <w:bottom w:val="single" w:sz="4" w:space="0" w:color="156082"/>
            </w:tcBorders>
            <w:shd w:val="clear" w:color="auto" w:fill="002060"/>
          </w:tcPr>
          <w:p w14:paraId="4B4A2615" w14:textId="694E31B2" w:rsidR="00986B6C" w:rsidRPr="00336A35" w:rsidRDefault="00336A35" w:rsidP="00297FD7">
            <w:pPr>
              <w:jc w:val="center"/>
              <w:rPr>
                <w:sz w:val="20"/>
                <w:szCs w:val="20"/>
                <w:lang w:val="vi-VN"/>
              </w:rPr>
            </w:pPr>
            <w:r>
              <w:rPr>
                <w:sz w:val="20"/>
                <w:szCs w:val="20"/>
              </w:rPr>
              <w:t>Khu</w:t>
            </w:r>
            <w:r>
              <w:rPr>
                <w:sz w:val="20"/>
                <w:szCs w:val="20"/>
                <w:lang w:val="vi-VN"/>
              </w:rPr>
              <w:t xml:space="preserve"> vực hành động</w:t>
            </w:r>
          </w:p>
        </w:tc>
        <w:tc>
          <w:tcPr>
            <w:tcW w:w="3771" w:type="dxa"/>
            <w:gridSpan w:val="2"/>
            <w:shd w:val="clear" w:color="auto" w:fill="002060"/>
          </w:tcPr>
          <w:p w14:paraId="76A3D02A" w14:textId="327B0D5F" w:rsidR="00986B6C" w:rsidRPr="00336A35" w:rsidRDefault="00336A35" w:rsidP="00297FD7">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L</w:t>
            </w:r>
            <w:r>
              <w:rPr>
                <w:sz w:val="20"/>
                <w:szCs w:val="20"/>
                <w:lang w:val="vi-VN"/>
              </w:rPr>
              <w:t>ĩnh vực trọng tâm</w:t>
            </w:r>
          </w:p>
        </w:tc>
        <w:tc>
          <w:tcPr>
            <w:tcW w:w="3772" w:type="dxa"/>
            <w:gridSpan w:val="2"/>
            <w:shd w:val="clear" w:color="auto" w:fill="002060"/>
          </w:tcPr>
          <w:p w14:paraId="0575C19D" w14:textId="1E5B541D" w:rsidR="00986B6C" w:rsidRPr="004F1D15" w:rsidRDefault="00336A35" w:rsidP="00297FD7">
            <w:pPr>
              <w:jc w:val="center"/>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Các</w:t>
            </w:r>
            <w:r>
              <w:rPr>
                <w:sz w:val="20"/>
                <w:szCs w:val="20"/>
                <w:lang w:val="vi-VN"/>
              </w:rPr>
              <w:t xml:space="preserve"> mốc dự kiến và khung thời gian tạm tính</w:t>
            </w:r>
            <w:r w:rsidR="00986B6C" w:rsidRPr="004F1D15">
              <w:rPr>
                <w:sz w:val="20"/>
                <w:szCs w:val="20"/>
                <w:vertAlign w:val="superscript"/>
              </w:rPr>
              <w:footnoteReference w:id="359"/>
            </w:r>
          </w:p>
        </w:tc>
        <w:tc>
          <w:tcPr>
            <w:tcW w:w="2317" w:type="dxa"/>
            <w:gridSpan w:val="2"/>
            <w:shd w:val="clear" w:color="auto" w:fill="002060"/>
          </w:tcPr>
          <w:p w14:paraId="11915C4F" w14:textId="79C5196E" w:rsidR="00986B6C" w:rsidRPr="00336A35" w:rsidRDefault="00336A35" w:rsidP="00297FD7">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Các</w:t>
            </w:r>
            <w:r>
              <w:rPr>
                <w:sz w:val="20"/>
                <w:szCs w:val="20"/>
                <w:lang w:val="vi-VN"/>
              </w:rPr>
              <w:t xml:space="preserve"> bên chịu trách nhiệm chính</w:t>
            </w:r>
          </w:p>
        </w:tc>
        <w:tc>
          <w:tcPr>
            <w:tcW w:w="3760" w:type="dxa"/>
            <w:shd w:val="clear" w:color="auto" w:fill="002060"/>
          </w:tcPr>
          <w:p w14:paraId="108F05FD" w14:textId="65372DEA" w:rsidR="00986B6C" w:rsidRPr="00336A35" w:rsidRDefault="00336A35" w:rsidP="00297FD7">
            <w:pPr>
              <w:jc w:val="center"/>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Th</w:t>
            </w:r>
            <w:r>
              <w:rPr>
                <w:sz w:val="20"/>
                <w:szCs w:val="20"/>
                <w:lang w:val="vi-VN"/>
              </w:rPr>
              <w:t>ước đo tiến độ</w:t>
            </w:r>
          </w:p>
        </w:tc>
      </w:tr>
      <w:tr w:rsidR="00986B6C" w:rsidRPr="004F1D15" w14:paraId="34C8E74C" w14:textId="77777777" w:rsidTr="00297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shd w:val="clear" w:color="auto" w:fill="00B0F0"/>
            <w:vAlign w:val="center"/>
          </w:tcPr>
          <w:p w14:paraId="526F5623" w14:textId="1F0E044E" w:rsidR="00986B6C" w:rsidRPr="00336A35" w:rsidRDefault="00336A35">
            <w:pPr>
              <w:rPr>
                <w:sz w:val="20"/>
                <w:szCs w:val="20"/>
                <w:lang w:val="vi-VN"/>
              </w:rPr>
            </w:pPr>
            <w:r>
              <w:rPr>
                <w:sz w:val="20"/>
                <w:szCs w:val="20"/>
                <w:lang w:val="vi-VN"/>
              </w:rPr>
              <w:t>Khu vực hành động chính</w:t>
            </w:r>
          </w:p>
        </w:tc>
        <w:tc>
          <w:tcPr>
            <w:tcW w:w="13620" w:type="dxa"/>
            <w:gridSpan w:val="7"/>
            <w:tcBorders>
              <w:left w:val="single" w:sz="4" w:space="0" w:color="156082"/>
            </w:tcBorders>
            <w:shd w:val="clear" w:color="auto" w:fill="00B0F0"/>
            <w:vAlign w:val="center"/>
          </w:tcPr>
          <w:p w14:paraId="14484D44" w14:textId="7208D5C4" w:rsidR="00986B6C" w:rsidRPr="004F1D15" w:rsidRDefault="00BA1E04">
            <w:pPr>
              <w:cnfStyle w:val="000000100000" w:firstRow="0" w:lastRow="0" w:firstColumn="0" w:lastColumn="0" w:oddVBand="0" w:evenVBand="0" w:oddHBand="1" w:evenHBand="0" w:firstRowFirstColumn="0" w:firstRowLastColumn="0" w:lastRowFirstColumn="0" w:lastRowLastColumn="0"/>
              <w:rPr>
                <w:rFonts w:eastAsiaTheme="minorEastAsia"/>
                <w:b/>
                <w:bCs/>
                <w:sz w:val="20"/>
                <w:szCs w:val="20"/>
              </w:rPr>
            </w:pPr>
            <w:r>
              <w:rPr>
                <w:b/>
                <w:bCs/>
                <w:sz w:val="20"/>
                <w:szCs w:val="20"/>
              </w:rPr>
              <w:t>6.2.11</w:t>
            </w:r>
            <w:r w:rsidR="00B23433" w:rsidRPr="004F1D15">
              <w:rPr>
                <w:b/>
                <w:sz w:val="20"/>
                <w:szCs w:val="20"/>
              </w:rPr>
              <w:t xml:space="preserve">.1 </w:t>
            </w:r>
            <w:r w:rsidR="00460754" w:rsidRPr="00460754">
              <w:rPr>
                <w:b/>
                <w:sz w:val="20"/>
                <w:szCs w:val="20"/>
              </w:rPr>
              <w:t>Tham gia toàn diện trong phát triển và thực thi các tiêu chuẩn AI quốc tế</w:t>
            </w:r>
          </w:p>
        </w:tc>
      </w:tr>
      <w:tr w:rsidR="00986B6C" w:rsidRPr="004F1D15" w14:paraId="7D0DC8DE" w14:textId="77777777" w:rsidTr="00297FD7">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156082"/>
              <w:bottom w:val="single" w:sz="4" w:space="0" w:color="156082"/>
              <w:right w:val="single" w:sz="4" w:space="0" w:color="156082"/>
            </w:tcBorders>
            <w:shd w:val="clear" w:color="auto" w:fill="BDD6EE" w:themeFill="accent5" w:themeFillTint="66"/>
            <w:vAlign w:val="center"/>
          </w:tcPr>
          <w:p w14:paraId="1A5E0DED" w14:textId="580BA05A" w:rsidR="00986B6C" w:rsidRPr="00336A35" w:rsidRDefault="00336A35">
            <w:pPr>
              <w:rPr>
                <w:sz w:val="20"/>
                <w:szCs w:val="20"/>
                <w:lang w:val="vi-VN"/>
              </w:rPr>
            </w:pPr>
            <w:r>
              <w:rPr>
                <w:sz w:val="20"/>
                <w:szCs w:val="20"/>
              </w:rPr>
              <w:t>Mục</w:t>
            </w:r>
            <w:r>
              <w:rPr>
                <w:sz w:val="20"/>
                <w:szCs w:val="20"/>
                <w:lang w:val="vi-VN"/>
              </w:rPr>
              <w:t xml:space="preserve"> tiêu</w:t>
            </w:r>
          </w:p>
        </w:tc>
        <w:tc>
          <w:tcPr>
            <w:tcW w:w="13620" w:type="dxa"/>
            <w:gridSpan w:val="7"/>
            <w:tcBorders>
              <w:left w:val="single" w:sz="4" w:space="0" w:color="156082"/>
            </w:tcBorders>
            <w:shd w:val="clear" w:color="auto" w:fill="BDD6EE" w:themeFill="accent5" w:themeFillTint="66"/>
            <w:vAlign w:val="center"/>
          </w:tcPr>
          <w:p w14:paraId="2549033C" w14:textId="2898B77C" w:rsidR="00986B6C" w:rsidRPr="00516087" w:rsidRDefault="00460754"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hAnsi="Arial"/>
                <w:sz w:val="20"/>
                <w:szCs w:val="20"/>
                <w:lang w:val="en-GB"/>
              </w:rPr>
            </w:pPr>
            <w:r w:rsidRPr="00460754">
              <w:rPr>
                <w:rFonts w:ascii="Arial" w:hAnsi="Arial"/>
                <w:b/>
                <w:sz w:val="20"/>
                <w:szCs w:val="20"/>
                <w:lang w:val="en-GB"/>
              </w:rPr>
              <w:t xml:space="preserve">Tham gia toàn diện vào phát triển tiêu chuẩn quốc tế: </w:t>
            </w:r>
            <w:r w:rsidRPr="00460754">
              <w:rPr>
                <w:rFonts w:ascii="Arial" w:hAnsi="Arial"/>
                <w:bCs/>
                <w:sz w:val="20"/>
                <w:szCs w:val="20"/>
                <w:lang w:val="en-GB"/>
              </w:rPr>
              <w:t>Bằng cách thúc đẩy tính toàn diện và đảm bảo đại diện của tất cả các Quốc gia Thành viên ASEAN (AMS) trong các cuộc thảo luận về tiêu chuẩn AI toàn cầu, ASEAN đảm bảo rằng các quan điểm và lợi ích đa dạng của mình được xem xét đầy đủ. Cách tiếp cận này góp phần xây dựng một khuôn khổ toàn cầu toàn diện và có thông tin đầy đủ hơn cho các tiêu chuẩn AI</w:t>
            </w:r>
            <w:r w:rsidR="00B23433" w:rsidRPr="00460754">
              <w:rPr>
                <w:rFonts w:ascii="Arial" w:eastAsia="DengXian" w:hAnsi="Arial"/>
                <w:bCs/>
                <w:sz w:val="20"/>
                <w:szCs w:val="20"/>
                <w:lang w:val="en-GB"/>
              </w:rPr>
              <w:t>.</w:t>
            </w:r>
          </w:p>
        </w:tc>
      </w:tr>
      <w:tr w:rsidR="00986B6C" w:rsidRPr="004F1D15" w14:paraId="7AE0BD22" w14:textId="77777777" w:rsidTr="6BB67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tcPr>
          <w:p w14:paraId="14DFF612" w14:textId="254FE5AA" w:rsidR="00986B6C" w:rsidRPr="004F1D15" w:rsidRDefault="00333926" w:rsidP="00F632A8">
            <w:pPr>
              <w:jc w:val="left"/>
              <w:rPr>
                <w:sz w:val="20"/>
                <w:szCs w:val="20"/>
              </w:rPr>
            </w:pPr>
            <w:r>
              <w:rPr>
                <w:sz w:val="20"/>
                <w:szCs w:val="20"/>
              </w:rPr>
              <w:t>6.2.11</w:t>
            </w:r>
            <w:r w:rsidR="00B23433" w:rsidRPr="004F1D15">
              <w:rPr>
                <w:sz w:val="20"/>
                <w:szCs w:val="20"/>
              </w:rPr>
              <w:t xml:space="preserve">.1 </w:t>
            </w:r>
            <w:r w:rsidR="00460754" w:rsidRPr="00460754">
              <w:rPr>
                <w:sz w:val="20"/>
                <w:szCs w:val="20"/>
              </w:rPr>
              <w:t>Tham gia toàn diện trong phát triển và thực thi các tiêu chuẩn AI quốc tế</w:t>
            </w:r>
          </w:p>
        </w:tc>
        <w:tc>
          <w:tcPr>
            <w:tcW w:w="3764" w:type="dxa"/>
            <w:tcBorders>
              <w:left w:val="single" w:sz="4" w:space="0" w:color="156082"/>
              <w:right w:val="single" w:sz="4" w:space="0" w:color="156082"/>
            </w:tcBorders>
          </w:tcPr>
          <w:p w14:paraId="48CC9FC2" w14:textId="1E95C0F9" w:rsidR="00986B6C" w:rsidRPr="00460754" w:rsidRDefault="00460754" w:rsidP="00FC3CC8">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bCs/>
                <w:sz w:val="20"/>
                <w:szCs w:val="20"/>
                <w:lang w:val="en-GB"/>
              </w:rPr>
            </w:pPr>
            <w:r w:rsidRPr="00460754">
              <w:rPr>
                <w:rFonts w:ascii="Arial" w:eastAsia="DengXian" w:hAnsi="Arial"/>
                <w:b/>
                <w:sz w:val="20"/>
                <w:szCs w:val="20"/>
                <w:lang w:val="en-GB"/>
              </w:rPr>
              <w:t xml:space="preserve">Thúc đẩy ASEAN tham gia toàn diện vào phát triển tiêu chuẩn AI toàn cầu: </w:t>
            </w:r>
            <w:r w:rsidRPr="00460754">
              <w:rPr>
                <w:rFonts w:ascii="Arial" w:eastAsia="DengXian" w:hAnsi="Arial"/>
                <w:bCs/>
                <w:sz w:val="20"/>
                <w:szCs w:val="20"/>
                <w:lang w:val="en-GB"/>
              </w:rPr>
              <w:t>Tăng cường sự tham gia tích cực và hợp tác của cả 10 AMS trong việc định hình các tiêu chuẩn AI toàn cầu, tận dụng chuyên môn và nguồn lực từ các bên liên quan trong nước, khu vực và quốc tế thuộc khu vực công và khu vực tư</w:t>
            </w:r>
            <w:r w:rsidR="00D4561B" w:rsidRPr="00460754">
              <w:rPr>
                <w:rFonts w:ascii="Arial" w:eastAsia="DengXian" w:hAnsi="Arial"/>
                <w:bCs/>
                <w:sz w:val="20"/>
                <w:szCs w:val="20"/>
                <w:lang w:val="en-GB"/>
              </w:rPr>
              <w:t>.</w:t>
            </w:r>
          </w:p>
          <w:p w14:paraId="00031656" w14:textId="4091B59D" w:rsidR="005B5E16" w:rsidRPr="00516087" w:rsidRDefault="005B5E16" w:rsidP="005B5E16">
            <w:pPr>
              <w:pStyle w:val="ListParagraph"/>
              <w:numPr>
                <w:ilvl w:val="0"/>
                <w:numId w:val="0"/>
              </w:numPr>
              <w:ind w:left="360"/>
              <w:cnfStyle w:val="000000100000" w:firstRow="0" w:lastRow="0" w:firstColumn="0" w:lastColumn="0" w:oddVBand="0" w:evenVBand="0" w:oddHBand="1" w:evenHBand="0" w:firstRowFirstColumn="0" w:firstRowLastColumn="0" w:lastRowFirstColumn="0" w:lastRowLastColumn="0"/>
              <w:rPr>
                <w:sz w:val="20"/>
                <w:szCs w:val="20"/>
                <w:lang w:val="en-GB"/>
              </w:rPr>
            </w:pPr>
          </w:p>
        </w:tc>
        <w:tc>
          <w:tcPr>
            <w:tcW w:w="3764" w:type="dxa"/>
            <w:gridSpan w:val="2"/>
            <w:tcBorders>
              <w:left w:val="single" w:sz="4" w:space="0" w:color="156082"/>
              <w:right w:val="single" w:sz="4" w:space="0" w:color="156082"/>
            </w:tcBorders>
            <w:vAlign w:val="center"/>
          </w:tcPr>
          <w:p w14:paraId="696CA411" w14:textId="36D1623A" w:rsidR="00986B6C" w:rsidRPr="004F1D15" w:rsidRDefault="00460754">
            <w:pPr>
              <w:cnfStyle w:val="000000100000" w:firstRow="0" w:lastRow="0" w:firstColumn="0" w:lastColumn="0" w:oddVBand="0" w:evenVBand="0" w:oddHBand="1" w:evenHBand="0" w:firstRowFirstColumn="0" w:firstRowLastColumn="0" w:lastRowFirstColumn="0" w:lastRowLastColumn="0"/>
              <w:rPr>
                <w:sz w:val="20"/>
                <w:szCs w:val="20"/>
              </w:rPr>
            </w:pPr>
            <w:r w:rsidRPr="00460754">
              <w:rPr>
                <w:sz w:val="20"/>
                <w:szCs w:val="20"/>
              </w:rPr>
              <w:t>Ngắn hạn</w:t>
            </w:r>
            <w:r w:rsidR="00986B6C" w:rsidRPr="004F1D15">
              <w:rPr>
                <w:sz w:val="20"/>
                <w:szCs w:val="20"/>
              </w:rPr>
              <w:t>:</w:t>
            </w:r>
          </w:p>
          <w:p w14:paraId="46ADB0AD" w14:textId="77777777" w:rsidR="00460754" w:rsidRPr="00460754" w:rsidRDefault="00460754" w:rsidP="00460754">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460754">
              <w:rPr>
                <w:rFonts w:ascii="Arial" w:hAnsi="Arial"/>
                <w:sz w:val="20"/>
                <w:szCs w:val="20"/>
                <w:lang w:val="en-GB"/>
              </w:rPr>
              <w:t>Xác định và liên hệ với các nhóm công tác ASEAN và các nhà hoạch định chính sách chủ chốt từ cả 10 AMS để đóng góp vào phát triển tiêu chuẩn AI toàn cầu.</w:t>
            </w:r>
          </w:p>
          <w:p w14:paraId="105FC7C6" w14:textId="518602A6" w:rsidR="00460754" w:rsidRPr="00460754" w:rsidRDefault="00460754" w:rsidP="00460754">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460754">
              <w:rPr>
                <w:rFonts w:ascii="Arial" w:hAnsi="Arial"/>
                <w:sz w:val="20"/>
                <w:szCs w:val="20"/>
                <w:lang w:val="en-GB"/>
              </w:rPr>
              <w:t>Tương tác với các bên liên quan từ chính phủ, doanh nghiệp, giới học thuật và các tổ chức xã hội dân sự để thu thập thông tin và ưu tiên cho sự tham gia của ASEAN trong phát triển tiêu chuẩn AI toàn cầu.</w:t>
            </w:r>
          </w:p>
          <w:p w14:paraId="68616C35" w14:textId="16391485" w:rsidR="00B23433" w:rsidRPr="00516087" w:rsidRDefault="00460754" w:rsidP="00460754">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b/>
                <w:sz w:val="20"/>
                <w:szCs w:val="20"/>
                <w:lang w:val="en-GB"/>
              </w:rPr>
            </w:pPr>
            <w:r w:rsidRPr="00460754">
              <w:rPr>
                <w:rFonts w:ascii="Arial" w:hAnsi="Arial"/>
                <w:sz w:val="20"/>
                <w:szCs w:val="20"/>
                <w:lang w:val="en-GB"/>
              </w:rPr>
              <w:t>Xác định các lĩnh vực chuyên môn và nguồn lực trong ASEAN có thể đóng góp hiệu quả cho việc phát triển tiêu chuẩn AI toàn cầu</w:t>
            </w:r>
            <w:r w:rsidR="00582DDC">
              <w:rPr>
                <w:rFonts w:ascii="Arial" w:eastAsia="DengXian" w:hAnsi="Arial"/>
                <w:sz w:val="20"/>
                <w:szCs w:val="20"/>
                <w:lang w:val="en-GB"/>
              </w:rPr>
              <w:t>.</w:t>
            </w:r>
          </w:p>
          <w:p w14:paraId="5250BF27" w14:textId="77777777" w:rsidR="00665967" w:rsidRDefault="00665967">
            <w:pPr>
              <w:cnfStyle w:val="000000100000" w:firstRow="0" w:lastRow="0" w:firstColumn="0" w:lastColumn="0" w:oddVBand="0" w:evenVBand="0" w:oddHBand="1" w:evenHBand="0" w:firstRowFirstColumn="0" w:firstRowLastColumn="0" w:lastRowFirstColumn="0" w:lastRowLastColumn="0"/>
              <w:rPr>
                <w:sz w:val="20"/>
                <w:szCs w:val="20"/>
              </w:rPr>
            </w:pPr>
          </w:p>
          <w:p w14:paraId="617D0D07" w14:textId="77777777" w:rsidR="00665967" w:rsidRDefault="00665967">
            <w:pPr>
              <w:cnfStyle w:val="000000100000" w:firstRow="0" w:lastRow="0" w:firstColumn="0" w:lastColumn="0" w:oddVBand="0" w:evenVBand="0" w:oddHBand="1" w:evenHBand="0" w:firstRowFirstColumn="0" w:firstRowLastColumn="0" w:lastRowFirstColumn="0" w:lastRowLastColumn="0"/>
              <w:rPr>
                <w:sz w:val="20"/>
                <w:szCs w:val="20"/>
              </w:rPr>
            </w:pPr>
          </w:p>
          <w:p w14:paraId="7C812D87" w14:textId="4D3FE3A5" w:rsidR="00986B6C" w:rsidRPr="004F1D15" w:rsidRDefault="00460754">
            <w:pPr>
              <w:cnfStyle w:val="000000100000" w:firstRow="0" w:lastRow="0" w:firstColumn="0" w:lastColumn="0" w:oddVBand="0" w:evenVBand="0" w:oddHBand="1" w:evenHBand="0" w:firstRowFirstColumn="0" w:firstRowLastColumn="0" w:lastRowFirstColumn="0" w:lastRowLastColumn="0"/>
              <w:rPr>
                <w:sz w:val="20"/>
                <w:szCs w:val="20"/>
              </w:rPr>
            </w:pPr>
            <w:r w:rsidRPr="00460754">
              <w:rPr>
                <w:sz w:val="20"/>
                <w:szCs w:val="20"/>
              </w:rPr>
              <w:lastRenderedPageBreak/>
              <w:t>Trung hạn</w:t>
            </w:r>
            <w:r w:rsidR="00986B6C" w:rsidRPr="004F1D15">
              <w:rPr>
                <w:sz w:val="20"/>
                <w:szCs w:val="20"/>
              </w:rPr>
              <w:t>:</w:t>
            </w:r>
          </w:p>
          <w:p w14:paraId="36CAD684" w14:textId="77777777" w:rsidR="00CE36F3" w:rsidRPr="00CE36F3" w:rsidRDefault="00CE36F3" w:rsidP="00CE36F3">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CE36F3">
              <w:rPr>
                <w:rFonts w:ascii="Arial" w:hAnsi="Arial"/>
                <w:sz w:val="20"/>
                <w:szCs w:val="20"/>
                <w:lang w:val="en-GB"/>
              </w:rPr>
              <w:t>Khởi động các dự án hợp tác giữa các quốc gia thành viên ASEAN để xử lý những khía cạnh cụ thể của phát triển tiêu chuẩn AI, chẳng hạn như quyền riêng tư dữ liệu, minh bạch thuật toán và các cân nhắc đạo đức.</w:t>
            </w:r>
          </w:p>
          <w:p w14:paraId="1E945827" w14:textId="3457DA4F" w:rsidR="00CE36F3" w:rsidRPr="00CE36F3" w:rsidRDefault="00CE36F3" w:rsidP="00CE36F3">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CE36F3">
              <w:rPr>
                <w:rFonts w:ascii="Arial" w:hAnsi="Arial"/>
                <w:sz w:val="20"/>
                <w:szCs w:val="20"/>
                <w:lang w:val="en-GB"/>
              </w:rPr>
              <w:t>Thiết lập các quan hệ đối tác với các tổ chức quốc tế, cơ quan tiêu chuẩn và các chuyên gia để tạo thuận lợi cho trao đổi tri thức và nâng cao năng lực trong phát triển tiêu chuẩn AI.</w:t>
            </w:r>
          </w:p>
          <w:p w14:paraId="26F4B6F7" w14:textId="0CCB60CB" w:rsidR="00B23433" w:rsidRPr="00516087" w:rsidRDefault="00CE36F3" w:rsidP="00CE36F3">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b/>
                <w:sz w:val="20"/>
                <w:szCs w:val="20"/>
                <w:lang w:val="en-GB"/>
              </w:rPr>
            </w:pPr>
            <w:r w:rsidRPr="00CE36F3">
              <w:rPr>
                <w:rFonts w:ascii="Arial" w:hAnsi="Arial"/>
                <w:sz w:val="20"/>
                <w:szCs w:val="20"/>
                <w:lang w:val="en-GB"/>
              </w:rPr>
              <w:t>Thực hiện nghiên cứu và phân tích để xác định các khoảng trống và cơ hội trong các khuôn khổ tiêu chuẩn AI toàn cầu hiện có, đồng thời xây dựng khuyến nghị cho đóng góp của ASEAN, đảm bảo rằng các tiêu chuẩn quốc tế được áp dụng trong nước không tạo ra rào cản không cần thiết đối với thương mại số</w:t>
            </w:r>
            <w:r w:rsidR="00582DDC" w:rsidRPr="00516087">
              <w:rPr>
                <w:rFonts w:ascii="Arial" w:eastAsia="DengXian" w:hAnsi="Arial"/>
                <w:sz w:val="20"/>
                <w:szCs w:val="20"/>
                <w:lang w:val="en-GB"/>
              </w:rPr>
              <w:t xml:space="preserve">. </w:t>
            </w:r>
          </w:p>
          <w:p w14:paraId="743FBF87" w14:textId="77777777" w:rsidR="00582DDC" w:rsidRPr="00516087" w:rsidRDefault="00582DDC" w:rsidP="00582DDC">
            <w:pPr>
              <w:pStyle w:val="ListParagraph"/>
              <w:numPr>
                <w:ilvl w:val="0"/>
                <w:numId w:val="0"/>
              </w:numPr>
              <w:spacing w:after="0"/>
              <w:ind w:left="360"/>
              <w:cnfStyle w:val="000000100000" w:firstRow="0" w:lastRow="0" w:firstColumn="0" w:lastColumn="0" w:oddVBand="0" w:evenVBand="0" w:oddHBand="1" w:evenHBand="0" w:firstRowFirstColumn="0" w:firstRowLastColumn="0" w:lastRowFirstColumn="0" w:lastRowLastColumn="0"/>
              <w:rPr>
                <w:rFonts w:ascii="Arial" w:eastAsia="DengXian" w:hAnsi="Arial"/>
                <w:b/>
                <w:sz w:val="20"/>
                <w:szCs w:val="20"/>
                <w:lang w:val="en-GB"/>
              </w:rPr>
            </w:pPr>
          </w:p>
          <w:p w14:paraId="151BD67C" w14:textId="00DF0B8C" w:rsidR="00986B6C" w:rsidRPr="004F1D15" w:rsidRDefault="00CE36F3">
            <w:pPr>
              <w:cnfStyle w:val="000000100000" w:firstRow="0" w:lastRow="0" w:firstColumn="0" w:lastColumn="0" w:oddVBand="0" w:evenVBand="0" w:oddHBand="1" w:evenHBand="0" w:firstRowFirstColumn="0" w:firstRowLastColumn="0" w:lastRowFirstColumn="0" w:lastRowLastColumn="0"/>
              <w:rPr>
                <w:sz w:val="20"/>
                <w:szCs w:val="20"/>
              </w:rPr>
            </w:pPr>
            <w:r w:rsidRPr="00CE36F3">
              <w:rPr>
                <w:sz w:val="20"/>
                <w:szCs w:val="20"/>
              </w:rPr>
              <w:t>Dài hạn</w:t>
            </w:r>
            <w:r w:rsidR="00986B6C" w:rsidRPr="004F1D15">
              <w:rPr>
                <w:sz w:val="20"/>
                <w:szCs w:val="20"/>
              </w:rPr>
              <w:t>:</w:t>
            </w:r>
          </w:p>
          <w:p w14:paraId="603EC4C7" w14:textId="77777777" w:rsidR="00CE36F3" w:rsidRPr="00CE36F3" w:rsidRDefault="00CE36F3" w:rsidP="00CE36F3">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CE36F3">
              <w:rPr>
                <w:rFonts w:ascii="Arial" w:eastAsia="DengXian" w:hAnsi="Arial"/>
                <w:sz w:val="20"/>
                <w:szCs w:val="20"/>
                <w:lang w:val="en-GB"/>
              </w:rPr>
              <w:t>Xây dựng các đề xuất cụ thể và đóng góp từ ASEAN để trình lên các cơ quan và sáng kiến phát triển tiêu chuẩn AI toàn cầu liên quan.</w:t>
            </w:r>
          </w:p>
          <w:p w14:paraId="630FF825" w14:textId="5A7CC0E7" w:rsidR="00CE36F3" w:rsidRPr="00CE36F3" w:rsidRDefault="00CE36F3" w:rsidP="00CE36F3">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CE36F3">
              <w:rPr>
                <w:rFonts w:ascii="Arial" w:eastAsia="DengXian" w:hAnsi="Arial"/>
                <w:sz w:val="20"/>
                <w:szCs w:val="20"/>
                <w:lang w:val="en-GB"/>
              </w:rPr>
              <w:t>Thúc đẩy việc thông qua và tích hợp đóng góp của ASEAN trong các cuộc thảo luận về tiêu chuẩn AI toàn cầu, nhấn mạnh những quan điểm và kinh nghiệm đặc thù của khu vực.</w:t>
            </w:r>
          </w:p>
          <w:p w14:paraId="76AF9089" w14:textId="659E8357" w:rsidR="00CE36F3" w:rsidRPr="00CE36F3" w:rsidRDefault="00CE36F3" w:rsidP="00CE36F3">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CE36F3">
              <w:rPr>
                <w:rFonts w:ascii="Arial" w:eastAsia="DengXian" w:hAnsi="Arial"/>
                <w:sz w:val="20"/>
                <w:szCs w:val="20"/>
                <w:lang w:val="en-GB"/>
              </w:rPr>
              <w:lastRenderedPageBreak/>
              <w:t>Duy trì sự tham gia liên tục trong các tiến trình phát triển tiêu chuẩn AI toàn cầu nhằm đảm bảo lợi ích và ưu tiên của ASEAN được xem xét trong sự phát triển của các tiêu chuẩn quốc tế.</w:t>
            </w:r>
          </w:p>
          <w:p w14:paraId="5644B8BA" w14:textId="43C02E34" w:rsidR="00582DDC" w:rsidRPr="004F1D15" w:rsidRDefault="00CE36F3" w:rsidP="00CE36F3">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CE36F3">
              <w:rPr>
                <w:rFonts w:ascii="Arial" w:eastAsia="DengXian" w:hAnsi="Arial"/>
                <w:sz w:val="20"/>
                <w:szCs w:val="20"/>
                <w:lang w:val="en-GB"/>
              </w:rPr>
              <w:t>Định kỳ rà soát các tiêu chuẩn và quy định đã được áp dụng trong nước nhằm tăng cường mức độ thống nhất với các tiêu chuẩn quốc tế</w:t>
            </w:r>
            <w:r w:rsidR="00582DDC">
              <w:rPr>
                <w:rFonts w:ascii="Arial" w:eastAsia="DengXian" w:hAnsi="Arial"/>
                <w:sz w:val="20"/>
                <w:szCs w:val="20"/>
                <w:lang w:val="en-GB"/>
              </w:rPr>
              <w:t xml:space="preserve">. </w:t>
            </w:r>
          </w:p>
        </w:tc>
        <w:tc>
          <w:tcPr>
            <w:tcW w:w="2318" w:type="dxa"/>
            <w:gridSpan w:val="2"/>
            <w:tcBorders>
              <w:left w:val="single" w:sz="4" w:space="0" w:color="156082"/>
              <w:right w:val="single" w:sz="4" w:space="0" w:color="156082"/>
            </w:tcBorders>
          </w:tcPr>
          <w:p w14:paraId="0683B47C" w14:textId="3B82668B" w:rsidR="00986B6C" w:rsidRPr="00CE36F3" w:rsidRDefault="00CE36F3">
            <w:pPr>
              <w:cnfStyle w:val="000000100000" w:firstRow="0" w:lastRow="0" w:firstColumn="0" w:lastColumn="0" w:oddVBand="0" w:evenVBand="0" w:oddHBand="1" w:evenHBand="0" w:firstRowFirstColumn="0" w:firstRowLastColumn="0" w:lastRowFirstColumn="0" w:lastRowLastColumn="0"/>
              <w:rPr>
                <w:sz w:val="20"/>
                <w:szCs w:val="20"/>
                <w:lang w:val="vi-VN"/>
              </w:rPr>
            </w:pPr>
            <w:r>
              <w:rPr>
                <w:sz w:val="20"/>
                <w:szCs w:val="20"/>
              </w:rPr>
              <w:lastRenderedPageBreak/>
              <w:t>C</w:t>
            </w:r>
            <w:r>
              <w:rPr>
                <w:sz w:val="20"/>
                <w:szCs w:val="20"/>
                <w:lang w:val="vi-VN"/>
              </w:rPr>
              <w:t>ơ quan điều phối:</w:t>
            </w:r>
          </w:p>
          <w:p w14:paraId="0FB5611D" w14:textId="60449739" w:rsidR="00B3170C" w:rsidRDefault="00CE36F3" w:rsidP="00B3170C">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CE36F3">
              <w:rPr>
                <w:rFonts w:ascii="Arial" w:eastAsia="DengXian" w:hAnsi="Arial"/>
                <w:sz w:val="20"/>
                <w:szCs w:val="20"/>
                <w:lang w:val="en-GB"/>
              </w:rPr>
              <w:t xml:space="preserve">Nhóm Công tác ASEAN về Trí tuệ nhân tạo </w:t>
            </w:r>
            <w:r w:rsidR="00B3170C">
              <w:rPr>
                <w:rFonts w:ascii="Arial" w:eastAsia="DengXian" w:hAnsi="Arial"/>
                <w:sz w:val="20"/>
                <w:szCs w:val="20"/>
                <w:lang w:val="en-GB"/>
              </w:rPr>
              <w:t>(AI-WG)</w:t>
            </w:r>
          </w:p>
          <w:p w14:paraId="044B1E76" w14:textId="77777777" w:rsidR="00794D9D" w:rsidRDefault="00794D9D" w:rsidP="00794D9D">
            <w:pPr>
              <w:cnfStyle w:val="000000100000" w:firstRow="0" w:lastRow="0" w:firstColumn="0" w:lastColumn="0" w:oddVBand="0" w:evenVBand="0" w:oddHBand="1" w:evenHBand="0" w:firstRowFirstColumn="0" w:firstRowLastColumn="0" w:lastRowFirstColumn="0" w:lastRowLastColumn="0"/>
              <w:rPr>
                <w:sz w:val="20"/>
                <w:szCs w:val="20"/>
              </w:rPr>
            </w:pPr>
          </w:p>
          <w:p w14:paraId="17650A26" w14:textId="11A810E9" w:rsidR="00794D9D" w:rsidRPr="00794D9D" w:rsidRDefault="00CE36F3" w:rsidP="00794D9D">
            <w:pPr>
              <w:cnfStyle w:val="000000100000" w:firstRow="0" w:lastRow="0" w:firstColumn="0" w:lastColumn="0" w:oddVBand="0" w:evenVBand="0" w:oddHBand="1" w:evenHBand="0" w:firstRowFirstColumn="0" w:firstRowLastColumn="0" w:lastRowFirstColumn="0" w:lastRowLastColumn="0"/>
              <w:rPr>
                <w:sz w:val="20"/>
                <w:szCs w:val="20"/>
              </w:rPr>
            </w:pPr>
            <w:r w:rsidRPr="00CE36F3">
              <w:rPr>
                <w:sz w:val="20"/>
                <w:szCs w:val="20"/>
              </w:rPr>
              <w:t>Các cơ quan ngành hỗ trợ</w:t>
            </w:r>
            <w:r w:rsidR="00794D9D">
              <w:rPr>
                <w:sz w:val="20"/>
                <w:szCs w:val="20"/>
              </w:rPr>
              <w:t xml:space="preserve">: </w:t>
            </w:r>
          </w:p>
          <w:p w14:paraId="4B7A8773" w14:textId="22373AA1" w:rsidR="005E41BB" w:rsidRDefault="00CE36F3" w:rsidP="00FC3CC8">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CE36F3">
              <w:rPr>
                <w:rFonts w:ascii="Arial" w:eastAsia="DengXian" w:hAnsi="Arial"/>
                <w:sz w:val="20"/>
                <w:szCs w:val="20"/>
                <w:lang w:val="en-GB"/>
              </w:rPr>
              <w:t xml:space="preserve">Ủy ban Khoa học, Công nghệ và Đổi mới ASEAN </w:t>
            </w:r>
            <w:r w:rsidR="00B3170C" w:rsidRPr="00B3170C">
              <w:rPr>
                <w:rFonts w:ascii="Arial" w:eastAsia="DengXian" w:hAnsi="Arial"/>
                <w:sz w:val="20"/>
                <w:szCs w:val="20"/>
                <w:lang w:val="en-GB"/>
              </w:rPr>
              <w:t>(COSTI)</w:t>
            </w:r>
          </w:p>
          <w:p w14:paraId="431EE6D8" w14:textId="10270F09" w:rsidR="00986B6C" w:rsidRPr="005E41BB" w:rsidRDefault="00CE36F3" w:rsidP="005E41BB">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eastAsia="DengXian"/>
              </w:rPr>
            </w:pPr>
            <w:r w:rsidRPr="00CE36F3">
              <w:rPr>
                <w:rFonts w:ascii="Arial" w:eastAsia="DengXian" w:hAnsi="Arial"/>
                <w:sz w:val="20"/>
                <w:szCs w:val="20"/>
                <w:lang w:val="en-GB"/>
              </w:rPr>
              <w:t xml:space="preserve">Nhóm Công tác về Tiêu chuẩn và Thương mại Số và Đánh giá Sự phù hợp </w:t>
            </w:r>
            <w:r w:rsidR="00333926" w:rsidRPr="005E41BB">
              <w:rPr>
                <w:rFonts w:ascii="Arial" w:eastAsia="DengXian" w:hAnsi="Arial"/>
                <w:sz w:val="20"/>
                <w:szCs w:val="20"/>
                <w:lang w:val="en-GB"/>
              </w:rPr>
              <w:t>(DTSCWG)</w:t>
            </w:r>
            <w:r w:rsidR="00333926" w:rsidRPr="005E41BB">
              <w:rPr>
                <w:rFonts w:eastAsia="DengXian" w:hint="eastAsia"/>
                <w:sz w:val="20"/>
                <w:szCs w:val="20"/>
              </w:rPr>
              <w:t xml:space="preserve"> </w:t>
            </w:r>
          </w:p>
        </w:tc>
        <w:tc>
          <w:tcPr>
            <w:tcW w:w="3774" w:type="dxa"/>
            <w:gridSpan w:val="2"/>
            <w:tcBorders>
              <w:left w:val="single" w:sz="4" w:space="0" w:color="156082"/>
            </w:tcBorders>
          </w:tcPr>
          <w:p w14:paraId="42EC7BA3" w14:textId="295C5F85" w:rsidR="00986B6C" w:rsidRPr="004F1D15" w:rsidRDefault="00557DF8">
            <w:pPr>
              <w:cnfStyle w:val="000000100000" w:firstRow="0" w:lastRow="0" w:firstColumn="0" w:lastColumn="0" w:oddVBand="0" w:evenVBand="0" w:oddHBand="1" w:evenHBand="0" w:firstRowFirstColumn="0" w:firstRowLastColumn="0" w:lastRowFirstColumn="0" w:lastRowLastColumn="0"/>
              <w:rPr>
                <w:sz w:val="20"/>
                <w:szCs w:val="20"/>
              </w:rPr>
            </w:pPr>
            <w:r w:rsidRPr="00557DF8">
              <w:rPr>
                <w:sz w:val="20"/>
                <w:szCs w:val="20"/>
              </w:rPr>
              <w:t>Các thước đo tiến độ chung bao gồm</w:t>
            </w:r>
            <w:r w:rsidR="00986B6C" w:rsidRPr="004F1D15">
              <w:rPr>
                <w:sz w:val="20"/>
                <w:szCs w:val="20"/>
              </w:rPr>
              <w:t>:</w:t>
            </w:r>
          </w:p>
          <w:p w14:paraId="0A1B7248" w14:textId="77777777" w:rsidR="00557DF8" w:rsidRPr="00557DF8" w:rsidRDefault="00557DF8" w:rsidP="00557DF8">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b/>
                <w:sz w:val="20"/>
                <w:szCs w:val="20"/>
                <w:lang w:val="en-GB"/>
              </w:rPr>
            </w:pPr>
            <w:r w:rsidRPr="00557DF8">
              <w:rPr>
                <w:rFonts w:ascii="Arial" w:hAnsi="Arial"/>
                <w:b/>
                <w:sz w:val="20"/>
                <w:szCs w:val="20"/>
                <w:lang w:val="en-GB"/>
              </w:rPr>
              <w:t xml:space="preserve">Xác định chuyên môn ASEAN: </w:t>
            </w:r>
            <w:r w:rsidRPr="00557DF8">
              <w:rPr>
                <w:rFonts w:ascii="Arial" w:hAnsi="Arial"/>
                <w:bCs/>
                <w:sz w:val="20"/>
                <w:szCs w:val="20"/>
                <w:lang w:val="en-GB"/>
              </w:rPr>
              <w:t>Đánh giá việc xác định và lập bản đồ chuyên môn và nguồn lực trong ASEAN có thể đóng góp cho phát triển tiêu chuẩn AI toàn cầu, bao gồm kiến thức kỹ thuật, năng lực nghiên cứu và chuyên môn hoạch định chính sách.</w:t>
            </w:r>
          </w:p>
          <w:p w14:paraId="59FBEAB4" w14:textId="05DE2AE8" w:rsidR="00557DF8" w:rsidRPr="00557DF8" w:rsidRDefault="00557DF8" w:rsidP="00557DF8">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b/>
                <w:sz w:val="20"/>
                <w:szCs w:val="20"/>
                <w:lang w:val="en-GB"/>
              </w:rPr>
            </w:pPr>
            <w:r w:rsidRPr="00557DF8">
              <w:rPr>
                <w:rFonts w:ascii="Arial" w:hAnsi="Arial"/>
                <w:b/>
                <w:sz w:val="20"/>
                <w:szCs w:val="20"/>
                <w:lang w:val="en-GB"/>
              </w:rPr>
              <w:t xml:space="preserve">Khởi tạo các dự án hợp tác: </w:t>
            </w:r>
            <w:r w:rsidRPr="00557DF8">
              <w:rPr>
                <w:rFonts w:ascii="Arial" w:hAnsi="Arial"/>
                <w:bCs/>
                <w:sz w:val="20"/>
                <w:szCs w:val="20"/>
                <w:lang w:val="en-GB"/>
              </w:rPr>
              <w:t>Theo dõi việc khởi động và tiến độ của các dự án hợp tác giữa các quốc gia thành viên ASEAN nhằm xử lý các lĩnh vực cụ thể của phát triển tiêu chuẩn AI.</w:t>
            </w:r>
          </w:p>
          <w:p w14:paraId="3067DE39" w14:textId="7DF3341A" w:rsidR="00557DF8" w:rsidRPr="00557DF8" w:rsidRDefault="00557DF8" w:rsidP="00557DF8">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bCs/>
                <w:sz w:val="20"/>
                <w:szCs w:val="20"/>
                <w:lang w:val="en-GB"/>
              </w:rPr>
            </w:pPr>
            <w:r w:rsidRPr="00557DF8">
              <w:rPr>
                <w:rFonts w:ascii="Arial" w:hAnsi="Arial"/>
                <w:b/>
                <w:sz w:val="20"/>
                <w:szCs w:val="20"/>
                <w:lang w:val="en-GB"/>
              </w:rPr>
              <w:t xml:space="preserve">Hình thành quan hệ đối tác: </w:t>
            </w:r>
            <w:r w:rsidRPr="00557DF8">
              <w:rPr>
                <w:rFonts w:ascii="Arial" w:hAnsi="Arial"/>
                <w:bCs/>
                <w:sz w:val="20"/>
                <w:szCs w:val="20"/>
                <w:lang w:val="en-GB"/>
              </w:rPr>
              <w:t xml:space="preserve">Theo dõi việc thiết lập các quan hệ đối tác với các tổ chức quốc tế, cơ quan tiêu </w:t>
            </w:r>
            <w:r w:rsidRPr="00557DF8">
              <w:rPr>
                <w:rFonts w:ascii="Arial" w:hAnsi="Arial"/>
                <w:bCs/>
                <w:sz w:val="20"/>
                <w:szCs w:val="20"/>
                <w:lang w:val="en-GB"/>
              </w:rPr>
              <w:lastRenderedPageBreak/>
              <w:t>chuẩn và chuyên gia để tạo thuận lợi cho trao đổi tri thức và nâng cao năng lực trong phát triển tiêu chuẩn AI.</w:t>
            </w:r>
          </w:p>
          <w:p w14:paraId="1BC4FA97" w14:textId="0B6158EA" w:rsidR="00557DF8" w:rsidRPr="00557DF8" w:rsidRDefault="00557DF8" w:rsidP="00557DF8">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b/>
                <w:sz w:val="20"/>
                <w:szCs w:val="20"/>
                <w:lang w:val="en-GB"/>
              </w:rPr>
            </w:pPr>
            <w:r w:rsidRPr="00557DF8">
              <w:rPr>
                <w:rFonts w:ascii="Arial" w:hAnsi="Arial"/>
                <w:b/>
                <w:sz w:val="20"/>
                <w:szCs w:val="20"/>
                <w:lang w:val="en-GB"/>
              </w:rPr>
              <w:t xml:space="preserve">Sản phẩm nghiên cứu và phân tích: </w:t>
            </w:r>
            <w:r w:rsidRPr="00557DF8">
              <w:rPr>
                <w:rFonts w:ascii="Arial" w:hAnsi="Arial"/>
                <w:bCs/>
                <w:sz w:val="20"/>
                <w:szCs w:val="20"/>
                <w:lang w:val="en-GB"/>
              </w:rPr>
              <w:t>Đánh giá chất lượng và mức độ phù hợp của các nghiên cứu và phân tích được thực hiện nhằm xác định khoảng trống và cơ hội trong các khuôn khổ tiêu chuẩn AI toàn cầu, cũng như việc xây dựng các khuyến nghị cho đóng góp của ASEAN.</w:t>
            </w:r>
          </w:p>
          <w:p w14:paraId="25A660EA" w14:textId="471D0D79" w:rsidR="00986B6C" w:rsidRPr="00516087" w:rsidRDefault="00557DF8" w:rsidP="00557DF8">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sz w:val="20"/>
                <w:szCs w:val="20"/>
                <w:lang w:val="en-GB"/>
              </w:rPr>
            </w:pPr>
            <w:r w:rsidRPr="00557DF8">
              <w:rPr>
                <w:rFonts w:ascii="Arial" w:hAnsi="Arial"/>
                <w:b/>
                <w:sz w:val="20"/>
                <w:szCs w:val="20"/>
                <w:lang w:val="en-GB"/>
              </w:rPr>
              <w:t xml:space="preserve">Đóng góp của ASEAN đối với phát triển tiêu chuẩn: </w:t>
            </w:r>
            <w:r w:rsidRPr="00557DF8">
              <w:rPr>
                <w:rFonts w:ascii="Arial" w:hAnsi="Arial"/>
                <w:bCs/>
                <w:sz w:val="20"/>
                <w:szCs w:val="20"/>
                <w:lang w:val="en-GB"/>
              </w:rPr>
              <w:t>Đo lường tiến độ trong việc xây dựng và hoàn thiện các đề xuất và đóng góp cụ thể từ ASEAN để nộp lên các cơ quan phát triển tiêu chuẩn AI toàn cầu liên quan</w:t>
            </w:r>
            <w:r w:rsidR="00B23433" w:rsidRPr="00557DF8">
              <w:rPr>
                <w:rFonts w:ascii="Arial" w:hAnsi="Arial"/>
                <w:bCs/>
                <w:sz w:val="20"/>
                <w:szCs w:val="20"/>
                <w:lang w:val="en-GB"/>
              </w:rPr>
              <w:t>.</w:t>
            </w:r>
          </w:p>
        </w:tc>
      </w:tr>
    </w:tbl>
    <w:p w14:paraId="1050F818" w14:textId="77777777" w:rsidR="004F178C" w:rsidRPr="00432619" w:rsidRDefault="004F178C" w:rsidP="007211B1"/>
    <w:tbl>
      <w:tblPr>
        <w:tblStyle w:val="ListTable3-Accent11"/>
        <w:tblW w:w="15314" w:type="dxa"/>
        <w:tblLook w:val="04A0" w:firstRow="1" w:lastRow="0" w:firstColumn="1" w:lastColumn="0" w:noHBand="0" w:noVBand="1"/>
      </w:tblPr>
      <w:tblGrid>
        <w:gridCol w:w="1694"/>
        <w:gridCol w:w="3764"/>
        <w:gridCol w:w="7"/>
        <w:gridCol w:w="3757"/>
        <w:gridCol w:w="15"/>
        <w:gridCol w:w="2303"/>
        <w:gridCol w:w="14"/>
        <w:gridCol w:w="3760"/>
      </w:tblGrid>
      <w:tr w:rsidR="00C235CA" w:rsidRPr="004F1D15" w14:paraId="45235A72" w14:textId="77777777" w:rsidTr="00297F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4" w:type="dxa"/>
            <w:tcBorders>
              <w:bottom w:val="single" w:sz="4" w:space="0" w:color="156082"/>
            </w:tcBorders>
            <w:shd w:val="clear" w:color="auto" w:fill="002060"/>
          </w:tcPr>
          <w:p w14:paraId="27D820FD" w14:textId="3C44511A" w:rsidR="00C235CA" w:rsidRPr="00557DF8" w:rsidRDefault="00557DF8">
            <w:pPr>
              <w:jc w:val="left"/>
              <w:rPr>
                <w:sz w:val="20"/>
                <w:szCs w:val="20"/>
                <w:lang w:val="vi-VN"/>
              </w:rPr>
            </w:pPr>
            <w:r>
              <w:rPr>
                <w:sz w:val="20"/>
                <w:szCs w:val="20"/>
              </w:rPr>
              <w:t>Khu</w:t>
            </w:r>
            <w:r>
              <w:rPr>
                <w:sz w:val="20"/>
                <w:szCs w:val="20"/>
                <w:lang w:val="vi-VN"/>
              </w:rPr>
              <w:t xml:space="preserve"> vực hành động</w:t>
            </w:r>
          </w:p>
        </w:tc>
        <w:tc>
          <w:tcPr>
            <w:tcW w:w="3771" w:type="dxa"/>
            <w:gridSpan w:val="2"/>
            <w:shd w:val="clear" w:color="auto" w:fill="002060"/>
          </w:tcPr>
          <w:p w14:paraId="297647BA" w14:textId="77DE96A1" w:rsidR="00C235CA" w:rsidRPr="00557DF8" w:rsidRDefault="00557DF8">
            <w:pPr>
              <w:jc w:val="left"/>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L</w:t>
            </w:r>
            <w:r>
              <w:rPr>
                <w:sz w:val="20"/>
                <w:szCs w:val="20"/>
                <w:lang w:val="vi-VN"/>
              </w:rPr>
              <w:t>ĩnh vực trọng tâm</w:t>
            </w:r>
          </w:p>
        </w:tc>
        <w:tc>
          <w:tcPr>
            <w:tcW w:w="3772" w:type="dxa"/>
            <w:gridSpan w:val="2"/>
            <w:shd w:val="clear" w:color="auto" w:fill="002060"/>
          </w:tcPr>
          <w:p w14:paraId="39AA7ECA" w14:textId="3FE38698" w:rsidR="00C235CA" w:rsidRPr="004F1D15" w:rsidRDefault="00557DF8">
            <w:pPr>
              <w:jc w:val="left"/>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lang w:val="vi-VN"/>
              </w:rPr>
              <w:t>Các mốc dự kiến và khung thời gian tạm tính</w:t>
            </w:r>
            <w:r w:rsidR="00C235CA" w:rsidRPr="004F1D15">
              <w:rPr>
                <w:sz w:val="20"/>
                <w:szCs w:val="20"/>
                <w:vertAlign w:val="superscript"/>
              </w:rPr>
              <w:footnoteReference w:id="360"/>
            </w:r>
          </w:p>
        </w:tc>
        <w:tc>
          <w:tcPr>
            <w:tcW w:w="2317" w:type="dxa"/>
            <w:gridSpan w:val="2"/>
            <w:shd w:val="clear" w:color="auto" w:fill="002060"/>
          </w:tcPr>
          <w:p w14:paraId="5CCEEB84" w14:textId="2E9D5B77" w:rsidR="00C235CA" w:rsidRPr="00557DF8" w:rsidRDefault="00557DF8">
            <w:pPr>
              <w:jc w:val="left"/>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Các</w:t>
            </w:r>
            <w:r>
              <w:rPr>
                <w:sz w:val="20"/>
                <w:szCs w:val="20"/>
                <w:lang w:val="vi-VN"/>
              </w:rPr>
              <w:t xml:space="preserve"> bên chịu trách nhiệm chính</w:t>
            </w:r>
          </w:p>
        </w:tc>
        <w:tc>
          <w:tcPr>
            <w:tcW w:w="3760" w:type="dxa"/>
            <w:shd w:val="clear" w:color="auto" w:fill="002060"/>
          </w:tcPr>
          <w:p w14:paraId="092E0285" w14:textId="65C30ED3" w:rsidR="00C235CA" w:rsidRPr="00557DF8" w:rsidRDefault="00557DF8">
            <w:pPr>
              <w:jc w:val="left"/>
              <w:cnfStyle w:val="100000000000" w:firstRow="1" w:lastRow="0" w:firstColumn="0" w:lastColumn="0" w:oddVBand="0" w:evenVBand="0" w:oddHBand="0" w:evenHBand="0" w:firstRowFirstColumn="0" w:firstRowLastColumn="0" w:lastRowFirstColumn="0" w:lastRowLastColumn="0"/>
              <w:rPr>
                <w:sz w:val="20"/>
                <w:szCs w:val="20"/>
                <w:lang w:val="vi-VN"/>
              </w:rPr>
            </w:pPr>
            <w:r>
              <w:rPr>
                <w:sz w:val="20"/>
                <w:szCs w:val="20"/>
              </w:rPr>
              <w:t>Th</w:t>
            </w:r>
            <w:r>
              <w:rPr>
                <w:sz w:val="20"/>
                <w:szCs w:val="20"/>
                <w:lang w:val="vi-VN"/>
              </w:rPr>
              <w:t>ước đo tiến độ</w:t>
            </w:r>
          </w:p>
        </w:tc>
      </w:tr>
      <w:tr w:rsidR="00C235CA" w:rsidRPr="004F1D15" w14:paraId="4087FAFE" w14:textId="77777777" w:rsidTr="00297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shd w:val="clear" w:color="auto" w:fill="00B0F0"/>
            <w:vAlign w:val="center"/>
          </w:tcPr>
          <w:p w14:paraId="78518EBE" w14:textId="0212BBA5" w:rsidR="00C235CA" w:rsidRPr="00557DF8" w:rsidRDefault="00557DF8">
            <w:pPr>
              <w:rPr>
                <w:sz w:val="20"/>
                <w:szCs w:val="20"/>
                <w:lang w:val="vi-VN"/>
              </w:rPr>
            </w:pPr>
            <w:r>
              <w:rPr>
                <w:sz w:val="20"/>
                <w:szCs w:val="20"/>
              </w:rPr>
              <w:t>Khu</w:t>
            </w:r>
            <w:r>
              <w:rPr>
                <w:sz w:val="20"/>
                <w:szCs w:val="20"/>
                <w:lang w:val="vi-VN"/>
              </w:rPr>
              <w:t xml:space="preserve"> vực hành động chính</w:t>
            </w:r>
          </w:p>
        </w:tc>
        <w:tc>
          <w:tcPr>
            <w:tcW w:w="13620" w:type="dxa"/>
            <w:gridSpan w:val="7"/>
            <w:tcBorders>
              <w:left w:val="single" w:sz="4" w:space="0" w:color="156082"/>
            </w:tcBorders>
            <w:shd w:val="clear" w:color="auto" w:fill="00B0F0"/>
            <w:vAlign w:val="center"/>
          </w:tcPr>
          <w:p w14:paraId="6BDE0C3A" w14:textId="19F4415C" w:rsidR="00C235CA" w:rsidRPr="004F1D15" w:rsidRDefault="00432619">
            <w:pPr>
              <w:cnfStyle w:val="000000100000" w:firstRow="0" w:lastRow="0" w:firstColumn="0" w:lastColumn="0" w:oddVBand="0" w:evenVBand="0" w:oddHBand="1" w:evenHBand="0" w:firstRowFirstColumn="0" w:firstRowLastColumn="0" w:lastRowFirstColumn="0" w:lastRowLastColumn="0"/>
              <w:rPr>
                <w:rFonts w:eastAsiaTheme="minorEastAsia"/>
                <w:b/>
                <w:bCs/>
                <w:sz w:val="20"/>
                <w:szCs w:val="20"/>
              </w:rPr>
            </w:pPr>
            <w:r>
              <w:rPr>
                <w:b/>
                <w:sz w:val="20"/>
                <w:szCs w:val="20"/>
              </w:rPr>
              <w:t>6.2.11.</w:t>
            </w:r>
            <w:r w:rsidR="00E72E93">
              <w:rPr>
                <w:b/>
                <w:sz w:val="20"/>
                <w:szCs w:val="20"/>
              </w:rPr>
              <w:t>1</w:t>
            </w:r>
            <w:r>
              <w:rPr>
                <w:b/>
                <w:sz w:val="20"/>
                <w:szCs w:val="20"/>
              </w:rPr>
              <w:t xml:space="preserve"> </w:t>
            </w:r>
            <w:r w:rsidR="00F50EC6" w:rsidRPr="00F50EC6">
              <w:rPr>
                <w:b/>
                <w:sz w:val="20"/>
                <w:szCs w:val="20"/>
              </w:rPr>
              <w:t>Điều phối và Phát triển Chính sách AI Khu vực</w:t>
            </w:r>
          </w:p>
        </w:tc>
      </w:tr>
      <w:tr w:rsidR="00C235CA" w:rsidRPr="004F1D15" w14:paraId="65702662" w14:textId="77777777" w:rsidTr="00297FD7">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156082"/>
              <w:bottom w:val="single" w:sz="4" w:space="0" w:color="156082"/>
              <w:right w:val="single" w:sz="4" w:space="0" w:color="156082"/>
            </w:tcBorders>
            <w:shd w:val="clear" w:color="auto" w:fill="BDD6EE" w:themeFill="accent5" w:themeFillTint="66"/>
            <w:vAlign w:val="center"/>
          </w:tcPr>
          <w:p w14:paraId="3BB4A7BC" w14:textId="7141F67B" w:rsidR="00C235CA" w:rsidRPr="00557DF8" w:rsidRDefault="00557DF8">
            <w:pPr>
              <w:rPr>
                <w:sz w:val="20"/>
                <w:szCs w:val="20"/>
                <w:lang w:val="vi-VN"/>
              </w:rPr>
            </w:pPr>
            <w:r>
              <w:rPr>
                <w:sz w:val="20"/>
                <w:szCs w:val="20"/>
              </w:rPr>
              <w:t>Mục</w:t>
            </w:r>
            <w:r>
              <w:rPr>
                <w:sz w:val="20"/>
                <w:szCs w:val="20"/>
                <w:lang w:val="vi-VN"/>
              </w:rPr>
              <w:t xml:space="preserve"> tiêu</w:t>
            </w:r>
          </w:p>
        </w:tc>
        <w:tc>
          <w:tcPr>
            <w:tcW w:w="13620" w:type="dxa"/>
            <w:gridSpan w:val="7"/>
            <w:tcBorders>
              <w:left w:val="single" w:sz="4" w:space="0" w:color="156082"/>
            </w:tcBorders>
            <w:shd w:val="clear" w:color="auto" w:fill="BDD6EE" w:themeFill="accent5" w:themeFillTint="66"/>
            <w:vAlign w:val="center"/>
          </w:tcPr>
          <w:p w14:paraId="5CC68954" w14:textId="25C56131" w:rsidR="00D97D6D" w:rsidRPr="00516087" w:rsidRDefault="00F50EC6" w:rsidP="00333926">
            <w:pPr>
              <w:pStyle w:val="ListParagraph"/>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DengXian" w:hAnsi="Arial"/>
                <w:sz w:val="20"/>
                <w:szCs w:val="20"/>
                <w:lang w:val="en-GB"/>
              </w:rPr>
            </w:pPr>
            <w:r w:rsidRPr="00F50EC6">
              <w:rPr>
                <w:rFonts w:ascii="Arial" w:eastAsia="DengXian" w:hAnsi="Arial"/>
                <w:b/>
                <w:sz w:val="20"/>
                <w:szCs w:val="20"/>
                <w:lang w:val="en-GB"/>
              </w:rPr>
              <w:t xml:space="preserve">Định hình phát triển chính sách khu vực: </w:t>
            </w:r>
            <w:r w:rsidRPr="00F50EC6">
              <w:rPr>
                <w:rFonts w:ascii="Arial" w:eastAsia="DengXian" w:hAnsi="Arial"/>
                <w:bCs/>
                <w:sz w:val="20"/>
                <w:szCs w:val="20"/>
                <w:lang w:val="en-GB"/>
              </w:rPr>
              <w:t>Các Quốc gia Thành viên ASEAN (AMS) cần tích cực tham gia các diễn đàn khu vực và các cuộc họp của Nhóm Công tác ASEAN về Quản trị AI (ASEAN Working Group on AI Governance), đồng thời đóng góp thông tin, góc nhìn, kinh nghiệm quốc gia và thực tiễn tốt nhằm thúc đẩy triển khai các nguyên tắc quản trị AI trong Hướng dẫn ASEAN về Quản trị và Đạo đức AI</w:t>
            </w:r>
            <w:r w:rsidR="00D97D6D" w:rsidRPr="00F50EC6">
              <w:rPr>
                <w:rFonts w:ascii="Arial" w:eastAsia="DengXian" w:hAnsi="Arial"/>
                <w:bCs/>
                <w:sz w:val="20"/>
                <w:szCs w:val="20"/>
                <w:lang w:val="en-GB"/>
              </w:rPr>
              <w:t>.</w:t>
            </w:r>
          </w:p>
          <w:p w14:paraId="478F4D8E" w14:textId="7DD1107B" w:rsidR="00D97D6D" w:rsidRPr="00F50EC6" w:rsidRDefault="00F50EC6" w:rsidP="00333926">
            <w:pPr>
              <w:pStyle w:val="ListParagraph"/>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DengXian" w:hAnsi="Arial"/>
                <w:bCs/>
                <w:sz w:val="20"/>
                <w:szCs w:val="20"/>
                <w:lang w:val="en-GB"/>
              </w:rPr>
            </w:pPr>
            <w:r w:rsidRPr="00F50EC6">
              <w:rPr>
                <w:rFonts w:ascii="Arial" w:eastAsia="DengXian" w:hAnsi="Arial"/>
                <w:b/>
                <w:sz w:val="20"/>
                <w:szCs w:val="20"/>
                <w:lang w:val="en-GB"/>
              </w:rPr>
              <w:t xml:space="preserve">Xây dựng và ghi nhận các trường hợp sử dụng: </w:t>
            </w:r>
            <w:r w:rsidRPr="00F50EC6">
              <w:rPr>
                <w:rFonts w:ascii="Arial" w:eastAsia="DengXian" w:hAnsi="Arial"/>
                <w:bCs/>
                <w:sz w:val="20"/>
                <w:szCs w:val="20"/>
                <w:lang w:val="en-GB"/>
              </w:rPr>
              <w:t>Các AMS có thể hợp tác xây dựng một bộ sưu tập toàn diện các trường hợp sử dụng thể hiện cách các tổ chức trong nhiều lĩnh vực tại ASEAN đã triển khai hoặc điều chỉnh thực tiễn quản trị AI phù hợp với Hướng dẫn ASEAN về Quản trị và Đạo đức AI. Kho tư liệu này sẽ cung cấp các kiến thức thực tiễn trong ứng dụng AI có trách nhiệm trong nhiều bối cảnh và ngành nghề khác nhau</w:t>
            </w:r>
            <w:r w:rsidR="00D97D6D" w:rsidRPr="00F50EC6">
              <w:rPr>
                <w:rFonts w:ascii="Arial" w:eastAsia="DengXian" w:hAnsi="Arial"/>
                <w:bCs/>
                <w:sz w:val="20"/>
                <w:szCs w:val="20"/>
                <w:lang w:val="en-GB"/>
              </w:rPr>
              <w:t>.</w:t>
            </w:r>
          </w:p>
          <w:p w14:paraId="1C939963" w14:textId="3856434E" w:rsidR="00C235CA" w:rsidRPr="004F1D15" w:rsidRDefault="000B6252"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hAnsi="Arial"/>
                <w:sz w:val="20"/>
                <w:szCs w:val="20"/>
                <w:lang w:val="en-GB"/>
              </w:rPr>
            </w:pPr>
            <w:r w:rsidRPr="000B6252">
              <w:rPr>
                <w:rFonts w:ascii="Arial" w:eastAsia="DengXian" w:hAnsi="Arial"/>
                <w:b/>
                <w:sz w:val="20"/>
                <w:szCs w:val="20"/>
                <w:lang w:val="en-GB"/>
              </w:rPr>
              <w:t xml:space="preserve">Định hình khung quản trị AI tạo sinh (generative AI) khu vực: </w:t>
            </w:r>
            <w:r w:rsidRPr="000B6252">
              <w:rPr>
                <w:rFonts w:ascii="Arial" w:eastAsia="DengXian" w:hAnsi="Arial"/>
                <w:bCs/>
                <w:sz w:val="20"/>
                <w:szCs w:val="20"/>
                <w:lang w:val="en-GB"/>
              </w:rPr>
              <w:t>Các AMS có thể phối hợp xây dựng các hướng dẫn khu vực về AI tạo sinh, xử lý các rủi ro và thách thức đặc thù của khu vực</w:t>
            </w:r>
            <w:r w:rsidR="00D97D6D" w:rsidRPr="000B6252">
              <w:rPr>
                <w:rFonts w:ascii="Arial" w:eastAsia="DengXian" w:hAnsi="Arial"/>
                <w:bCs/>
                <w:sz w:val="20"/>
                <w:szCs w:val="20"/>
                <w:lang w:val="en-GB"/>
              </w:rPr>
              <w:t>.</w:t>
            </w:r>
          </w:p>
        </w:tc>
      </w:tr>
      <w:tr w:rsidR="00C235CA" w:rsidRPr="004F1D15" w14:paraId="7E214468" w14:textId="77777777" w:rsidTr="6BB67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vAlign w:val="center"/>
          </w:tcPr>
          <w:p w14:paraId="1A7D5904" w14:textId="1F0933A4" w:rsidR="00C235CA" w:rsidRPr="004F1D15" w:rsidRDefault="00432619">
            <w:pPr>
              <w:rPr>
                <w:sz w:val="20"/>
                <w:szCs w:val="20"/>
              </w:rPr>
            </w:pPr>
            <w:r>
              <w:rPr>
                <w:sz w:val="20"/>
                <w:szCs w:val="20"/>
              </w:rPr>
              <w:t>6.2.11.</w:t>
            </w:r>
            <w:r w:rsidR="00E72E93">
              <w:rPr>
                <w:sz w:val="20"/>
                <w:szCs w:val="20"/>
              </w:rPr>
              <w:t>1</w:t>
            </w:r>
            <w:r w:rsidR="00BD3A51">
              <w:rPr>
                <w:sz w:val="20"/>
                <w:szCs w:val="20"/>
              </w:rPr>
              <w:t>a</w:t>
            </w:r>
            <w:r w:rsidR="00134438" w:rsidRPr="004F1D15">
              <w:rPr>
                <w:sz w:val="20"/>
                <w:szCs w:val="20"/>
              </w:rPr>
              <w:t xml:space="preserve"> </w:t>
            </w:r>
            <w:r w:rsidR="00F50EC6" w:rsidRPr="00F50EC6">
              <w:rPr>
                <w:sz w:val="20"/>
                <w:szCs w:val="20"/>
              </w:rPr>
              <w:t>Điều phối và Phát triển Chính sách AI Khu vực</w:t>
            </w:r>
          </w:p>
        </w:tc>
        <w:tc>
          <w:tcPr>
            <w:tcW w:w="3764" w:type="dxa"/>
            <w:tcBorders>
              <w:left w:val="single" w:sz="4" w:space="0" w:color="156082"/>
              <w:right w:val="single" w:sz="4" w:space="0" w:color="156082"/>
            </w:tcBorders>
            <w:vAlign w:val="center"/>
          </w:tcPr>
          <w:p w14:paraId="17737C3E" w14:textId="508D00EF" w:rsidR="00D97D6D" w:rsidRPr="000B6252" w:rsidRDefault="000B6252" w:rsidP="00C82E4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bCs/>
                <w:sz w:val="20"/>
                <w:szCs w:val="20"/>
                <w:lang w:val="en-GB"/>
              </w:rPr>
            </w:pPr>
            <w:r w:rsidRPr="000B6252">
              <w:rPr>
                <w:rFonts w:ascii="Arial" w:eastAsia="DengXian" w:hAnsi="Arial"/>
                <w:b/>
                <w:sz w:val="20"/>
                <w:szCs w:val="20"/>
                <w:lang w:val="en-GB"/>
              </w:rPr>
              <w:t xml:space="preserve">Tương tác tích cực tại các diễn đàn khu vực: </w:t>
            </w:r>
            <w:r w:rsidRPr="000B6252">
              <w:rPr>
                <w:rFonts w:ascii="Arial" w:eastAsia="DengXian" w:hAnsi="Arial"/>
                <w:bCs/>
                <w:sz w:val="20"/>
                <w:szCs w:val="20"/>
                <w:lang w:val="en-GB"/>
              </w:rPr>
              <w:t xml:space="preserve">Chủ động tham gia các diễn đàn khu vực như các cuộc họp và hội nghị của Nhóm Công tác ASEAN về Quản trị AI (ASEAN </w:t>
            </w:r>
            <w:r w:rsidRPr="000B6252">
              <w:rPr>
                <w:rFonts w:ascii="Arial" w:eastAsia="DengXian" w:hAnsi="Arial"/>
                <w:bCs/>
                <w:sz w:val="20"/>
                <w:szCs w:val="20"/>
                <w:lang w:val="en-GB"/>
              </w:rPr>
              <w:lastRenderedPageBreak/>
              <w:t>Working Group on AI Governance) để đóng góp thông tin, kinh nghiệm quốc gia, góc nhìn và thực tiễn tốt</w:t>
            </w:r>
            <w:r w:rsidR="00D97D6D" w:rsidRPr="000B6252">
              <w:rPr>
                <w:rFonts w:ascii="Arial" w:eastAsia="DengXian" w:hAnsi="Arial"/>
                <w:bCs/>
                <w:sz w:val="20"/>
                <w:szCs w:val="20"/>
                <w:lang w:val="en-GB"/>
              </w:rPr>
              <w:t>.</w:t>
            </w:r>
          </w:p>
          <w:p w14:paraId="29E2514D" w14:textId="7E380746" w:rsidR="00C235CA" w:rsidRPr="00516087" w:rsidRDefault="000B6252" w:rsidP="00C82E4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sz w:val="20"/>
                <w:szCs w:val="20"/>
                <w:lang w:val="en-GB"/>
              </w:rPr>
            </w:pPr>
            <w:r w:rsidRPr="000B6252">
              <w:rPr>
                <w:rFonts w:ascii="Arial" w:eastAsia="DengXian" w:hAnsi="Arial"/>
                <w:b/>
                <w:sz w:val="20"/>
                <w:szCs w:val="20"/>
                <w:lang w:val="en-GB"/>
              </w:rPr>
              <w:t xml:space="preserve">Biên soạn bộ hồ sơ nghiên cứu điển hình: </w:t>
            </w:r>
            <w:r w:rsidRPr="000B6252">
              <w:rPr>
                <w:rFonts w:ascii="Arial" w:eastAsia="DengXian" w:hAnsi="Arial"/>
                <w:bCs/>
                <w:sz w:val="20"/>
                <w:szCs w:val="20"/>
                <w:lang w:val="en-GB"/>
              </w:rPr>
              <w:t>Đóng góp vào bộ sưu tập các nghiên cứu tình huống cho thấy cách các tổ chức và/hoặc cơ quan chính phủ đã triển khai hoặc điều chỉnh các thực hành quản trị AI phù hợp với Hướng dẫn ASEAN về Quản trị và Đạo đức AI, tùy chỉnh theo nhu cầu ngành và đặc điểm hoạt động, và đạt được lợi ích từ việc sử dụng AI có trách nhiệm</w:t>
            </w:r>
            <w:r w:rsidRPr="000B6252">
              <w:rPr>
                <w:rFonts w:ascii="Arial" w:eastAsia="DengXian" w:hAnsi="Arial"/>
                <w:bCs/>
                <w:sz w:val="20"/>
                <w:szCs w:val="20"/>
                <w:lang w:val="vi-VN"/>
              </w:rPr>
              <w:t>.</w:t>
            </w:r>
          </w:p>
        </w:tc>
        <w:tc>
          <w:tcPr>
            <w:tcW w:w="3764" w:type="dxa"/>
            <w:gridSpan w:val="2"/>
            <w:tcBorders>
              <w:left w:val="single" w:sz="4" w:space="0" w:color="156082"/>
              <w:right w:val="single" w:sz="4" w:space="0" w:color="156082"/>
            </w:tcBorders>
            <w:vAlign w:val="center"/>
          </w:tcPr>
          <w:p w14:paraId="6A55CD10" w14:textId="3854380B" w:rsidR="00C235CA" w:rsidRPr="004F1D15" w:rsidRDefault="000B6252">
            <w:pPr>
              <w:cnfStyle w:val="000000100000" w:firstRow="0" w:lastRow="0" w:firstColumn="0" w:lastColumn="0" w:oddVBand="0" w:evenVBand="0" w:oddHBand="1" w:evenHBand="0" w:firstRowFirstColumn="0" w:firstRowLastColumn="0" w:lastRowFirstColumn="0" w:lastRowLastColumn="0"/>
              <w:rPr>
                <w:sz w:val="20"/>
                <w:szCs w:val="20"/>
              </w:rPr>
            </w:pPr>
            <w:r w:rsidRPr="000B6252">
              <w:rPr>
                <w:sz w:val="20"/>
                <w:szCs w:val="20"/>
              </w:rPr>
              <w:lastRenderedPageBreak/>
              <w:t>Ngắn hạn</w:t>
            </w:r>
            <w:r w:rsidR="00C235CA" w:rsidRPr="004F1D15">
              <w:rPr>
                <w:sz w:val="20"/>
                <w:szCs w:val="20"/>
              </w:rPr>
              <w:t>:</w:t>
            </w:r>
          </w:p>
          <w:p w14:paraId="4A692DAE" w14:textId="77777777" w:rsidR="000B6252" w:rsidRPr="000B6252" w:rsidRDefault="000B6252" w:rsidP="000B6252">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0B6252">
              <w:rPr>
                <w:rFonts w:ascii="Arial" w:eastAsia="DengXian" w:hAnsi="Arial"/>
                <w:sz w:val="20"/>
                <w:szCs w:val="20"/>
                <w:lang w:val="en-GB"/>
              </w:rPr>
              <w:t>Chỉ định đại diện tham gia tích cực và đóng góp góc nhìn, kinh nghiệm và thông tin quốc gia.</w:t>
            </w:r>
          </w:p>
          <w:p w14:paraId="400A4B98" w14:textId="1A7EFAF3" w:rsidR="000B6252" w:rsidRPr="000B6252" w:rsidRDefault="000B6252" w:rsidP="000B6252">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0B6252">
              <w:rPr>
                <w:rFonts w:ascii="Arial" w:eastAsia="DengXian" w:hAnsi="Arial"/>
                <w:sz w:val="20"/>
                <w:szCs w:val="20"/>
                <w:lang w:val="en-GB"/>
              </w:rPr>
              <w:lastRenderedPageBreak/>
              <w:t>Khởi động hợp tác với các bên liên quan phù hợp để biên soạn các nghiên cứu tình huống thể hiện sự phù hợp với Hướng dẫn ASEAN về Quản trị và Đạo đức AI.</w:t>
            </w:r>
          </w:p>
          <w:p w14:paraId="16857B12" w14:textId="7584FB9D" w:rsidR="00D97D6D" w:rsidRPr="00516087" w:rsidRDefault="000B6252" w:rsidP="000B6252">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0B6252">
              <w:rPr>
                <w:rFonts w:ascii="Arial" w:eastAsia="DengXian" w:hAnsi="Arial"/>
                <w:sz w:val="20"/>
                <w:szCs w:val="20"/>
                <w:lang w:val="en-GB"/>
              </w:rPr>
              <w:t>Thu thập thông tin về các tổ chức và cơ quan chính phủ đã triển khai thực hành AI có trách nhiệm và thu được lợi ích</w:t>
            </w:r>
            <w:r w:rsidR="00D97D6D" w:rsidRPr="00516087">
              <w:rPr>
                <w:rFonts w:ascii="Arial" w:eastAsia="DengXian" w:hAnsi="Arial"/>
                <w:sz w:val="20"/>
                <w:szCs w:val="20"/>
                <w:lang w:val="en-GB"/>
              </w:rPr>
              <w:t>.</w:t>
            </w:r>
          </w:p>
          <w:p w14:paraId="59964C06" w14:textId="77777777" w:rsidR="001D16FD" w:rsidRPr="00516087" w:rsidRDefault="001D16FD" w:rsidP="001D16FD">
            <w:pPr>
              <w:pStyle w:val="ListParagraph"/>
              <w:numPr>
                <w:ilvl w:val="0"/>
                <w:numId w:val="0"/>
              </w:numPr>
              <w:spacing w:after="0"/>
              <w:ind w:left="36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p>
          <w:p w14:paraId="2B85259A" w14:textId="274C4CA8" w:rsidR="00C235CA" w:rsidRPr="004F1D15" w:rsidRDefault="005618B0">
            <w:pPr>
              <w:cnfStyle w:val="000000100000" w:firstRow="0" w:lastRow="0" w:firstColumn="0" w:lastColumn="0" w:oddVBand="0" w:evenVBand="0" w:oddHBand="1" w:evenHBand="0" w:firstRowFirstColumn="0" w:firstRowLastColumn="0" w:lastRowFirstColumn="0" w:lastRowLastColumn="0"/>
              <w:rPr>
                <w:sz w:val="20"/>
                <w:szCs w:val="20"/>
              </w:rPr>
            </w:pPr>
            <w:r w:rsidRPr="005618B0">
              <w:rPr>
                <w:sz w:val="20"/>
                <w:szCs w:val="20"/>
              </w:rPr>
              <w:t>Trung hạn</w:t>
            </w:r>
            <w:r w:rsidR="00C235CA" w:rsidRPr="004F1D15">
              <w:rPr>
                <w:sz w:val="20"/>
                <w:szCs w:val="20"/>
              </w:rPr>
              <w:t>:</w:t>
            </w:r>
          </w:p>
          <w:p w14:paraId="2ED62A90" w14:textId="77777777" w:rsidR="005618B0" w:rsidRPr="005618B0" w:rsidRDefault="005618B0" w:rsidP="005618B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5618B0">
              <w:rPr>
                <w:rFonts w:ascii="Arial" w:eastAsia="DengXian" w:hAnsi="Arial"/>
                <w:sz w:val="20"/>
                <w:szCs w:val="20"/>
                <w:lang w:val="en-GB"/>
              </w:rPr>
              <w:t>Tham gia tích cực vào các diễn đàn khu vực, chia sẻ kinh nghiệm quốc gia và thực tiễn tốt trong triển khai quản trị AI có trách nhiệm ở nhiều lĩnh vực.</w:t>
            </w:r>
          </w:p>
          <w:p w14:paraId="53735F40" w14:textId="20411DE0" w:rsidR="00D97D6D" w:rsidRPr="00516087" w:rsidRDefault="005618B0" w:rsidP="005618B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5618B0">
              <w:rPr>
                <w:rFonts w:ascii="Arial" w:eastAsia="DengXian" w:hAnsi="Arial"/>
                <w:sz w:val="20"/>
                <w:szCs w:val="20"/>
                <w:lang w:val="en-GB"/>
              </w:rPr>
              <w:t>Hoàn thiện bộ sưu tập các nghiên cứu tình huống minh họa sự phù hợp với Hướng dẫn ASEAN về Quản trị và Đạo đức AI</w:t>
            </w:r>
            <w:r w:rsidR="00D97D6D" w:rsidRPr="00516087">
              <w:rPr>
                <w:rFonts w:ascii="Arial" w:eastAsia="DengXian" w:hAnsi="Arial"/>
                <w:sz w:val="20"/>
                <w:szCs w:val="20"/>
                <w:lang w:val="en-GB"/>
              </w:rPr>
              <w:t>.</w:t>
            </w:r>
          </w:p>
          <w:p w14:paraId="623B9646" w14:textId="77777777" w:rsidR="001D16FD" w:rsidRPr="00516087" w:rsidRDefault="001D16FD" w:rsidP="001D16FD">
            <w:pPr>
              <w:pStyle w:val="ListParagraph"/>
              <w:numPr>
                <w:ilvl w:val="0"/>
                <w:numId w:val="0"/>
              </w:numPr>
              <w:spacing w:after="0"/>
              <w:ind w:left="36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p>
          <w:p w14:paraId="5BD73E01" w14:textId="7D8BA140" w:rsidR="00C235CA" w:rsidRPr="004F1D15" w:rsidRDefault="005618B0">
            <w:pPr>
              <w:cnfStyle w:val="000000100000" w:firstRow="0" w:lastRow="0" w:firstColumn="0" w:lastColumn="0" w:oddVBand="0" w:evenVBand="0" w:oddHBand="1" w:evenHBand="0" w:firstRowFirstColumn="0" w:firstRowLastColumn="0" w:lastRowFirstColumn="0" w:lastRowLastColumn="0"/>
              <w:rPr>
                <w:sz w:val="20"/>
                <w:szCs w:val="20"/>
              </w:rPr>
            </w:pPr>
            <w:r w:rsidRPr="005618B0">
              <w:rPr>
                <w:sz w:val="20"/>
                <w:szCs w:val="20"/>
              </w:rPr>
              <w:t>Dài hạn</w:t>
            </w:r>
            <w:r w:rsidR="00C235CA" w:rsidRPr="004F1D15">
              <w:rPr>
                <w:sz w:val="20"/>
                <w:szCs w:val="20"/>
              </w:rPr>
              <w:t>:</w:t>
            </w:r>
          </w:p>
          <w:p w14:paraId="4A7136F8" w14:textId="77777777" w:rsidR="005618B0" w:rsidRPr="005618B0" w:rsidRDefault="005618B0" w:rsidP="005618B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5618B0">
              <w:rPr>
                <w:rFonts w:ascii="Arial" w:eastAsia="DengXian" w:hAnsi="Arial"/>
                <w:sz w:val="20"/>
                <w:szCs w:val="20"/>
                <w:lang w:val="en-GB"/>
              </w:rPr>
              <w:t>Công bố bộ tổng hợp các nghiên cứu tình huống AI để phổ biến tới các bên liên quan trong khu vực.</w:t>
            </w:r>
          </w:p>
          <w:p w14:paraId="2747DFE3" w14:textId="5E8005A8" w:rsidR="00C235CA" w:rsidRPr="004F1D15" w:rsidRDefault="005618B0" w:rsidP="005618B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5618B0">
              <w:rPr>
                <w:rFonts w:ascii="Arial" w:eastAsia="DengXian" w:hAnsi="Arial"/>
                <w:sz w:val="20"/>
                <w:szCs w:val="20"/>
                <w:lang w:val="en-GB"/>
              </w:rPr>
              <w:t>Duy trì tham gia tích cực vào các diễn đàn và nhóm công tác khu vực, đảm bảo tiếp tục đóng góp kiến thức và kinh nghiệm</w:t>
            </w:r>
            <w:r w:rsidR="00D97D6D" w:rsidRPr="004F1D15">
              <w:rPr>
                <w:rFonts w:ascii="Arial" w:hAnsi="Arial"/>
                <w:sz w:val="20"/>
                <w:szCs w:val="20"/>
                <w:lang w:val="en-GB"/>
              </w:rPr>
              <w:t>.</w:t>
            </w:r>
          </w:p>
        </w:tc>
        <w:tc>
          <w:tcPr>
            <w:tcW w:w="2318" w:type="dxa"/>
            <w:gridSpan w:val="2"/>
            <w:tcBorders>
              <w:left w:val="single" w:sz="4" w:space="0" w:color="156082"/>
              <w:right w:val="single" w:sz="4" w:space="0" w:color="156082"/>
            </w:tcBorders>
          </w:tcPr>
          <w:p w14:paraId="0B64CFA0" w14:textId="7E53E9B0" w:rsidR="00C235CA" w:rsidRPr="004F1D15" w:rsidRDefault="00047389">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C</w:t>
            </w:r>
            <w:r>
              <w:rPr>
                <w:sz w:val="20"/>
                <w:szCs w:val="20"/>
                <w:lang w:val="vi-VN"/>
              </w:rPr>
              <w:t>ơ quan điều phối</w:t>
            </w:r>
            <w:r w:rsidR="1009E553" w:rsidRPr="004F1D15">
              <w:rPr>
                <w:sz w:val="20"/>
                <w:szCs w:val="20"/>
              </w:rPr>
              <w:t>:</w:t>
            </w:r>
          </w:p>
          <w:p w14:paraId="7E787B97" w14:textId="11C631C1" w:rsidR="0000469F" w:rsidRDefault="00047389" w:rsidP="0000469F">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047389">
              <w:rPr>
                <w:rFonts w:ascii="Arial" w:eastAsia="DengXian" w:hAnsi="Arial"/>
                <w:sz w:val="20"/>
                <w:szCs w:val="20"/>
                <w:lang w:val="en-GB"/>
              </w:rPr>
              <w:t>Nhóm Công tác ASEAN về Trí tuệ nhân tạo</w:t>
            </w:r>
            <w:r w:rsidR="0000469F">
              <w:rPr>
                <w:rFonts w:ascii="Arial" w:eastAsia="DengXian" w:hAnsi="Arial"/>
                <w:sz w:val="20"/>
                <w:szCs w:val="20"/>
                <w:lang w:val="en-GB"/>
              </w:rPr>
              <w:t xml:space="preserve"> (AI-WG)</w:t>
            </w:r>
          </w:p>
          <w:p w14:paraId="357DDD88" w14:textId="49CD582D" w:rsidR="00C235CA" w:rsidRPr="004F1D15" w:rsidRDefault="00C235CA" w:rsidP="0000469F">
            <w:pPr>
              <w:pStyle w:val="ListParagraph"/>
              <w:numPr>
                <w:ilvl w:val="0"/>
                <w:numId w:val="0"/>
              </w:numPr>
              <w:spacing w:after="0"/>
              <w:ind w:left="36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p>
        </w:tc>
        <w:tc>
          <w:tcPr>
            <w:tcW w:w="3774" w:type="dxa"/>
            <w:gridSpan w:val="2"/>
            <w:tcBorders>
              <w:left w:val="single" w:sz="4" w:space="0" w:color="156082"/>
            </w:tcBorders>
          </w:tcPr>
          <w:p w14:paraId="38A86AEC" w14:textId="0B6E286A" w:rsidR="00C235CA" w:rsidRPr="004F1D15" w:rsidRDefault="00047389">
            <w:pPr>
              <w:cnfStyle w:val="000000100000" w:firstRow="0" w:lastRow="0" w:firstColumn="0" w:lastColumn="0" w:oddVBand="0" w:evenVBand="0" w:oddHBand="1" w:evenHBand="0" w:firstRowFirstColumn="0" w:firstRowLastColumn="0" w:lastRowFirstColumn="0" w:lastRowLastColumn="0"/>
              <w:rPr>
                <w:sz w:val="20"/>
                <w:szCs w:val="20"/>
              </w:rPr>
            </w:pPr>
            <w:r w:rsidRPr="00047389">
              <w:rPr>
                <w:sz w:val="20"/>
                <w:szCs w:val="20"/>
              </w:rPr>
              <w:lastRenderedPageBreak/>
              <w:t>Các thước đo tiến độ chung bao gồm</w:t>
            </w:r>
            <w:r w:rsidR="00C235CA" w:rsidRPr="004F1D15">
              <w:rPr>
                <w:sz w:val="20"/>
                <w:szCs w:val="20"/>
              </w:rPr>
              <w:t>:</w:t>
            </w:r>
          </w:p>
          <w:p w14:paraId="67390EB4" w14:textId="77777777" w:rsidR="00047389" w:rsidRPr="00047389" w:rsidRDefault="00047389" w:rsidP="00047389">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bCs/>
                <w:sz w:val="20"/>
                <w:szCs w:val="20"/>
                <w:lang w:val="en-GB"/>
              </w:rPr>
            </w:pPr>
            <w:r w:rsidRPr="00047389">
              <w:rPr>
                <w:rFonts w:ascii="Arial" w:eastAsia="DengXian" w:hAnsi="Arial"/>
                <w:b/>
                <w:sz w:val="20"/>
                <w:szCs w:val="20"/>
                <w:lang w:val="en-GB"/>
              </w:rPr>
              <w:t xml:space="preserve">Đại diện tham gia Nhóm Công tác ASEAN về Quản trị AI: </w:t>
            </w:r>
            <w:r w:rsidRPr="00047389">
              <w:rPr>
                <w:rFonts w:ascii="Arial" w:eastAsia="DengXian" w:hAnsi="Arial"/>
                <w:bCs/>
                <w:sz w:val="20"/>
                <w:szCs w:val="20"/>
                <w:lang w:val="en-GB"/>
              </w:rPr>
              <w:t xml:space="preserve">Theo dõi mức độ tham gia tích cực của quốc </w:t>
            </w:r>
            <w:r w:rsidRPr="00047389">
              <w:rPr>
                <w:rFonts w:ascii="Arial" w:eastAsia="DengXian" w:hAnsi="Arial"/>
                <w:bCs/>
                <w:sz w:val="20"/>
                <w:szCs w:val="20"/>
                <w:lang w:val="en-GB"/>
              </w:rPr>
              <w:lastRenderedPageBreak/>
              <w:t>gia thông qua đại diện tại Nhóm Công tác.</w:t>
            </w:r>
          </w:p>
          <w:p w14:paraId="12F5F9F1" w14:textId="3FC2A921" w:rsidR="00047389" w:rsidRPr="00047389" w:rsidRDefault="00047389" w:rsidP="00047389">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bCs/>
                <w:sz w:val="20"/>
                <w:szCs w:val="20"/>
                <w:lang w:val="en-GB"/>
              </w:rPr>
            </w:pPr>
            <w:r w:rsidRPr="00047389">
              <w:rPr>
                <w:rFonts w:ascii="Arial" w:eastAsia="DengXian" w:hAnsi="Arial"/>
                <w:b/>
                <w:sz w:val="20"/>
                <w:szCs w:val="20"/>
                <w:lang w:val="en-GB"/>
              </w:rPr>
              <w:t xml:space="preserve">Tỷ lệ tham gia tại các diễn đàn khu vực: </w:t>
            </w:r>
            <w:r w:rsidRPr="00047389">
              <w:rPr>
                <w:rFonts w:ascii="Arial" w:eastAsia="DengXian" w:hAnsi="Arial"/>
                <w:bCs/>
                <w:sz w:val="20"/>
                <w:szCs w:val="20"/>
                <w:lang w:val="en-GB"/>
              </w:rPr>
              <w:t>Đánh giá mức độ tương tác thông qua tần suất tham dự và mức độ đóng góp trong thảo luận và sáng kiến.</w:t>
            </w:r>
          </w:p>
          <w:p w14:paraId="31F4244C" w14:textId="7052FE5A" w:rsidR="00C235CA" w:rsidRPr="00516087" w:rsidRDefault="00047389" w:rsidP="00047389">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sz w:val="20"/>
                <w:szCs w:val="20"/>
                <w:lang w:val="en-GB"/>
              </w:rPr>
            </w:pPr>
            <w:r w:rsidRPr="00047389">
              <w:rPr>
                <w:rFonts w:ascii="Arial" w:eastAsia="DengXian" w:hAnsi="Arial"/>
                <w:b/>
                <w:sz w:val="20"/>
                <w:szCs w:val="20"/>
                <w:lang w:val="en-GB"/>
              </w:rPr>
              <w:t xml:space="preserve">Đóng góp vào biên soạn nghiên cứu tình huống: </w:t>
            </w:r>
            <w:r w:rsidRPr="00047389">
              <w:rPr>
                <w:rFonts w:ascii="Arial" w:eastAsia="DengXian" w:hAnsi="Arial"/>
                <w:bCs/>
                <w:sz w:val="20"/>
                <w:szCs w:val="20"/>
                <w:lang w:val="en-GB"/>
              </w:rPr>
              <w:t>Theo dõi số lượng nghiên cứu tình huống minh họa sự phù hợp với Hướng dẫn ASEAN về Quản trị và Đạo đức AI được đóng góp. Xem xét mức độ đa dạng về lĩnh vực và tổ chức được thể hiện trong các nghiên cứu này.</w:t>
            </w:r>
          </w:p>
        </w:tc>
      </w:tr>
      <w:tr w:rsidR="00D97D6D" w:rsidRPr="004F1D15" w14:paraId="0A447F27" w14:textId="77777777" w:rsidTr="6BB67ADE">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tcPr>
          <w:p w14:paraId="6DE1A298" w14:textId="135D3DE9" w:rsidR="00D97D6D" w:rsidRPr="00797C1F" w:rsidRDefault="00BD3A51" w:rsidP="00134438">
            <w:pPr>
              <w:jc w:val="left"/>
              <w:rPr>
                <w:sz w:val="20"/>
                <w:szCs w:val="20"/>
              </w:rPr>
            </w:pPr>
            <w:r w:rsidRPr="00797C1F">
              <w:rPr>
                <w:sz w:val="20"/>
                <w:szCs w:val="20"/>
              </w:rPr>
              <w:lastRenderedPageBreak/>
              <w:t>6.2.11</w:t>
            </w:r>
            <w:r w:rsidR="00134438" w:rsidRPr="00797C1F">
              <w:rPr>
                <w:sz w:val="20"/>
                <w:szCs w:val="20"/>
              </w:rPr>
              <w:t>.</w:t>
            </w:r>
            <w:r w:rsidR="00E72E93" w:rsidRPr="00797C1F">
              <w:rPr>
                <w:sz w:val="20"/>
                <w:szCs w:val="20"/>
              </w:rPr>
              <w:t>1b</w:t>
            </w:r>
            <w:r w:rsidR="00D97D6D" w:rsidRPr="00797C1F">
              <w:rPr>
                <w:sz w:val="20"/>
                <w:szCs w:val="20"/>
              </w:rPr>
              <w:t xml:space="preserve"> </w:t>
            </w:r>
            <w:r w:rsidR="00D844B1" w:rsidRPr="00D844B1">
              <w:rPr>
                <w:sz w:val="20"/>
                <w:szCs w:val="20"/>
              </w:rPr>
              <w:t xml:space="preserve">Hướng dẫn Mở rộng của ASEAN về </w:t>
            </w:r>
            <w:r w:rsidR="00D844B1" w:rsidRPr="00D844B1">
              <w:rPr>
                <w:sz w:val="20"/>
                <w:szCs w:val="20"/>
              </w:rPr>
              <w:lastRenderedPageBreak/>
              <w:t>Quản trị và Đạo đức AI – AI Tạo sinh</w:t>
            </w:r>
          </w:p>
        </w:tc>
        <w:tc>
          <w:tcPr>
            <w:tcW w:w="3764" w:type="dxa"/>
            <w:tcBorders>
              <w:left w:val="single" w:sz="4" w:space="0" w:color="156082"/>
              <w:right w:val="single" w:sz="4" w:space="0" w:color="156082"/>
            </w:tcBorders>
          </w:tcPr>
          <w:p w14:paraId="04279D3B" w14:textId="539DF37E" w:rsidR="00D97D6D" w:rsidRPr="00797C1F" w:rsidRDefault="00D844B1" w:rsidP="00C82E40">
            <w:pPr>
              <w:pStyle w:val="ListParagraph"/>
              <w:numPr>
                <w:ilvl w:val="0"/>
                <w:numId w:val="17"/>
              </w:numPr>
              <w:spacing w:after="0"/>
              <w:jc w:val="left"/>
              <w:cnfStyle w:val="000000000000" w:firstRow="0" w:lastRow="0" w:firstColumn="0" w:lastColumn="0" w:oddVBand="0" w:evenVBand="0" w:oddHBand="0" w:evenHBand="0" w:firstRowFirstColumn="0" w:firstRowLastColumn="0" w:lastRowFirstColumn="0" w:lastRowLastColumn="0"/>
              <w:rPr>
                <w:rFonts w:ascii="Arial" w:eastAsia="DengXian" w:hAnsi="Arial"/>
                <w:b/>
                <w:sz w:val="20"/>
                <w:szCs w:val="20"/>
                <w:lang w:val="en-GB"/>
              </w:rPr>
            </w:pPr>
            <w:r w:rsidRPr="00D844B1">
              <w:rPr>
                <w:rFonts w:ascii="Arial" w:hAnsi="Arial"/>
                <w:b/>
                <w:sz w:val="20"/>
                <w:szCs w:val="20"/>
                <w:lang w:val="en-GB"/>
              </w:rPr>
              <w:lastRenderedPageBreak/>
              <w:t xml:space="preserve">ây dựng Hướng dẫn Mở rộng của ASEAN về Quản trị và Đạo đức AI – AI Tạo sinh (phát hành tháng 1/2025): </w:t>
            </w:r>
            <w:r w:rsidRPr="00D844B1">
              <w:rPr>
                <w:rFonts w:ascii="Arial" w:hAnsi="Arial"/>
                <w:bCs/>
                <w:sz w:val="20"/>
                <w:szCs w:val="20"/>
                <w:lang w:val="en-GB"/>
              </w:rPr>
              <w:t xml:space="preserve">Văn bản này bổ </w:t>
            </w:r>
            <w:r w:rsidRPr="00D844B1">
              <w:rPr>
                <w:rFonts w:ascii="Arial" w:hAnsi="Arial"/>
                <w:bCs/>
                <w:sz w:val="20"/>
                <w:szCs w:val="20"/>
                <w:lang w:val="en-GB"/>
              </w:rPr>
              <w:lastRenderedPageBreak/>
              <w:t>sung và hỗ trợ Hướng dẫn ASEAN về Quản trị và Đạo đức AI (2024) nhằm thúc đẩy việc ứng dụng có trách nhiệm công nghệ AI Tạo sinh.</w:t>
            </w:r>
          </w:p>
        </w:tc>
        <w:tc>
          <w:tcPr>
            <w:tcW w:w="3764" w:type="dxa"/>
            <w:gridSpan w:val="2"/>
            <w:tcBorders>
              <w:left w:val="single" w:sz="4" w:space="0" w:color="156082"/>
              <w:right w:val="single" w:sz="4" w:space="0" w:color="156082"/>
            </w:tcBorders>
            <w:vAlign w:val="center"/>
          </w:tcPr>
          <w:p w14:paraId="2AA7E964" w14:textId="68F4870A" w:rsidR="00D97D6D" w:rsidRPr="00797C1F" w:rsidRDefault="00D844B1" w:rsidP="00D97D6D">
            <w:pPr>
              <w:cnfStyle w:val="000000000000" w:firstRow="0" w:lastRow="0" w:firstColumn="0" w:lastColumn="0" w:oddVBand="0" w:evenVBand="0" w:oddHBand="0" w:evenHBand="0" w:firstRowFirstColumn="0" w:firstRowLastColumn="0" w:lastRowFirstColumn="0" w:lastRowLastColumn="0"/>
              <w:rPr>
                <w:sz w:val="20"/>
                <w:szCs w:val="20"/>
              </w:rPr>
            </w:pPr>
            <w:r w:rsidRPr="00D844B1">
              <w:rPr>
                <w:sz w:val="20"/>
                <w:szCs w:val="20"/>
              </w:rPr>
              <w:lastRenderedPageBreak/>
              <w:t>Ngắn hạn</w:t>
            </w:r>
            <w:r w:rsidR="00D97D6D" w:rsidRPr="00797C1F">
              <w:rPr>
                <w:sz w:val="20"/>
                <w:szCs w:val="20"/>
              </w:rPr>
              <w:t>:</w:t>
            </w:r>
          </w:p>
          <w:p w14:paraId="4DA389F9" w14:textId="2D88278B" w:rsidR="00D97D6D" w:rsidRPr="00797C1F" w:rsidRDefault="00D844B1" w:rsidP="00FC3CC8">
            <w:pPr>
              <w:pStyle w:val="ListParagraph"/>
              <w:numPr>
                <w:ilvl w:val="0"/>
                <w:numId w:val="17"/>
              </w:numPr>
              <w:spacing w:after="0"/>
              <w:cnfStyle w:val="000000000000" w:firstRow="0" w:lastRow="0" w:firstColumn="0" w:lastColumn="0" w:oddVBand="0" w:evenVBand="0" w:oddHBand="0" w:evenHBand="0" w:firstRowFirstColumn="0" w:firstRowLastColumn="0" w:lastRowFirstColumn="0" w:lastRowLastColumn="0"/>
              <w:rPr>
                <w:rFonts w:ascii="Arial" w:hAnsi="Arial"/>
                <w:sz w:val="20"/>
                <w:szCs w:val="20"/>
                <w:lang w:val="en-GB"/>
              </w:rPr>
            </w:pPr>
            <w:r w:rsidRPr="00D844B1">
              <w:rPr>
                <w:rFonts w:ascii="Arial" w:hAnsi="Arial"/>
                <w:sz w:val="20"/>
                <w:szCs w:val="20"/>
                <w:lang w:val="en-GB"/>
              </w:rPr>
              <w:t xml:space="preserve">Phối hợp với tư vấn được chỉ định để điều chỉnh Hướng dẫn, tập trung vào quản trị AI Tạo sinh, bao gồm </w:t>
            </w:r>
            <w:r w:rsidRPr="00D844B1">
              <w:rPr>
                <w:rFonts w:ascii="Arial" w:hAnsi="Arial"/>
                <w:sz w:val="20"/>
                <w:szCs w:val="20"/>
                <w:lang w:val="en-GB"/>
              </w:rPr>
              <w:lastRenderedPageBreak/>
              <w:t>các ứng dụng tiềm năng, rủi ro và các hàm ý đạo đức liên quan</w:t>
            </w:r>
            <w:r w:rsidR="00D97D6D" w:rsidRPr="00797C1F">
              <w:rPr>
                <w:rFonts w:ascii="Arial" w:hAnsi="Arial"/>
                <w:sz w:val="20"/>
                <w:szCs w:val="20"/>
                <w:lang w:val="en-GB"/>
              </w:rPr>
              <w:t>.</w:t>
            </w:r>
          </w:p>
          <w:p w14:paraId="15F102B5" w14:textId="5846F2CD" w:rsidR="00D97D6D" w:rsidRPr="00797C1F" w:rsidRDefault="00D844B1" w:rsidP="00D97D6D">
            <w:pPr>
              <w:cnfStyle w:val="000000000000" w:firstRow="0" w:lastRow="0" w:firstColumn="0" w:lastColumn="0" w:oddVBand="0" w:evenVBand="0" w:oddHBand="0" w:evenHBand="0" w:firstRowFirstColumn="0" w:firstRowLastColumn="0" w:lastRowFirstColumn="0" w:lastRowLastColumn="0"/>
              <w:rPr>
                <w:sz w:val="20"/>
                <w:szCs w:val="20"/>
              </w:rPr>
            </w:pPr>
            <w:r w:rsidRPr="00D844B1">
              <w:rPr>
                <w:sz w:val="20"/>
                <w:szCs w:val="20"/>
              </w:rPr>
              <w:t>Trung hạn</w:t>
            </w:r>
            <w:r w:rsidR="00D97D6D" w:rsidRPr="00797C1F">
              <w:rPr>
                <w:sz w:val="20"/>
                <w:szCs w:val="20"/>
              </w:rPr>
              <w:t>:</w:t>
            </w:r>
          </w:p>
          <w:p w14:paraId="1E9EDEAC" w14:textId="77777777" w:rsidR="00D844B1" w:rsidRPr="00D844B1" w:rsidRDefault="00D844B1" w:rsidP="00D844B1">
            <w:pPr>
              <w:pStyle w:val="ListParagraph"/>
              <w:numPr>
                <w:ilvl w:val="0"/>
                <w:numId w:val="17"/>
              </w:numPr>
              <w:spacing w:after="0"/>
              <w:cnfStyle w:val="000000000000" w:firstRow="0" w:lastRow="0" w:firstColumn="0" w:lastColumn="0" w:oddVBand="0" w:evenVBand="0" w:oddHBand="0" w:evenHBand="0" w:firstRowFirstColumn="0" w:firstRowLastColumn="0" w:lastRowFirstColumn="0" w:lastRowLastColumn="0"/>
              <w:rPr>
                <w:rFonts w:ascii="Arial" w:hAnsi="Arial"/>
                <w:sz w:val="20"/>
                <w:szCs w:val="20"/>
                <w:lang w:val="en-GB"/>
              </w:rPr>
            </w:pPr>
            <w:r w:rsidRPr="00D844B1">
              <w:rPr>
                <w:rFonts w:ascii="Arial" w:hAnsi="Arial"/>
                <w:sz w:val="20"/>
                <w:szCs w:val="20"/>
                <w:lang w:val="en-GB"/>
              </w:rPr>
              <w:t>Tổ chức các buổi phổ biến trực tuyến do tư vấn được chỉ định thực hiện nhằm chia sẻ và tham vấn Nhóm Công tác về AI thuộc ASEAN (ASEAN Working Group on AI Governance – AI-WG) về các bản dự thảo mới nhất của Hướng dẫn Mở rộng.</w:t>
            </w:r>
          </w:p>
          <w:p w14:paraId="4FD13E75" w14:textId="32028623" w:rsidR="00D844B1" w:rsidRPr="00D844B1" w:rsidRDefault="00D844B1" w:rsidP="00D844B1">
            <w:pPr>
              <w:pStyle w:val="ListParagraph"/>
              <w:numPr>
                <w:ilvl w:val="0"/>
                <w:numId w:val="17"/>
              </w:numPr>
              <w:spacing w:after="0"/>
              <w:cnfStyle w:val="000000000000" w:firstRow="0" w:lastRow="0" w:firstColumn="0" w:lastColumn="0" w:oddVBand="0" w:evenVBand="0" w:oddHBand="0" w:evenHBand="0" w:firstRowFirstColumn="0" w:firstRowLastColumn="0" w:lastRowFirstColumn="0" w:lastRowLastColumn="0"/>
              <w:rPr>
                <w:rFonts w:ascii="Arial" w:hAnsi="Arial"/>
                <w:sz w:val="20"/>
                <w:szCs w:val="20"/>
                <w:lang w:val="en-GB"/>
              </w:rPr>
            </w:pPr>
            <w:r w:rsidRPr="00D844B1">
              <w:rPr>
                <w:rFonts w:ascii="Arial" w:hAnsi="Arial"/>
                <w:sz w:val="20"/>
                <w:szCs w:val="20"/>
                <w:lang w:val="en-GB"/>
              </w:rPr>
              <w:t>Hợp tác với các quốc gia thành viên ASEAN, Đối tác Đối thoại và các bên liên quan trong ngành để hoàn thiện bản dự thảo Hướng dẫn Mở rộng.</w:t>
            </w:r>
          </w:p>
          <w:p w14:paraId="20AE6C9A" w14:textId="0161C7B8" w:rsidR="00D97D6D" w:rsidRPr="00797C1F" w:rsidRDefault="00D844B1" w:rsidP="00D844B1">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Arial" w:hAnsi="Arial"/>
                <w:sz w:val="20"/>
                <w:szCs w:val="20"/>
                <w:lang w:val="en-GB"/>
              </w:rPr>
            </w:pPr>
            <w:r w:rsidRPr="00D844B1">
              <w:rPr>
                <w:rFonts w:ascii="Arial" w:hAnsi="Arial"/>
                <w:sz w:val="20"/>
                <w:szCs w:val="20"/>
                <w:lang w:val="en-GB"/>
              </w:rPr>
              <w:t>Bảo đảm sự phù hợp với các nguyên tắc cốt lõi trong khuôn khổ Quản trị AI của ASEAN</w:t>
            </w:r>
            <w:r w:rsidR="00D97D6D" w:rsidRPr="00797C1F">
              <w:rPr>
                <w:rFonts w:ascii="Arial" w:hAnsi="Arial"/>
                <w:sz w:val="20"/>
                <w:szCs w:val="20"/>
                <w:lang w:val="en-GB"/>
              </w:rPr>
              <w:t>.</w:t>
            </w:r>
          </w:p>
          <w:p w14:paraId="5E892450" w14:textId="42DCB6BA" w:rsidR="00D97D6D" w:rsidRPr="00797C1F" w:rsidRDefault="00DD6C44" w:rsidP="00D97D6D">
            <w:pPr>
              <w:cnfStyle w:val="000000000000" w:firstRow="0" w:lastRow="0" w:firstColumn="0" w:lastColumn="0" w:oddVBand="0" w:evenVBand="0" w:oddHBand="0" w:evenHBand="0" w:firstRowFirstColumn="0" w:firstRowLastColumn="0" w:lastRowFirstColumn="0" w:lastRowLastColumn="0"/>
              <w:rPr>
                <w:sz w:val="20"/>
                <w:szCs w:val="20"/>
              </w:rPr>
            </w:pPr>
            <w:r w:rsidRPr="00DD6C44">
              <w:rPr>
                <w:sz w:val="20"/>
                <w:szCs w:val="20"/>
              </w:rPr>
              <w:t>Dài hạn</w:t>
            </w:r>
            <w:r w:rsidR="00D97D6D" w:rsidRPr="00797C1F">
              <w:rPr>
                <w:sz w:val="20"/>
                <w:szCs w:val="20"/>
              </w:rPr>
              <w:t>:</w:t>
            </w:r>
          </w:p>
          <w:p w14:paraId="13C06596" w14:textId="77777777" w:rsidR="00DD6C44" w:rsidRPr="00DD6C44" w:rsidRDefault="00DD6C44" w:rsidP="00DD6C44">
            <w:pPr>
              <w:pStyle w:val="ListParagraph"/>
              <w:numPr>
                <w:ilvl w:val="0"/>
                <w:numId w:val="17"/>
              </w:numPr>
              <w:spacing w:after="0"/>
              <w:cnfStyle w:val="000000000000" w:firstRow="0" w:lastRow="0" w:firstColumn="0" w:lastColumn="0" w:oddVBand="0" w:evenVBand="0" w:oddHBand="0" w:evenHBand="0" w:firstRowFirstColumn="0" w:firstRowLastColumn="0" w:lastRowFirstColumn="0" w:lastRowLastColumn="0"/>
              <w:rPr>
                <w:rFonts w:ascii="Arial" w:eastAsia="DengXian" w:hAnsi="Arial"/>
                <w:sz w:val="20"/>
                <w:szCs w:val="20"/>
                <w:lang w:val="en-GB"/>
              </w:rPr>
            </w:pPr>
            <w:r w:rsidRPr="00DD6C44">
              <w:rPr>
                <w:rFonts w:ascii="Arial" w:eastAsia="DengXian" w:hAnsi="Arial"/>
                <w:sz w:val="20"/>
                <w:szCs w:val="20"/>
                <w:lang w:val="en-GB"/>
              </w:rPr>
              <w:t>Hoàn thiện Hướng dẫn Mở rộng dựa trên phản hồi thu được trong quá trình tham vấn.</w:t>
            </w:r>
          </w:p>
          <w:p w14:paraId="7EC78538" w14:textId="0DE89F55" w:rsidR="00D97D6D" w:rsidRPr="00797C1F" w:rsidRDefault="00DD6C44" w:rsidP="00DD6C44">
            <w:pPr>
              <w:pStyle w:val="ListParagraph"/>
              <w:numPr>
                <w:ilvl w:val="0"/>
                <w:numId w:val="17"/>
              </w:numPr>
              <w:spacing w:after="0"/>
              <w:cnfStyle w:val="000000000000" w:firstRow="0" w:lastRow="0" w:firstColumn="0" w:lastColumn="0" w:oddVBand="0" w:evenVBand="0" w:oddHBand="0" w:evenHBand="0" w:firstRowFirstColumn="0" w:firstRowLastColumn="0" w:lastRowFirstColumn="0" w:lastRowLastColumn="0"/>
              <w:rPr>
                <w:sz w:val="20"/>
                <w:szCs w:val="20"/>
                <w:lang w:val="en-GB"/>
              </w:rPr>
            </w:pPr>
            <w:r w:rsidRPr="00DD6C44">
              <w:rPr>
                <w:rFonts w:ascii="Arial" w:eastAsia="DengXian" w:hAnsi="Arial"/>
                <w:sz w:val="20"/>
                <w:szCs w:val="20"/>
                <w:lang w:val="en-GB"/>
              </w:rPr>
              <w:t>Công bố Hướng dẫn Mở rộng vào tháng 1/2025. Tiếp tục hỗ trợ phổ biến rộng rãi Hướng dẫn nhằm bảo đảm nhận thức và áp dụng sâu rộng giữa các bên liên quan trong ASEAN</w:t>
            </w:r>
            <w:r w:rsidR="00D97D6D" w:rsidRPr="00797C1F">
              <w:rPr>
                <w:rFonts w:ascii="Arial" w:eastAsia="DengXian" w:hAnsi="Arial"/>
                <w:sz w:val="20"/>
                <w:szCs w:val="20"/>
                <w:lang w:val="en-GB"/>
              </w:rPr>
              <w:t>.</w:t>
            </w:r>
          </w:p>
        </w:tc>
        <w:tc>
          <w:tcPr>
            <w:tcW w:w="2318" w:type="dxa"/>
            <w:gridSpan w:val="2"/>
            <w:tcBorders>
              <w:left w:val="single" w:sz="4" w:space="0" w:color="156082"/>
              <w:right w:val="single" w:sz="4" w:space="0" w:color="156082"/>
            </w:tcBorders>
          </w:tcPr>
          <w:p w14:paraId="0DF12020" w14:textId="24DC3BDB" w:rsidR="00D97D6D" w:rsidRPr="00797C1F" w:rsidRDefault="00DD6C44" w:rsidP="00D97D6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lang w:val="vi-VN"/>
              </w:rPr>
              <w:lastRenderedPageBreak/>
              <w:t>Cơ quan điều phối</w:t>
            </w:r>
            <w:r w:rsidR="02C00E58" w:rsidRPr="00797C1F">
              <w:rPr>
                <w:sz w:val="20"/>
                <w:szCs w:val="20"/>
              </w:rPr>
              <w:t>:</w:t>
            </w:r>
          </w:p>
          <w:p w14:paraId="30FD48E1" w14:textId="13114D09" w:rsidR="00794D9D" w:rsidRPr="00797C1F" w:rsidRDefault="00DD6C44" w:rsidP="00794D9D">
            <w:pPr>
              <w:pStyle w:val="ListParagraph"/>
              <w:numPr>
                <w:ilvl w:val="0"/>
                <w:numId w:val="17"/>
              </w:numPr>
              <w:spacing w:after="0"/>
              <w:cnfStyle w:val="000000000000" w:firstRow="0" w:lastRow="0" w:firstColumn="0" w:lastColumn="0" w:oddVBand="0" w:evenVBand="0" w:oddHBand="0" w:evenHBand="0" w:firstRowFirstColumn="0" w:firstRowLastColumn="0" w:lastRowFirstColumn="0" w:lastRowLastColumn="0"/>
              <w:rPr>
                <w:rFonts w:ascii="Arial" w:eastAsia="DengXian" w:hAnsi="Arial"/>
                <w:sz w:val="20"/>
                <w:szCs w:val="20"/>
                <w:lang w:val="en-GB"/>
              </w:rPr>
            </w:pPr>
            <w:r w:rsidRPr="00DD6C44">
              <w:rPr>
                <w:rFonts w:ascii="Arial" w:eastAsia="DengXian" w:hAnsi="Arial"/>
                <w:sz w:val="20"/>
                <w:szCs w:val="20"/>
                <w:lang w:val="en-GB"/>
              </w:rPr>
              <w:t>Nhóm Công tác ASEAN về Quản trị AI</w:t>
            </w:r>
            <w:r w:rsidR="00794D9D" w:rsidRPr="00797C1F">
              <w:rPr>
                <w:rFonts w:ascii="Arial" w:eastAsia="DengXian" w:hAnsi="Arial"/>
                <w:sz w:val="20"/>
                <w:szCs w:val="20"/>
                <w:lang w:val="en-GB"/>
              </w:rPr>
              <w:t xml:space="preserve"> (AI-WG)</w:t>
            </w:r>
          </w:p>
          <w:p w14:paraId="3A7495B7" w14:textId="77777777" w:rsidR="00794D9D" w:rsidRPr="00797C1F" w:rsidRDefault="00794D9D" w:rsidP="00794D9D">
            <w:pPr>
              <w:cnfStyle w:val="000000000000" w:firstRow="0" w:lastRow="0" w:firstColumn="0" w:lastColumn="0" w:oddVBand="0" w:evenVBand="0" w:oddHBand="0" w:evenHBand="0" w:firstRowFirstColumn="0" w:firstRowLastColumn="0" w:lastRowFirstColumn="0" w:lastRowLastColumn="0"/>
              <w:rPr>
                <w:sz w:val="20"/>
                <w:szCs w:val="20"/>
              </w:rPr>
            </w:pPr>
          </w:p>
          <w:p w14:paraId="55AD69D8" w14:textId="1E89EC00" w:rsidR="008E1A0E" w:rsidRPr="00797C1F" w:rsidRDefault="008E1A0E" w:rsidP="00E16FBF">
            <w:pPr>
              <w:ind w:left="1080" w:hanging="360"/>
              <w:cnfStyle w:val="000000000000" w:firstRow="0" w:lastRow="0" w:firstColumn="0" w:lastColumn="0" w:oddVBand="0" w:evenVBand="0" w:oddHBand="0" w:evenHBand="0" w:firstRowFirstColumn="0" w:firstRowLastColumn="0" w:lastRowFirstColumn="0" w:lastRowLastColumn="0"/>
              <w:rPr>
                <w:sz w:val="20"/>
                <w:szCs w:val="20"/>
              </w:rPr>
            </w:pPr>
          </w:p>
          <w:p w14:paraId="474EBCAA" w14:textId="474F73CF" w:rsidR="00D97D6D" w:rsidRPr="00797C1F" w:rsidRDefault="00D97D6D" w:rsidP="00A2276F">
            <w:pPr>
              <w:pStyle w:val="ListParagraph"/>
              <w:numPr>
                <w:ilvl w:val="0"/>
                <w:numId w:val="0"/>
              </w:numPr>
              <w:spacing w:after="0"/>
              <w:ind w:left="360"/>
              <w:cnfStyle w:val="000000000000" w:firstRow="0" w:lastRow="0" w:firstColumn="0" w:lastColumn="0" w:oddVBand="0" w:evenVBand="0" w:oddHBand="0" w:evenHBand="0" w:firstRowFirstColumn="0" w:firstRowLastColumn="0" w:lastRowFirstColumn="0" w:lastRowLastColumn="0"/>
              <w:rPr>
                <w:sz w:val="20"/>
                <w:szCs w:val="20"/>
              </w:rPr>
            </w:pPr>
          </w:p>
        </w:tc>
        <w:tc>
          <w:tcPr>
            <w:tcW w:w="3774" w:type="dxa"/>
            <w:gridSpan w:val="2"/>
            <w:tcBorders>
              <w:left w:val="single" w:sz="4" w:space="0" w:color="156082"/>
            </w:tcBorders>
          </w:tcPr>
          <w:p w14:paraId="7E0A37E1" w14:textId="43D9CD3A" w:rsidR="00D97D6D" w:rsidRPr="00797C1F" w:rsidRDefault="00DD6C44" w:rsidP="00D97D6D">
            <w:pPr>
              <w:cnfStyle w:val="000000000000" w:firstRow="0" w:lastRow="0" w:firstColumn="0" w:lastColumn="0" w:oddVBand="0" w:evenVBand="0" w:oddHBand="0" w:evenHBand="0" w:firstRowFirstColumn="0" w:firstRowLastColumn="0" w:lastRowFirstColumn="0" w:lastRowLastColumn="0"/>
              <w:rPr>
                <w:sz w:val="20"/>
                <w:szCs w:val="20"/>
              </w:rPr>
            </w:pPr>
            <w:r w:rsidRPr="00DD6C44">
              <w:rPr>
                <w:sz w:val="20"/>
                <w:szCs w:val="20"/>
              </w:rPr>
              <w:lastRenderedPageBreak/>
              <w:t>Các thước đo tiến độ chung</w:t>
            </w:r>
            <w:r w:rsidR="00D97D6D" w:rsidRPr="00797C1F">
              <w:rPr>
                <w:sz w:val="20"/>
                <w:szCs w:val="20"/>
              </w:rPr>
              <w:t>:</w:t>
            </w:r>
          </w:p>
          <w:p w14:paraId="690EA7B3" w14:textId="05F52FB4" w:rsidR="00D97D6D" w:rsidRPr="00DD6C44" w:rsidRDefault="00DD6C44" w:rsidP="00C82E40">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Arial" w:hAnsi="Arial"/>
                <w:bCs/>
                <w:sz w:val="20"/>
                <w:szCs w:val="20"/>
                <w:lang w:val="en-GB"/>
              </w:rPr>
            </w:pPr>
            <w:r w:rsidRPr="00DD6C44">
              <w:rPr>
                <w:rFonts w:ascii="Arial" w:hAnsi="Arial"/>
                <w:b/>
                <w:sz w:val="20"/>
                <w:szCs w:val="20"/>
                <w:lang w:val="en-GB"/>
              </w:rPr>
              <w:t xml:space="preserve">Chất lượng và chiều sâu của đóng góp từ từng quốc gia: </w:t>
            </w:r>
            <w:r w:rsidRPr="00DD6C44">
              <w:rPr>
                <w:rFonts w:ascii="Arial" w:hAnsi="Arial"/>
                <w:bCs/>
                <w:sz w:val="20"/>
                <w:szCs w:val="20"/>
                <w:lang w:val="en-GB"/>
              </w:rPr>
              <w:t xml:space="preserve">Đánh giá mức độ chi tiết và chất lượng </w:t>
            </w:r>
            <w:r w:rsidRPr="00DD6C44">
              <w:rPr>
                <w:rFonts w:ascii="Arial" w:hAnsi="Arial"/>
                <w:bCs/>
                <w:sz w:val="20"/>
                <w:szCs w:val="20"/>
                <w:lang w:val="en-GB"/>
              </w:rPr>
              <w:lastRenderedPageBreak/>
              <w:t>thông tin phản ánh những thách thức cụ thể, các ứng dụng tiềm năng và các cân nhắc đạo đức liên quan đến AI Tạo sinh của từng quốc gia</w:t>
            </w:r>
            <w:r w:rsidR="00D97D6D" w:rsidRPr="00DD6C44">
              <w:rPr>
                <w:rFonts w:ascii="Arial" w:hAnsi="Arial"/>
                <w:bCs/>
                <w:sz w:val="20"/>
                <w:szCs w:val="20"/>
                <w:lang w:val="en-GB"/>
              </w:rPr>
              <w:t xml:space="preserve">. </w:t>
            </w:r>
          </w:p>
          <w:p w14:paraId="72446CB2" w14:textId="59A5830C" w:rsidR="00D97D6D" w:rsidRPr="00DD6C44" w:rsidRDefault="00DD6C44" w:rsidP="00FC3CC8">
            <w:pPr>
              <w:pStyle w:val="ListParagraph"/>
              <w:numPr>
                <w:ilvl w:val="0"/>
                <w:numId w:val="17"/>
              </w:numPr>
              <w:spacing w:after="0"/>
              <w:cnfStyle w:val="000000000000" w:firstRow="0" w:lastRow="0" w:firstColumn="0" w:lastColumn="0" w:oddVBand="0" w:evenVBand="0" w:oddHBand="0" w:evenHBand="0" w:firstRowFirstColumn="0" w:firstRowLastColumn="0" w:lastRowFirstColumn="0" w:lastRowLastColumn="0"/>
              <w:rPr>
                <w:rFonts w:ascii="Arial" w:hAnsi="Arial"/>
                <w:bCs/>
                <w:sz w:val="20"/>
                <w:szCs w:val="20"/>
                <w:lang w:val="en-GB"/>
              </w:rPr>
            </w:pPr>
            <w:r w:rsidRPr="00DD6C44">
              <w:rPr>
                <w:rFonts w:ascii="Arial" w:eastAsia="DengXian" w:hAnsi="Arial"/>
                <w:b/>
                <w:sz w:val="20"/>
                <w:szCs w:val="20"/>
                <w:lang w:val="en-GB"/>
              </w:rPr>
              <w:t xml:space="preserve">Mức độ tham gia và hợp tác tích cực: </w:t>
            </w:r>
            <w:r w:rsidRPr="00DD6C44">
              <w:rPr>
                <w:rFonts w:ascii="Arial" w:eastAsia="DengXian" w:hAnsi="Arial"/>
                <w:bCs/>
                <w:sz w:val="20"/>
                <w:szCs w:val="20"/>
                <w:lang w:val="en-GB"/>
              </w:rPr>
              <w:t>Theo dõi mức độ tham gia của từng quốc gia trong suốt quá trình xây dựng hướng dẫn khu vực, bao gồm sự tham gia vào các cuộc họp tham vấn, đồng soạn thảo và cung cấp phản hồi mang tính xây dựng đối với các bản dự thảo</w:t>
            </w:r>
            <w:r w:rsidR="00D97D6D" w:rsidRPr="00DD6C44">
              <w:rPr>
                <w:rFonts w:ascii="Arial" w:hAnsi="Arial"/>
                <w:bCs/>
                <w:sz w:val="20"/>
                <w:szCs w:val="20"/>
                <w:lang w:val="en-GB"/>
              </w:rPr>
              <w:t>.</w:t>
            </w:r>
          </w:p>
          <w:p w14:paraId="32A8A165" w14:textId="77777777" w:rsidR="00D97D6D" w:rsidRPr="004F1D15" w:rsidRDefault="00D97D6D" w:rsidP="00D97D6D">
            <w:pPr>
              <w:cnfStyle w:val="000000000000" w:firstRow="0" w:lastRow="0" w:firstColumn="0" w:lastColumn="0" w:oddVBand="0" w:evenVBand="0" w:oddHBand="0" w:evenHBand="0" w:firstRowFirstColumn="0" w:firstRowLastColumn="0" w:lastRowFirstColumn="0" w:lastRowLastColumn="0"/>
              <w:rPr>
                <w:sz w:val="20"/>
                <w:szCs w:val="20"/>
              </w:rPr>
            </w:pPr>
          </w:p>
        </w:tc>
      </w:tr>
    </w:tbl>
    <w:p w14:paraId="142AFE47" w14:textId="1AE7DF13" w:rsidR="00341DF4" w:rsidRPr="004F1D15" w:rsidRDefault="00DD6C44" w:rsidP="00C82E40">
      <w:pPr>
        <w:pStyle w:val="Heading4"/>
        <w:rPr>
          <w:sz w:val="20"/>
          <w:lang w:val="en-GB"/>
        </w:rPr>
      </w:pPr>
      <w:r>
        <w:rPr>
          <w:sz w:val="20"/>
          <w:lang w:val="en-GB"/>
        </w:rPr>
        <w:lastRenderedPageBreak/>
        <w:t>Danh</w:t>
      </w:r>
      <w:r>
        <w:rPr>
          <w:sz w:val="20"/>
          <w:lang w:val="vi-VN"/>
        </w:rPr>
        <w:t xml:space="preserve"> mục</w:t>
      </w:r>
      <w:r w:rsidR="00CC6EE0" w:rsidRPr="004F1D15">
        <w:rPr>
          <w:sz w:val="20"/>
          <w:lang w:val="en-GB"/>
        </w:rPr>
        <w:t xml:space="preserve"> </w:t>
      </w:r>
      <w:r w:rsidR="00341DF4" w:rsidRPr="004F1D15">
        <w:rPr>
          <w:sz w:val="20"/>
          <w:lang w:val="en-GB"/>
        </w:rPr>
        <w:t xml:space="preserve">2: </w:t>
      </w:r>
      <w:r w:rsidR="001E686C" w:rsidRPr="001E686C">
        <w:rPr>
          <w:sz w:val="20"/>
          <w:lang w:val="en-GB"/>
        </w:rPr>
        <w:t>Phát triển Năng lực và Hỗ trợ Kỹ thuật</w:t>
      </w:r>
    </w:p>
    <w:tbl>
      <w:tblPr>
        <w:tblStyle w:val="ListTable3-Accent11"/>
        <w:tblW w:w="15314" w:type="dxa"/>
        <w:tblLook w:val="04A0" w:firstRow="1" w:lastRow="0" w:firstColumn="1" w:lastColumn="0" w:noHBand="0" w:noVBand="1"/>
      </w:tblPr>
      <w:tblGrid>
        <w:gridCol w:w="1694"/>
        <w:gridCol w:w="3764"/>
        <w:gridCol w:w="7"/>
        <w:gridCol w:w="3757"/>
        <w:gridCol w:w="15"/>
        <w:gridCol w:w="2303"/>
        <w:gridCol w:w="14"/>
        <w:gridCol w:w="3760"/>
      </w:tblGrid>
      <w:tr w:rsidR="00C235CA" w:rsidRPr="004F1D15" w14:paraId="7D911823" w14:textId="77777777" w:rsidTr="00297F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4" w:type="dxa"/>
            <w:tcBorders>
              <w:bottom w:val="single" w:sz="4" w:space="0" w:color="156082"/>
            </w:tcBorders>
            <w:shd w:val="clear" w:color="auto" w:fill="002060"/>
          </w:tcPr>
          <w:p w14:paraId="5FA2D330" w14:textId="242D9707" w:rsidR="00C235CA" w:rsidRPr="004F1D15" w:rsidRDefault="003C05C9" w:rsidP="00297FD7">
            <w:pPr>
              <w:jc w:val="center"/>
              <w:rPr>
                <w:sz w:val="20"/>
                <w:szCs w:val="20"/>
              </w:rPr>
            </w:pPr>
            <w:r w:rsidRPr="003C05C9">
              <w:rPr>
                <w:sz w:val="20"/>
                <w:szCs w:val="20"/>
              </w:rPr>
              <w:t>Khu vực hành động</w:t>
            </w:r>
          </w:p>
        </w:tc>
        <w:tc>
          <w:tcPr>
            <w:tcW w:w="3771" w:type="dxa"/>
            <w:gridSpan w:val="2"/>
            <w:shd w:val="clear" w:color="auto" w:fill="002060"/>
          </w:tcPr>
          <w:p w14:paraId="048CD4E6" w14:textId="138544DB" w:rsidR="00C235CA" w:rsidRPr="004F1D15" w:rsidRDefault="003C05C9" w:rsidP="00297FD7">
            <w:pPr>
              <w:jc w:val="center"/>
              <w:cnfStyle w:val="100000000000" w:firstRow="1" w:lastRow="0" w:firstColumn="0" w:lastColumn="0" w:oddVBand="0" w:evenVBand="0" w:oddHBand="0" w:evenHBand="0" w:firstRowFirstColumn="0" w:firstRowLastColumn="0" w:lastRowFirstColumn="0" w:lastRowLastColumn="0"/>
              <w:rPr>
                <w:sz w:val="20"/>
                <w:szCs w:val="20"/>
              </w:rPr>
            </w:pPr>
            <w:r w:rsidRPr="003C05C9">
              <w:rPr>
                <w:sz w:val="20"/>
                <w:szCs w:val="20"/>
              </w:rPr>
              <w:t>Lĩnh vực trọng tâm</w:t>
            </w:r>
          </w:p>
        </w:tc>
        <w:tc>
          <w:tcPr>
            <w:tcW w:w="3772" w:type="dxa"/>
            <w:gridSpan w:val="2"/>
            <w:shd w:val="clear" w:color="auto" w:fill="002060"/>
          </w:tcPr>
          <w:p w14:paraId="29D023B8" w14:textId="6BB331E4" w:rsidR="00C235CA" w:rsidRPr="004F1D15" w:rsidRDefault="003C05C9" w:rsidP="00297FD7">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3C05C9">
              <w:rPr>
                <w:sz w:val="20"/>
                <w:szCs w:val="20"/>
              </w:rPr>
              <w:t>Các mốc dự kiến và khung thời gian tạm tính</w:t>
            </w:r>
            <w:r w:rsidR="00C235CA" w:rsidRPr="004F1D15">
              <w:rPr>
                <w:sz w:val="20"/>
                <w:szCs w:val="20"/>
                <w:vertAlign w:val="superscript"/>
              </w:rPr>
              <w:footnoteReference w:id="361"/>
            </w:r>
          </w:p>
        </w:tc>
        <w:tc>
          <w:tcPr>
            <w:tcW w:w="2317" w:type="dxa"/>
            <w:gridSpan w:val="2"/>
            <w:shd w:val="clear" w:color="auto" w:fill="002060"/>
          </w:tcPr>
          <w:p w14:paraId="30F70B1C" w14:textId="3D69ECAC" w:rsidR="00C235CA" w:rsidRPr="004F1D15" w:rsidRDefault="003C05C9" w:rsidP="00297FD7">
            <w:pPr>
              <w:jc w:val="center"/>
              <w:cnfStyle w:val="100000000000" w:firstRow="1" w:lastRow="0" w:firstColumn="0" w:lastColumn="0" w:oddVBand="0" w:evenVBand="0" w:oddHBand="0" w:evenHBand="0" w:firstRowFirstColumn="0" w:firstRowLastColumn="0" w:lastRowFirstColumn="0" w:lastRowLastColumn="0"/>
              <w:rPr>
                <w:sz w:val="20"/>
                <w:szCs w:val="20"/>
              </w:rPr>
            </w:pPr>
            <w:r w:rsidRPr="003C05C9">
              <w:rPr>
                <w:sz w:val="20"/>
                <w:szCs w:val="20"/>
              </w:rPr>
              <w:t>Các bên chịu trách nhiệm chính</w:t>
            </w:r>
          </w:p>
        </w:tc>
        <w:tc>
          <w:tcPr>
            <w:tcW w:w="3760" w:type="dxa"/>
            <w:shd w:val="clear" w:color="auto" w:fill="002060"/>
          </w:tcPr>
          <w:p w14:paraId="1071ECAB" w14:textId="46173835" w:rsidR="00C235CA" w:rsidRPr="004F1D15" w:rsidRDefault="003C05C9" w:rsidP="00297FD7">
            <w:pPr>
              <w:jc w:val="center"/>
              <w:cnfStyle w:val="100000000000" w:firstRow="1" w:lastRow="0" w:firstColumn="0" w:lastColumn="0" w:oddVBand="0" w:evenVBand="0" w:oddHBand="0" w:evenHBand="0" w:firstRowFirstColumn="0" w:firstRowLastColumn="0" w:lastRowFirstColumn="0" w:lastRowLastColumn="0"/>
              <w:rPr>
                <w:sz w:val="20"/>
                <w:szCs w:val="20"/>
              </w:rPr>
            </w:pPr>
            <w:r w:rsidRPr="003C05C9">
              <w:rPr>
                <w:sz w:val="20"/>
                <w:szCs w:val="20"/>
              </w:rPr>
              <w:t>Thước đo tiến độ</w:t>
            </w:r>
          </w:p>
        </w:tc>
      </w:tr>
      <w:tr w:rsidR="00C235CA" w:rsidRPr="004F1D15" w14:paraId="1D48C8B5" w14:textId="77777777" w:rsidTr="00297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shd w:val="clear" w:color="auto" w:fill="00B0F0"/>
            <w:vAlign w:val="center"/>
          </w:tcPr>
          <w:p w14:paraId="4257E383" w14:textId="67900A13" w:rsidR="00C235CA" w:rsidRPr="004F1D15" w:rsidRDefault="003C05C9">
            <w:pPr>
              <w:rPr>
                <w:sz w:val="20"/>
                <w:szCs w:val="20"/>
              </w:rPr>
            </w:pPr>
            <w:r w:rsidRPr="003C05C9">
              <w:rPr>
                <w:sz w:val="20"/>
                <w:szCs w:val="20"/>
              </w:rPr>
              <w:t>Khu vực hành động chính</w:t>
            </w:r>
          </w:p>
        </w:tc>
        <w:tc>
          <w:tcPr>
            <w:tcW w:w="13620" w:type="dxa"/>
            <w:gridSpan w:val="7"/>
            <w:tcBorders>
              <w:left w:val="single" w:sz="4" w:space="0" w:color="156082"/>
            </w:tcBorders>
            <w:shd w:val="clear" w:color="auto" w:fill="00B0F0"/>
            <w:vAlign w:val="center"/>
          </w:tcPr>
          <w:p w14:paraId="40BFE88A" w14:textId="6A91604A" w:rsidR="00C235CA" w:rsidRPr="004F1D15" w:rsidRDefault="00432619">
            <w:pPr>
              <w:cnfStyle w:val="000000100000" w:firstRow="0" w:lastRow="0" w:firstColumn="0" w:lastColumn="0" w:oddVBand="0" w:evenVBand="0" w:oddHBand="1" w:evenHBand="0" w:firstRowFirstColumn="0" w:firstRowLastColumn="0" w:lastRowFirstColumn="0" w:lastRowLastColumn="0"/>
              <w:rPr>
                <w:rFonts w:eastAsiaTheme="minorEastAsia"/>
                <w:b/>
                <w:bCs/>
                <w:sz w:val="20"/>
                <w:szCs w:val="20"/>
              </w:rPr>
            </w:pPr>
            <w:r>
              <w:rPr>
                <w:b/>
                <w:bCs/>
                <w:sz w:val="20"/>
                <w:szCs w:val="20"/>
              </w:rPr>
              <w:t>6.2.11.</w:t>
            </w:r>
            <w:r w:rsidR="00E72E93">
              <w:rPr>
                <w:b/>
                <w:bCs/>
                <w:sz w:val="20"/>
                <w:szCs w:val="20"/>
              </w:rPr>
              <w:t>2</w:t>
            </w:r>
            <w:r w:rsidR="00D97D6D" w:rsidRPr="004F1D15">
              <w:rPr>
                <w:b/>
                <w:sz w:val="20"/>
                <w:szCs w:val="20"/>
              </w:rPr>
              <w:t xml:space="preserve"> </w:t>
            </w:r>
            <w:r w:rsidR="003C05C9" w:rsidRPr="003C05C9">
              <w:rPr>
                <w:b/>
                <w:sz w:val="20"/>
                <w:szCs w:val="20"/>
              </w:rPr>
              <w:t>Thúc đẩy Phát triển Năng lực Khu vực và Chia sẻ Tri thức</w:t>
            </w:r>
          </w:p>
        </w:tc>
      </w:tr>
      <w:tr w:rsidR="00C235CA" w:rsidRPr="004F1D15" w14:paraId="21646FCC" w14:textId="77777777" w:rsidTr="00297FD7">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156082"/>
              <w:bottom w:val="single" w:sz="4" w:space="0" w:color="156082"/>
              <w:right w:val="single" w:sz="4" w:space="0" w:color="156082"/>
            </w:tcBorders>
            <w:shd w:val="clear" w:color="auto" w:fill="BDD6EE" w:themeFill="accent5" w:themeFillTint="66"/>
            <w:vAlign w:val="center"/>
          </w:tcPr>
          <w:p w14:paraId="0C4881AD" w14:textId="4E6CF10E" w:rsidR="00C235CA" w:rsidRPr="004F1D15" w:rsidRDefault="00E65DFD">
            <w:pPr>
              <w:rPr>
                <w:sz w:val="20"/>
                <w:szCs w:val="20"/>
              </w:rPr>
            </w:pPr>
            <w:r w:rsidRPr="00E65DFD">
              <w:rPr>
                <w:sz w:val="20"/>
                <w:szCs w:val="20"/>
              </w:rPr>
              <w:t>Mục tiêu</w:t>
            </w:r>
          </w:p>
        </w:tc>
        <w:tc>
          <w:tcPr>
            <w:tcW w:w="13620" w:type="dxa"/>
            <w:gridSpan w:val="7"/>
            <w:tcBorders>
              <w:left w:val="single" w:sz="4" w:space="0" w:color="156082"/>
            </w:tcBorders>
            <w:shd w:val="clear" w:color="auto" w:fill="BDD6EE" w:themeFill="accent5" w:themeFillTint="66"/>
            <w:vAlign w:val="center"/>
          </w:tcPr>
          <w:p w14:paraId="72779CED" w14:textId="2426FD08" w:rsidR="00D97D6D" w:rsidRPr="00516087" w:rsidRDefault="00E65DFD" w:rsidP="00432619">
            <w:pPr>
              <w:pStyle w:val="ListParagraph"/>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DengXian" w:hAnsi="Arial"/>
                <w:b/>
                <w:sz w:val="20"/>
                <w:szCs w:val="20"/>
                <w:lang w:val="en-GB"/>
              </w:rPr>
            </w:pPr>
            <w:r w:rsidRPr="00E65DFD">
              <w:rPr>
                <w:rFonts w:ascii="Arial" w:eastAsia="DengXian" w:hAnsi="Arial"/>
                <w:b/>
                <w:sz w:val="20"/>
                <w:szCs w:val="20"/>
                <w:lang w:val="en-GB"/>
              </w:rPr>
              <w:t xml:space="preserve">Xây dựng năng lực khu vực: </w:t>
            </w:r>
            <w:r w:rsidRPr="00E65DFD">
              <w:rPr>
                <w:rFonts w:ascii="Arial" w:eastAsia="DengXian" w:hAnsi="Arial"/>
                <w:bCs/>
                <w:sz w:val="20"/>
                <w:szCs w:val="20"/>
                <w:lang w:val="en-GB"/>
              </w:rPr>
              <w:t>Nâng cao năng lực khu vực về AI có trách nhiệm bằng cách trang bị cho các bên liên quan trong khu vực kiến thức và kỹ năng cần thiết để triển khai các thực tiễn AI có trách nhiệm</w:t>
            </w:r>
            <w:r w:rsidR="00D97D6D" w:rsidRPr="00E65DFD">
              <w:rPr>
                <w:rFonts w:ascii="Arial" w:eastAsia="DengXian" w:hAnsi="Arial"/>
                <w:bCs/>
                <w:sz w:val="20"/>
                <w:szCs w:val="20"/>
                <w:lang w:val="en-GB"/>
              </w:rPr>
              <w:t>.</w:t>
            </w:r>
            <w:r w:rsidR="00D97D6D" w:rsidRPr="00516087">
              <w:rPr>
                <w:rFonts w:ascii="Arial" w:eastAsia="DengXian" w:hAnsi="Arial"/>
                <w:b/>
                <w:sz w:val="20"/>
                <w:szCs w:val="20"/>
                <w:lang w:val="en-GB"/>
              </w:rPr>
              <w:t xml:space="preserve"> </w:t>
            </w:r>
          </w:p>
          <w:p w14:paraId="71CC1579" w14:textId="0F751AC6" w:rsidR="00D97D6D" w:rsidRPr="00E65DFD" w:rsidRDefault="00E65DFD" w:rsidP="00432619">
            <w:pPr>
              <w:pStyle w:val="ListParagraph"/>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DengXian" w:hAnsi="Arial"/>
                <w:bCs/>
                <w:sz w:val="20"/>
                <w:szCs w:val="20"/>
                <w:lang w:val="en-GB"/>
              </w:rPr>
            </w:pPr>
            <w:r w:rsidRPr="00E65DFD">
              <w:rPr>
                <w:rFonts w:ascii="Arial" w:eastAsia="DengXian" w:hAnsi="Arial"/>
                <w:b/>
                <w:sz w:val="20"/>
                <w:szCs w:val="20"/>
                <w:lang w:val="en-GB"/>
              </w:rPr>
              <w:t xml:space="preserve">Thúc đẩy mô hình phát triển năng lực bền vững: </w:t>
            </w:r>
            <w:r w:rsidRPr="00E65DFD">
              <w:rPr>
                <w:rFonts w:ascii="Arial" w:eastAsia="DengXian" w:hAnsi="Arial"/>
                <w:bCs/>
                <w:sz w:val="20"/>
                <w:szCs w:val="20"/>
                <w:lang w:val="en-GB"/>
              </w:rPr>
              <w:t>Trao quyền cho đội ngũ chuyên gia trong nước thông qua cung cấp kiến thức, kỹ năng và nguồn lực để họ có thể tự chủ tổ chức các hội thảo trong nước, từ đó tạo dựng một hệ sinh thái tri thức bền vững và duy trì tác động lâu dài của các sáng kiến phát triển năng lực</w:t>
            </w:r>
            <w:r w:rsidR="00D97D6D" w:rsidRPr="00E65DFD">
              <w:rPr>
                <w:rFonts w:ascii="Arial" w:eastAsia="DengXian" w:hAnsi="Arial"/>
                <w:bCs/>
                <w:sz w:val="20"/>
                <w:szCs w:val="20"/>
                <w:lang w:val="en-GB"/>
              </w:rPr>
              <w:t>.</w:t>
            </w:r>
          </w:p>
          <w:p w14:paraId="54A38CFC" w14:textId="34D0911F" w:rsidR="00C235CA" w:rsidRPr="00516087" w:rsidRDefault="00E65DFD"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hAnsi="Arial"/>
                <w:sz w:val="20"/>
                <w:szCs w:val="20"/>
                <w:lang w:val="en-GB"/>
              </w:rPr>
            </w:pPr>
            <w:r w:rsidRPr="00E65DFD">
              <w:rPr>
                <w:rFonts w:ascii="Arial" w:hAnsi="Arial"/>
                <w:b/>
                <w:sz w:val="20"/>
                <w:szCs w:val="20"/>
                <w:lang w:val="en-GB"/>
              </w:rPr>
              <w:t xml:space="preserve">Thúc đẩy chia sẻ tri thức: </w:t>
            </w:r>
            <w:r w:rsidRPr="00ED5980">
              <w:rPr>
                <w:rFonts w:ascii="Arial" w:hAnsi="Arial"/>
                <w:bCs/>
                <w:sz w:val="20"/>
                <w:szCs w:val="20"/>
                <w:lang w:val="en-GB"/>
              </w:rPr>
              <w:t>Khuyến khích trao đổi chuyên môn, thực tiễn tốt và bài học kinh nghiệm về quản trị và triển khai AI giữa các quốc gia thành viên ASEAN thông qua các diễn đàn chia sẻ tri thức ở cấp khu vực.</w:t>
            </w:r>
          </w:p>
        </w:tc>
      </w:tr>
      <w:tr w:rsidR="00C235CA" w:rsidRPr="004F1D15" w14:paraId="128CB5D0" w14:textId="77777777" w:rsidTr="6BB67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tcPr>
          <w:p w14:paraId="2521AD31" w14:textId="256F5DA2" w:rsidR="00C235CA" w:rsidRPr="004F1D15" w:rsidRDefault="00432619" w:rsidP="00665967">
            <w:pPr>
              <w:rPr>
                <w:sz w:val="20"/>
                <w:szCs w:val="20"/>
              </w:rPr>
            </w:pPr>
            <w:r>
              <w:rPr>
                <w:sz w:val="20"/>
                <w:szCs w:val="20"/>
              </w:rPr>
              <w:t>6.2.11.</w:t>
            </w:r>
            <w:r w:rsidR="00E72E93">
              <w:rPr>
                <w:sz w:val="20"/>
                <w:szCs w:val="20"/>
              </w:rPr>
              <w:t xml:space="preserve">2 </w:t>
            </w:r>
            <w:r w:rsidR="003C05C9" w:rsidRPr="003C05C9">
              <w:rPr>
                <w:sz w:val="20"/>
                <w:szCs w:val="20"/>
              </w:rPr>
              <w:t>Thúc đẩy Phát triển Năng lực Khu vực và Chia sẻ Tri thức</w:t>
            </w:r>
          </w:p>
        </w:tc>
        <w:tc>
          <w:tcPr>
            <w:tcW w:w="3764" w:type="dxa"/>
            <w:tcBorders>
              <w:left w:val="single" w:sz="4" w:space="0" w:color="156082"/>
              <w:right w:val="single" w:sz="4" w:space="0" w:color="156082"/>
            </w:tcBorders>
          </w:tcPr>
          <w:p w14:paraId="47D080BE" w14:textId="1B63DD08" w:rsidR="00D97D6D" w:rsidRPr="00ED5980" w:rsidRDefault="00ED5980" w:rsidP="00F21301">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bCs/>
                <w:color w:val="auto"/>
                <w:sz w:val="20"/>
                <w:szCs w:val="20"/>
                <w:lang w:val="en-GB"/>
              </w:rPr>
            </w:pPr>
            <w:r w:rsidRPr="00ED5980">
              <w:rPr>
                <w:rFonts w:ascii="Arial" w:eastAsia="DengXian" w:hAnsi="Arial"/>
                <w:b/>
                <w:sz w:val="20"/>
                <w:szCs w:val="20"/>
                <w:lang w:val="en-GB"/>
              </w:rPr>
              <w:t xml:space="preserve">Hội thảo phát triển năng lực khu vực: </w:t>
            </w:r>
            <w:r w:rsidRPr="00ED5980">
              <w:rPr>
                <w:rFonts w:ascii="Arial" w:eastAsia="DengXian" w:hAnsi="Arial"/>
                <w:bCs/>
                <w:sz w:val="20"/>
                <w:szCs w:val="20"/>
                <w:lang w:val="en-GB"/>
              </w:rPr>
              <w:t>Tổ chức các hội thảo, khóa đào tạo, và các phiên chia sẻ tri thức ở cấp khu vực nhằm nâng cao hiểu biết và năng lực triển khai các thực tiễn AI có trách nhiệm cho các nhóm đối tượng đa dạng</w:t>
            </w:r>
            <w:r w:rsidR="00D97D6D" w:rsidRPr="00ED5980">
              <w:rPr>
                <w:rFonts w:ascii="Arial" w:eastAsia="DengXian" w:hAnsi="Arial"/>
                <w:bCs/>
                <w:color w:val="auto"/>
                <w:sz w:val="20"/>
                <w:szCs w:val="20"/>
                <w:lang w:val="en-GB"/>
              </w:rPr>
              <w:t>.</w:t>
            </w:r>
          </w:p>
          <w:p w14:paraId="0669D895" w14:textId="78AB4B7F" w:rsidR="00C235CA" w:rsidRPr="004F1D15" w:rsidRDefault="00ED5980" w:rsidP="00C82E4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sz w:val="20"/>
                <w:szCs w:val="20"/>
                <w:lang w:val="en-GB"/>
              </w:rPr>
            </w:pPr>
            <w:r w:rsidRPr="00ED5980">
              <w:rPr>
                <w:rFonts w:ascii="Arial" w:eastAsia="DengXian" w:hAnsi="Arial"/>
                <w:b/>
                <w:sz w:val="20"/>
                <w:szCs w:val="20"/>
                <w:lang w:val="en-GB"/>
              </w:rPr>
              <w:t xml:space="preserve">Đào tạo giảng viên nguồn (Train-the-Trainer): </w:t>
            </w:r>
            <w:r w:rsidRPr="00ED5980">
              <w:rPr>
                <w:rFonts w:ascii="Arial" w:eastAsia="DengXian" w:hAnsi="Arial"/>
                <w:bCs/>
                <w:sz w:val="20"/>
                <w:szCs w:val="20"/>
                <w:lang w:val="en-GB"/>
              </w:rPr>
              <w:t>Trang bị cho các chuyên gia trong nước kiến thức, kỹ năng và nguồn lực cần thiết để họ có thể tự chủ tổ chức các hội thảo tại quốc gia mình, đảm bảo tính bền vững và tác động lâu dài của các chương trình phát triển năng lực</w:t>
            </w:r>
            <w:r w:rsidR="00D97D6D" w:rsidRPr="00ED5980">
              <w:rPr>
                <w:rFonts w:ascii="Arial" w:eastAsia="DengXian" w:hAnsi="Arial"/>
                <w:bCs/>
                <w:sz w:val="20"/>
                <w:szCs w:val="20"/>
                <w:lang w:val="en-GB"/>
              </w:rPr>
              <w:t>.</w:t>
            </w:r>
          </w:p>
        </w:tc>
        <w:tc>
          <w:tcPr>
            <w:tcW w:w="3764" w:type="dxa"/>
            <w:gridSpan w:val="2"/>
            <w:tcBorders>
              <w:left w:val="single" w:sz="4" w:space="0" w:color="156082"/>
              <w:right w:val="single" w:sz="4" w:space="0" w:color="156082"/>
            </w:tcBorders>
            <w:vAlign w:val="center"/>
          </w:tcPr>
          <w:p w14:paraId="25A68E4B" w14:textId="3C4C5084" w:rsidR="00C235CA" w:rsidRPr="004F1D15" w:rsidRDefault="00ED5980">
            <w:pPr>
              <w:cnfStyle w:val="000000100000" w:firstRow="0" w:lastRow="0" w:firstColumn="0" w:lastColumn="0" w:oddVBand="0" w:evenVBand="0" w:oddHBand="1" w:evenHBand="0" w:firstRowFirstColumn="0" w:firstRowLastColumn="0" w:lastRowFirstColumn="0" w:lastRowLastColumn="0"/>
              <w:rPr>
                <w:sz w:val="20"/>
                <w:szCs w:val="20"/>
              </w:rPr>
            </w:pPr>
            <w:r w:rsidRPr="00ED5980">
              <w:rPr>
                <w:sz w:val="20"/>
                <w:szCs w:val="20"/>
              </w:rPr>
              <w:t>Ngắn hạn</w:t>
            </w:r>
            <w:r w:rsidR="00C235CA" w:rsidRPr="004F1D15">
              <w:rPr>
                <w:sz w:val="20"/>
                <w:szCs w:val="20"/>
              </w:rPr>
              <w:t>:</w:t>
            </w:r>
          </w:p>
          <w:p w14:paraId="1340D4F2" w14:textId="77777777" w:rsidR="00ED5980" w:rsidRPr="00ED5980" w:rsidRDefault="00ED5980" w:rsidP="00ED598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ED5980">
              <w:rPr>
                <w:rFonts w:ascii="Arial" w:eastAsia="DengXian" w:hAnsi="Arial"/>
                <w:sz w:val="20"/>
                <w:szCs w:val="20"/>
                <w:lang w:val="en-GB"/>
              </w:rPr>
              <w:t>Tiến hành đánh giá nhu cầu để xác định khoảng trống tri thức và ưu tiên của các bên liên quan trong khu vực về thực tiễn AI có trách nhiệm.</w:t>
            </w:r>
          </w:p>
          <w:p w14:paraId="39360F19" w14:textId="27A77832" w:rsidR="00ED5980" w:rsidRPr="00ED5980" w:rsidRDefault="00ED5980" w:rsidP="00ED598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ED5980">
              <w:rPr>
                <w:rFonts w:ascii="Arial" w:eastAsia="DengXian" w:hAnsi="Arial"/>
                <w:sz w:val="20"/>
                <w:szCs w:val="20"/>
                <w:lang w:val="en-GB"/>
              </w:rPr>
              <w:t>Xây dựng khung chương trình hội thảo và tài liệu đào tạo phù hợp với nhu cầu đã được nhận diện.</w:t>
            </w:r>
          </w:p>
          <w:p w14:paraId="69EDFAFC" w14:textId="3ABC5A2C" w:rsidR="00ED5980" w:rsidRPr="00ED5980" w:rsidRDefault="00ED5980" w:rsidP="00ED598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ED5980">
              <w:rPr>
                <w:rFonts w:ascii="Arial" w:eastAsia="DengXian" w:hAnsi="Arial"/>
                <w:sz w:val="20"/>
                <w:szCs w:val="20"/>
                <w:lang w:val="en-GB"/>
              </w:rPr>
              <w:t>Huy động nguồn tài trợ và thiết lập quan hệ đối tác để tổ chức hội thảo phát triển năng lực khu vực đầu tiên.</w:t>
            </w:r>
          </w:p>
          <w:p w14:paraId="25447330" w14:textId="3A50668C" w:rsidR="00D97D6D" w:rsidRPr="004F1D15" w:rsidRDefault="00ED5980" w:rsidP="00ED598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b/>
                <w:sz w:val="20"/>
                <w:szCs w:val="20"/>
                <w:lang w:val="en-GB"/>
              </w:rPr>
            </w:pPr>
            <w:r w:rsidRPr="00ED5980">
              <w:rPr>
                <w:rFonts w:ascii="Arial" w:eastAsia="DengXian" w:hAnsi="Arial"/>
                <w:sz w:val="20"/>
                <w:szCs w:val="20"/>
                <w:lang w:val="en-GB"/>
              </w:rPr>
              <w:t>Tổ chức hội thảo khu vực đầu tiên với sự tham gia của nhiều bên liên quan (chính phủ, doanh nghiệp, học thuật, tổ chức xã hội dân sự</w:t>
            </w:r>
            <w:r w:rsidR="00D97D6D" w:rsidRPr="004F1D15">
              <w:rPr>
                <w:rFonts w:ascii="Arial" w:eastAsia="DengXian" w:hAnsi="Arial"/>
                <w:sz w:val="20"/>
                <w:szCs w:val="20"/>
                <w:lang w:val="en-GB"/>
              </w:rPr>
              <w:t>).</w:t>
            </w:r>
          </w:p>
          <w:p w14:paraId="039DFD60" w14:textId="77777777" w:rsidR="00665967" w:rsidRDefault="00665967">
            <w:pPr>
              <w:cnfStyle w:val="000000100000" w:firstRow="0" w:lastRow="0" w:firstColumn="0" w:lastColumn="0" w:oddVBand="0" w:evenVBand="0" w:oddHBand="1" w:evenHBand="0" w:firstRowFirstColumn="0" w:firstRowLastColumn="0" w:lastRowFirstColumn="0" w:lastRowLastColumn="0"/>
              <w:rPr>
                <w:sz w:val="20"/>
                <w:szCs w:val="20"/>
              </w:rPr>
            </w:pPr>
          </w:p>
          <w:p w14:paraId="2AB02CA0" w14:textId="77777777" w:rsidR="00665967" w:rsidRDefault="00665967">
            <w:pPr>
              <w:cnfStyle w:val="000000100000" w:firstRow="0" w:lastRow="0" w:firstColumn="0" w:lastColumn="0" w:oddVBand="0" w:evenVBand="0" w:oddHBand="1" w:evenHBand="0" w:firstRowFirstColumn="0" w:firstRowLastColumn="0" w:lastRowFirstColumn="0" w:lastRowLastColumn="0"/>
              <w:rPr>
                <w:sz w:val="20"/>
                <w:szCs w:val="20"/>
              </w:rPr>
            </w:pPr>
          </w:p>
          <w:p w14:paraId="1D4D3960" w14:textId="26D17A06" w:rsidR="00C235CA" w:rsidRPr="004F1D15" w:rsidRDefault="00AE5DB0">
            <w:pPr>
              <w:cnfStyle w:val="000000100000" w:firstRow="0" w:lastRow="0" w:firstColumn="0" w:lastColumn="0" w:oddVBand="0" w:evenVBand="0" w:oddHBand="1" w:evenHBand="0" w:firstRowFirstColumn="0" w:firstRowLastColumn="0" w:lastRowFirstColumn="0" w:lastRowLastColumn="0"/>
              <w:rPr>
                <w:sz w:val="20"/>
                <w:szCs w:val="20"/>
              </w:rPr>
            </w:pPr>
            <w:r w:rsidRPr="00AE5DB0">
              <w:rPr>
                <w:sz w:val="20"/>
                <w:szCs w:val="20"/>
              </w:rPr>
              <w:lastRenderedPageBreak/>
              <w:t>Trung hạn</w:t>
            </w:r>
            <w:r w:rsidR="00C235CA" w:rsidRPr="004F1D15">
              <w:rPr>
                <w:sz w:val="20"/>
                <w:szCs w:val="20"/>
              </w:rPr>
              <w:t>:</w:t>
            </w:r>
          </w:p>
          <w:p w14:paraId="1455B950" w14:textId="77777777" w:rsidR="00AE5DB0" w:rsidRPr="00AE5DB0" w:rsidRDefault="00AE5DB0" w:rsidP="00AE5DB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AE5DB0">
              <w:rPr>
                <w:rFonts w:ascii="Arial" w:eastAsia="DengXian" w:hAnsi="Arial"/>
                <w:sz w:val="20"/>
                <w:szCs w:val="20"/>
                <w:lang w:val="en-GB"/>
              </w:rPr>
              <w:t>Mở rộng phạm vi hội thảo khu vực nhằm bao quát các chủ đề nâng cao và xu hướng mới trong AI có trách nhiệm, ví dụ: đạo đức AI, giảm thiểu thiên lệch, minh bạch.</w:t>
            </w:r>
          </w:p>
          <w:p w14:paraId="37B2FC9E" w14:textId="4474C272" w:rsidR="00AE5DB0" w:rsidRPr="00AE5DB0" w:rsidRDefault="00AE5DB0" w:rsidP="00AE5DB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AE5DB0">
              <w:rPr>
                <w:rFonts w:ascii="Arial" w:eastAsia="DengXian" w:hAnsi="Arial"/>
                <w:sz w:val="20"/>
                <w:szCs w:val="20"/>
                <w:lang w:val="en-GB"/>
              </w:rPr>
              <w:t>Hợp tác với các chuyên gia chủ chốt và các tổ chức đối tác để xây dựng các mô-đun đào tạo chuyên sâu theo nhu cầu của từng nhóm đối tượng.</w:t>
            </w:r>
          </w:p>
          <w:p w14:paraId="3DEDDBE4" w14:textId="737F5802" w:rsidR="00D97D6D" w:rsidRPr="00516087" w:rsidRDefault="00AE5DB0" w:rsidP="00AE5DB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b/>
                <w:sz w:val="20"/>
                <w:szCs w:val="20"/>
                <w:lang w:val="en-GB"/>
              </w:rPr>
            </w:pPr>
            <w:r w:rsidRPr="00AE5DB0">
              <w:rPr>
                <w:rFonts w:ascii="Arial" w:eastAsia="DengXian" w:hAnsi="Arial"/>
                <w:sz w:val="20"/>
                <w:szCs w:val="20"/>
                <w:lang w:val="en-GB"/>
              </w:rPr>
              <w:t>Theo dõi và đánh giá hiệu quả của các chương trình phát triển năng lực dựa trên phản hồi và mức độ ghi nhớ kiến thức của người tham gia</w:t>
            </w:r>
            <w:r w:rsidR="00D97D6D" w:rsidRPr="00516087">
              <w:rPr>
                <w:rFonts w:ascii="Arial" w:eastAsia="DengXian" w:hAnsi="Arial"/>
                <w:sz w:val="20"/>
                <w:szCs w:val="20"/>
                <w:lang w:val="en-GB"/>
              </w:rPr>
              <w:t>.</w:t>
            </w:r>
          </w:p>
          <w:p w14:paraId="06507D56" w14:textId="41DF9DC1" w:rsidR="00C235CA" w:rsidRPr="004F1D15" w:rsidRDefault="00AE5DB0">
            <w:pPr>
              <w:cnfStyle w:val="000000100000" w:firstRow="0" w:lastRow="0" w:firstColumn="0" w:lastColumn="0" w:oddVBand="0" w:evenVBand="0" w:oddHBand="1" w:evenHBand="0" w:firstRowFirstColumn="0" w:firstRowLastColumn="0" w:lastRowFirstColumn="0" w:lastRowLastColumn="0"/>
              <w:rPr>
                <w:sz w:val="20"/>
                <w:szCs w:val="20"/>
              </w:rPr>
            </w:pPr>
            <w:r w:rsidRPr="00AE5DB0">
              <w:rPr>
                <w:sz w:val="20"/>
                <w:szCs w:val="20"/>
              </w:rPr>
              <w:t>Dài hạn</w:t>
            </w:r>
            <w:r w:rsidR="00C235CA" w:rsidRPr="004F1D15">
              <w:rPr>
                <w:sz w:val="20"/>
                <w:szCs w:val="20"/>
              </w:rPr>
              <w:t>:</w:t>
            </w:r>
          </w:p>
          <w:p w14:paraId="60CA03F3" w14:textId="77777777" w:rsidR="00AE5DB0" w:rsidRPr="00AE5DB0" w:rsidRDefault="00AE5DB0" w:rsidP="00AE5DB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AE5DB0">
              <w:rPr>
                <w:rFonts w:ascii="Arial" w:eastAsia="DengXian" w:hAnsi="Arial"/>
                <w:sz w:val="20"/>
                <w:szCs w:val="20"/>
                <w:lang w:val="en-GB"/>
              </w:rPr>
              <w:t>Triển khai chương trình đào tạo giảng viên nguồn (train-the-trainer) để trao quyền cho chuyên gia của các quốc gia thành viên trong việc tự chủ tổ chức các hội thảo phát triển năng lực.</w:t>
            </w:r>
          </w:p>
          <w:p w14:paraId="41066828" w14:textId="3EBE5A70" w:rsidR="00AE5DB0" w:rsidRPr="00AE5DB0" w:rsidRDefault="00AE5DB0" w:rsidP="00AE5DB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AE5DB0">
              <w:rPr>
                <w:rFonts w:ascii="Arial" w:eastAsia="DengXian" w:hAnsi="Arial"/>
                <w:sz w:val="20"/>
                <w:szCs w:val="20"/>
                <w:lang w:val="en-GB"/>
              </w:rPr>
              <w:t>Cung cấp hỗ trợ và cố vấn liên tục cho đội ngũ giảng viên nguồn nhằm bảo đảm chất lượng và tính bền vững của các chương trình ở cấp quốc gia.</w:t>
            </w:r>
          </w:p>
          <w:p w14:paraId="2DD69488" w14:textId="16A26033" w:rsidR="00AE5DB0" w:rsidRPr="00AE5DB0" w:rsidRDefault="00AE5DB0" w:rsidP="00AE5DB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AE5DB0">
              <w:rPr>
                <w:rFonts w:ascii="Arial" w:eastAsia="DengXian" w:hAnsi="Arial"/>
                <w:sz w:val="20"/>
                <w:szCs w:val="20"/>
                <w:lang w:val="en-GB"/>
              </w:rPr>
              <w:t>Xây dựng mô hình tài chính bền vững nhằm bảo đảm duy trì các chương trình phát triển năng lực.</w:t>
            </w:r>
          </w:p>
          <w:p w14:paraId="624A5D80" w14:textId="732E88F4" w:rsidR="00C235CA" w:rsidRPr="00516087" w:rsidRDefault="00AE5DB0" w:rsidP="00AE5DB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AE5DB0">
              <w:rPr>
                <w:rFonts w:ascii="Arial" w:eastAsia="DengXian" w:hAnsi="Arial"/>
                <w:sz w:val="20"/>
                <w:szCs w:val="20"/>
                <w:lang w:val="en-GB"/>
              </w:rPr>
              <w:t>Tổ chức các hội nghị khu vực nhằm trình bày các thực tiễn tốt nhất và thúc đẩy hợp tác</w:t>
            </w:r>
            <w:r w:rsidR="00D97D6D" w:rsidRPr="00516087">
              <w:rPr>
                <w:rFonts w:ascii="Arial" w:eastAsia="DengXian" w:hAnsi="Arial"/>
                <w:sz w:val="20"/>
                <w:szCs w:val="20"/>
                <w:lang w:val="en-GB"/>
              </w:rPr>
              <w:t>.</w:t>
            </w:r>
          </w:p>
        </w:tc>
        <w:tc>
          <w:tcPr>
            <w:tcW w:w="2318" w:type="dxa"/>
            <w:gridSpan w:val="2"/>
            <w:tcBorders>
              <w:left w:val="single" w:sz="4" w:space="0" w:color="156082"/>
              <w:right w:val="single" w:sz="4" w:space="0" w:color="156082"/>
            </w:tcBorders>
          </w:tcPr>
          <w:p w14:paraId="59F1DAEE" w14:textId="01DEE61B" w:rsidR="00C235CA" w:rsidRPr="004F1D15" w:rsidRDefault="00AE5DB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lastRenderedPageBreak/>
              <w:t>C</w:t>
            </w:r>
            <w:r>
              <w:rPr>
                <w:sz w:val="20"/>
                <w:szCs w:val="20"/>
                <w:lang w:val="vi-VN"/>
              </w:rPr>
              <w:t>ơ quan điều phối</w:t>
            </w:r>
            <w:r w:rsidR="1009E553" w:rsidRPr="004F1D15">
              <w:rPr>
                <w:sz w:val="20"/>
                <w:szCs w:val="20"/>
              </w:rPr>
              <w:t>:</w:t>
            </w:r>
          </w:p>
          <w:p w14:paraId="5D31B704" w14:textId="4F5F5D6F" w:rsidR="00584258" w:rsidRDefault="00AE5DB0" w:rsidP="00AD7A8B">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AE5DB0">
              <w:rPr>
                <w:rFonts w:ascii="Arial" w:eastAsia="DengXian" w:hAnsi="Arial"/>
                <w:sz w:val="20"/>
                <w:szCs w:val="20"/>
                <w:lang w:val="en-GB"/>
              </w:rPr>
              <w:t xml:space="preserve">Nhóm Công tác ASEAN về Trí tuệ Nhân tạo </w:t>
            </w:r>
            <w:r w:rsidR="00584258" w:rsidRPr="00AD7A8B">
              <w:rPr>
                <w:rFonts w:ascii="Arial" w:eastAsia="DengXian" w:hAnsi="Arial"/>
                <w:sz w:val="20"/>
                <w:szCs w:val="20"/>
                <w:lang w:val="en-GB"/>
              </w:rPr>
              <w:t>(AI-WG)</w:t>
            </w:r>
          </w:p>
          <w:p w14:paraId="33581227" w14:textId="77777777" w:rsidR="00584258" w:rsidRDefault="00584258" w:rsidP="00584258">
            <w:pPr>
              <w:cnfStyle w:val="000000100000" w:firstRow="0" w:lastRow="0" w:firstColumn="0" w:lastColumn="0" w:oddVBand="0" w:evenVBand="0" w:oddHBand="1" w:evenHBand="0" w:firstRowFirstColumn="0" w:firstRowLastColumn="0" w:lastRowFirstColumn="0" w:lastRowLastColumn="0"/>
              <w:rPr>
                <w:sz w:val="20"/>
                <w:szCs w:val="20"/>
              </w:rPr>
            </w:pPr>
          </w:p>
          <w:p w14:paraId="4144EDFA" w14:textId="6B1567D6" w:rsidR="00584258" w:rsidRPr="00584258" w:rsidRDefault="009047DE" w:rsidP="00584258">
            <w:pPr>
              <w:cnfStyle w:val="000000100000" w:firstRow="0" w:lastRow="0" w:firstColumn="0" w:lastColumn="0" w:oddVBand="0" w:evenVBand="0" w:oddHBand="1" w:evenHBand="0" w:firstRowFirstColumn="0" w:firstRowLastColumn="0" w:lastRowFirstColumn="0" w:lastRowLastColumn="0"/>
              <w:rPr>
                <w:sz w:val="20"/>
                <w:szCs w:val="20"/>
              </w:rPr>
            </w:pPr>
            <w:r w:rsidRPr="009047DE">
              <w:rPr>
                <w:sz w:val="20"/>
                <w:szCs w:val="20"/>
              </w:rPr>
              <w:t>Cơ quan phối hợp</w:t>
            </w:r>
            <w:r w:rsidR="00584258">
              <w:rPr>
                <w:sz w:val="20"/>
                <w:szCs w:val="20"/>
              </w:rPr>
              <w:t xml:space="preserve">: </w:t>
            </w:r>
          </w:p>
          <w:p w14:paraId="34C853C3" w14:textId="2CB16AFE" w:rsidR="00AD7A8B" w:rsidRDefault="009047DE" w:rsidP="00AD7A8B">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9047DE">
              <w:rPr>
                <w:rFonts w:ascii="Arial" w:eastAsia="DengXian" w:hAnsi="Arial"/>
                <w:sz w:val="20"/>
                <w:szCs w:val="20"/>
                <w:lang w:val="en-GB"/>
              </w:rPr>
              <w:t xml:space="preserve">Ủy ban Khoa học, Công nghệ và Đổi mới sáng tạo của ASEAN </w:t>
            </w:r>
            <w:r w:rsidR="00AD7A8B" w:rsidRPr="00B3170C">
              <w:rPr>
                <w:rFonts w:ascii="Arial" w:eastAsia="DengXian" w:hAnsi="Arial"/>
                <w:sz w:val="20"/>
                <w:szCs w:val="20"/>
                <w:lang w:val="en-GB"/>
              </w:rPr>
              <w:t>(COSTI)</w:t>
            </w:r>
          </w:p>
          <w:p w14:paraId="2E68B7BA" w14:textId="0A32715D" w:rsidR="00C235CA" w:rsidRPr="004F1D15" w:rsidRDefault="00C235CA" w:rsidP="005C0095">
            <w:pPr>
              <w:pStyle w:val="ListParagraph"/>
              <w:numPr>
                <w:ilvl w:val="0"/>
                <w:numId w:val="0"/>
              </w:numPr>
              <w:spacing w:after="0"/>
              <w:ind w:left="36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p>
        </w:tc>
        <w:tc>
          <w:tcPr>
            <w:tcW w:w="3774" w:type="dxa"/>
            <w:gridSpan w:val="2"/>
            <w:tcBorders>
              <w:left w:val="single" w:sz="4" w:space="0" w:color="156082"/>
            </w:tcBorders>
          </w:tcPr>
          <w:p w14:paraId="025D1731" w14:textId="0100F4A0" w:rsidR="00C235CA" w:rsidRPr="004F1D15" w:rsidRDefault="009047DE">
            <w:pPr>
              <w:cnfStyle w:val="000000100000" w:firstRow="0" w:lastRow="0" w:firstColumn="0" w:lastColumn="0" w:oddVBand="0" w:evenVBand="0" w:oddHBand="1" w:evenHBand="0" w:firstRowFirstColumn="0" w:firstRowLastColumn="0" w:lastRowFirstColumn="0" w:lastRowLastColumn="0"/>
              <w:rPr>
                <w:sz w:val="20"/>
                <w:szCs w:val="20"/>
              </w:rPr>
            </w:pPr>
            <w:r w:rsidRPr="009047DE">
              <w:rPr>
                <w:sz w:val="20"/>
                <w:szCs w:val="20"/>
              </w:rPr>
              <w:t>Các thước đo đánh giá tiến độ</w:t>
            </w:r>
            <w:r w:rsidR="00C235CA" w:rsidRPr="004F1D15">
              <w:rPr>
                <w:sz w:val="20"/>
                <w:szCs w:val="20"/>
              </w:rPr>
              <w:t>:</w:t>
            </w:r>
          </w:p>
          <w:p w14:paraId="445BB45D" w14:textId="77777777" w:rsidR="009047DE" w:rsidRPr="009047DE" w:rsidRDefault="009047DE" w:rsidP="009047DE">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bCs/>
                <w:color w:val="auto"/>
                <w:sz w:val="20"/>
                <w:szCs w:val="20"/>
                <w:lang w:val="en-GB"/>
              </w:rPr>
            </w:pPr>
            <w:r w:rsidRPr="009047DE">
              <w:rPr>
                <w:rFonts w:ascii="Arial" w:eastAsia="DengXian" w:hAnsi="Arial"/>
                <w:b/>
                <w:color w:val="auto"/>
                <w:sz w:val="20"/>
                <w:szCs w:val="20"/>
                <w:lang w:val="en-GB"/>
              </w:rPr>
              <w:t xml:space="preserve">Số lượng hội thảo phát triển năng lực khu vực được tổ chức: </w:t>
            </w:r>
            <w:r w:rsidRPr="009047DE">
              <w:rPr>
                <w:rFonts w:ascii="Arial" w:eastAsia="DengXian" w:hAnsi="Arial"/>
                <w:bCs/>
                <w:color w:val="auto"/>
                <w:sz w:val="20"/>
                <w:szCs w:val="20"/>
                <w:lang w:val="en-GB"/>
              </w:rPr>
              <w:t>Theo dõi số hội thảo khu vực được tổ chức thành công trong khung thời gian mục tiêu.</w:t>
            </w:r>
          </w:p>
          <w:p w14:paraId="0D233E56" w14:textId="19201EE8" w:rsidR="009047DE" w:rsidRPr="009047DE" w:rsidRDefault="009047DE" w:rsidP="009047DE">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bCs/>
                <w:color w:val="auto"/>
                <w:sz w:val="20"/>
                <w:szCs w:val="20"/>
                <w:lang w:val="en-GB"/>
              </w:rPr>
            </w:pPr>
            <w:r w:rsidRPr="009047DE">
              <w:rPr>
                <w:rFonts w:ascii="Arial" w:eastAsia="DengXian" w:hAnsi="Arial"/>
                <w:b/>
                <w:color w:val="auto"/>
                <w:sz w:val="20"/>
                <w:szCs w:val="20"/>
                <w:lang w:val="en-GB"/>
              </w:rPr>
              <w:t xml:space="preserve">Đa dạng hóa đối tượng tham gia: </w:t>
            </w:r>
            <w:r w:rsidRPr="009047DE">
              <w:rPr>
                <w:rFonts w:ascii="Arial" w:eastAsia="DengXian" w:hAnsi="Arial"/>
                <w:bCs/>
                <w:color w:val="auto"/>
                <w:sz w:val="20"/>
                <w:szCs w:val="20"/>
                <w:lang w:val="en-GB"/>
              </w:rPr>
              <w:t>Đánh giá mức độ đa dạng của nhóm tham gia (chính phủ, doanh nghiệp, học thuật, xã hội dân sự) nhằm bảo đảm tính bao trùm.</w:t>
            </w:r>
          </w:p>
          <w:p w14:paraId="1C1B27F6" w14:textId="2F60D3B9" w:rsidR="009047DE" w:rsidRPr="009047DE" w:rsidRDefault="009047DE" w:rsidP="009047DE">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b/>
                <w:color w:val="auto"/>
                <w:sz w:val="20"/>
                <w:szCs w:val="20"/>
                <w:lang w:val="en-GB"/>
              </w:rPr>
            </w:pPr>
            <w:r w:rsidRPr="009047DE">
              <w:rPr>
                <w:rFonts w:ascii="Arial" w:eastAsia="DengXian" w:hAnsi="Arial"/>
                <w:b/>
                <w:color w:val="auto"/>
                <w:sz w:val="20"/>
                <w:szCs w:val="20"/>
                <w:lang w:val="en-GB"/>
              </w:rPr>
              <w:t xml:space="preserve">Tác động của hội thảo khu vực: </w:t>
            </w:r>
            <w:r w:rsidRPr="009047DE">
              <w:rPr>
                <w:rFonts w:ascii="Arial" w:eastAsia="DengXian" w:hAnsi="Arial"/>
                <w:bCs/>
                <w:color w:val="auto"/>
                <w:sz w:val="20"/>
                <w:szCs w:val="20"/>
                <w:lang w:val="en-GB"/>
              </w:rPr>
              <w:t>Khuyến nghị triển khai các khảo sát đánh giá trước và sau hội thảo để đo lường mức độ hiệu quả trong truyền đạt kiến thức về AI có trách nhiệm.</w:t>
            </w:r>
          </w:p>
          <w:p w14:paraId="58D8BD1E" w14:textId="5535A30A" w:rsidR="009047DE" w:rsidRPr="009047DE" w:rsidRDefault="009047DE" w:rsidP="009047DE">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bCs/>
                <w:color w:val="auto"/>
                <w:sz w:val="20"/>
                <w:szCs w:val="20"/>
                <w:lang w:val="en-GB"/>
              </w:rPr>
            </w:pPr>
            <w:r w:rsidRPr="009047DE">
              <w:rPr>
                <w:rFonts w:ascii="Arial" w:eastAsia="DengXian" w:hAnsi="Arial"/>
                <w:b/>
                <w:color w:val="auto"/>
                <w:sz w:val="20"/>
                <w:szCs w:val="20"/>
                <w:lang w:val="en-GB"/>
              </w:rPr>
              <w:lastRenderedPageBreak/>
              <w:t xml:space="preserve">Số lượng giảng viên nguồn được đào tạo: </w:t>
            </w:r>
            <w:r w:rsidRPr="009047DE">
              <w:rPr>
                <w:rFonts w:ascii="Arial" w:eastAsia="DengXian" w:hAnsi="Arial"/>
                <w:bCs/>
                <w:color w:val="auto"/>
                <w:sz w:val="20"/>
                <w:szCs w:val="20"/>
                <w:lang w:val="en-GB"/>
              </w:rPr>
              <w:t>Theo dõi số chuyên gia trong nước được đào tạo để có thể tự tổ chức hội thảo.</w:t>
            </w:r>
          </w:p>
          <w:p w14:paraId="4B3A3193" w14:textId="7487DF50" w:rsidR="00C235CA" w:rsidRPr="004F1D15" w:rsidRDefault="009047DE" w:rsidP="009047DE">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9047DE">
              <w:rPr>
                <w:rFonts w:ascii="Arial" w:eastAsia="DengXian" w:hAnsi="Arial"/>
                <w:b/>
                <w:color w:val="auto"/>
                <w:sz w:val="20"/>
                <w:szCs w:val="20"/>
                <w:lang w:val="en-GB"/>
              </w:rPr>
              <w:t xml:space="preserve">Số hội thảo được tổ chức độc lập bởi giảng viên nguồn: </w:t>
            </w:r>
            <w:r w:rsidRPr="009047DE">
              <w:rPr>
                <w:rFonts w:ascii="Arial" w:eastAsia="DengXian" w:hAnsi="Arial"/>
                <w:bCs/>
                <w:color w:val="auto"/>
                <w:sz w:val="20"/>
                <w:szCs w:val="20"/>
                <w:lang w:val="en-GB"/>
              </w:rPr>
              <w:t>Đo lường sự bền vững và mức độ nhân rộng của chương trình</w:t>
            </w:r>
            <w:r w:rsidR="3C65B0F2" w:rsidRPr="009047DE">
              <w:rPr>
                <w:rFonts w:ascii="Arial" w:hAnsi="Arial"/>
                <w:bCs/>
                <w:sz w:val="20"/>
                <w:szCs w:val="20"/>
                <w:lang w:val="en-GB"/>
              </w:rPr>
              <w:t>.</w:t>
            </w:r>
          </w:p>
        </w:tc>
      </w:tr>
    </w:tbl>
    <w:p w14:paraId="59F6C8C9" w14:textId="54592476" w:rsidR="00513FAE" w:rsidRPr="004F1D15" w:rsidRDefault="00513FAE">
      <w:pPr>
        <w:rPr>
          <w:rFonts w:eastAsia="Arial"/>
          <w:color w:val="657C9C" w:themeColor="text2" w:themeTint="BF"/>
          <w:sz w:val="20"/>
          <w:szCs w:val="20"/>
        </w:rPr>
      </w:pPr>
    </w:p>
    <w:p w14:paraId="34A51F80" w14:textId="4D3D5ED4" w:rsidR="00341DF4" w:rsidRPr="004F1D15" w:rsidRDefault="00CB56C1" w:rsidP="00C82E40">
      <w:pPr>
        <w:pStyle w:val="Heading4"/>
        <w:rPr>
          <w:sz w:val="20"/>
          <w:lang w:val="en-GB"/>
        </w:rPr>
      </w:pPr>
      <w:r>
        <w:rPr>
          <w:sz w:val="20"/>
          <w:lang w:val="en-GB"/>
        </w:rPr>
        <w:lastRenderedPageBreak/>
        <w:t>Danh</w:t>
      </w:r>
      <w:r>
        <w:rPr>
          <w:sz w:val="20"/>
          <w:lang w:val="vi-VN"/>
        </w:rPr>
        <w:t xml:space="preserve"> mục</w:t>
      </w:r>
      <w:r w:rsidR="00CC6EE0" w:rsidRPr="004F1D15">
        <w:rPr>
          <w:sz w:val="20"/>
          <w:lang w:val="en-GB"/>
        </w:rPr>
        <w:t xml:space="preserve"> </w:t>
      </w:r>
      <w:r w:rsidR="00341DF4" w:rsidRPr="004F1D15">
        <w:rPr>
          <w:sz w:val="20"/>
          <w:lang w:val="en-GB"/>
        </w:rPr>
        <w:t xml:space="preserve">3: </w:t>
      </w:r>
      <w:r>
        <w:rPr>
          <w:sz w:val="20"/>
          <w:lang w:val="en-GB"/>
        </w:rPr>
        <w:t>Ph</w:t>
      </w:r>
      <w:r>
        <w:rPr>
          <w:sz w:val="20"/>
          <w:lang w:val="vi-VN"/>
        </w:rPr>
        <w:t xml:space="preserve">át triển Hạ tầng </w:t>
      </w:r>
      <w:r w:rsidR="00616696">
        <w:rPr>
          <w:sz w:val="20"/>
          <w:lang w:val="vi-VN"/>
        </w:rPr>
        <w:t>Số</w:t>
      </w:r>
    </w:p>
    <w:tbl>
      <w:tblPr>
        <w:tblStyle w:val="ListTable3-Accent11"/>
        <w:tblW w:w="15314" w:type="dxa"/>
        <w:tblLook w:val="04A0" w:firstRow="1" w:lastRow="0" w:firstColumn="1" w:lastColumn="0" w:noHBand="0" w:noVBand="1"/>
      </w:tblPr>
      <w:tblGrid>
        <w:gridCol w:w="1694"/>
        <w:gridCol w:w="3764"/>
        <w:gridCol w:w="7"/>
        <w:gridCol w:w="3757"/>
        <w:gridCol w:w="15"/>
        <w:gridCol w:w="2303"/>
        <w:gridCol w:w="14"/>
        <w:gridCol w:w="3760"/>
      </w:tblGrid>
      <w:tr w:rsidR="00C235CA" w:rsidRPr="004F1D15" w14:paraId="154E6680" w14:textId="77777777" w:rsidTr="00B120A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4" w:type="dxa"/>
            <w:tcBorders>
              <w:bottom w:val="single" w:sz="4" w:space="0" w:color="156082"/>
            </w:tcBorders>
            <w:shd w:val="clear" w:color="auto" w:fill="002060"/>
          </w:tcPr>
          <w:p w14:paraId="72493197" w14:textId="64D7958D" w:rsidR="00C235CA" w:rsidRPr="004F1D15" w:rsidRDefault="00CB56C1" w:rsidP="00B120AA">
            <w:pPr>
              <w:jc w:val="center"/>
              <w:rPr>
                <w:sz w:val="20"/>
                <w:szCs w:val="20"/>
              </w:rPr>
            </w:pPr>
            <w:r w:rsidRPr="00CB56C1">
              <w:rPr>
                <w:sz w:val="20"/>
                <w:szCs w:val="20"/>
              </w:rPr>
              <w:t>Khu vực hành động</w:t>
            </w:r>
          </w:p>
        </w:tc>
        <w:tc>
          <w:tcPr>
            <w:tcW w:w="3771" w:type="dxa"/>
            <w:gridSpan w:val="2"/>
            <w:shd w:val="clear" w:color="auto" w:fill="002060"/>
          </w:tcPr>
          <w:p w14:paraId="7D00643D" w14:textId="3D44193A" w:rsidR="00C235CA" w:rsidRPr="004F1D15" w:rsidRDefault="00CB56C1" w:rsidP="00B120AA">
            <w:pPr>
              <w:jc w:val="center"/>
              <w:cnfStyle w:val="100000000000" w:firstRow="1" w:lastRow="0" w:firstColumn="0" w:lastColumn="0" w:oddVBand="0" w:evenVBand="0" w:oddHBand="0" w:evenHBand="0" w:firstRowFirstColumn="0" w:firstRowLastColumn="0" w:lastRowFirstColumn="0" w:lastRowLastColumn="0"/>
              <w:rPr>
                <w:sz w:val="20"/>
                <w:szCs w:val="20"/>
              </w:rPr>
            </w:pPr>
            <w:r w:rsidRPr="00CB56C1">
              <w:rPr>
                <w:sz w:val="20"/>
                <w:szCs w:val="20"/>
              </w:rPr>
              <w:t>Lĩnh vực trọng tâm</w:t>
            </w:r>
          </w:p>
        </w:tc>
        <w:tc>
          <w:tcPr>
            <w:tcW w:w="3772" w:type="dxa"/>
            <w:gridSpan w:val="2"/>
            <w:shd w:val="clear" w:color="auto" w:fill="002060"/>
          </w:tcPr>
          <w:p w14:paraId="13127811" w14:textId="7EC53744" w:rsidR="00C235CA" w:rsidRPr="004F1D15" w:rsidRDefault="00CB56C1" w:rsidP="00B120AA">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CB56C1">
              <w:rPr>
                <w:sz w:val="20"/>
                <w:szCs w:val="20"/>
              </w:rPr>
              <w:t>Các mốc dự kiến và khung thời gian tạm tính</w:t>
            </w:r>
            <w:r w:rsidR="00C235CA" w:rsidRPr="004F1D15">
              <w:rPr>
                <w:sz w:val="20"/>
                <w:szCs w:val="20"/>
                <w:vertAlign w:val="superscript"/>
              </w:rPr>
              <w:footnoteReference w:id="362"/>
            </w:r>
          </w:p>
        </w:tc>
        <w:tc>
          <w:tcPr>
            <w:tcW w:w="2317" w:type="dxa"/>
            <w:gridSpan w:val="2"/>
            <w:shd w:val="clear" w:color="auto" w:fill="002060"/>
          </w:tcPr>
          <w:p w14:paraId="4694DA0D" w14:textId="00C8152B" w:rsidR="00C235CA" w:rsidRPr="004F1D15" w:rsidRDefault="00CB56C1" w:rsidP="00B120AA">
            <w:pPr>
              <w:jc w:val="center"/>
              <w:cnfStyle w:val="100000000000" w:firstRow="1" w:lastRow="0" w:firstColumn="0" w:lastColumn="0" w:oddVBand="0" w:evenVBand="0" w:oddHBand="0" w:evenHBand="0" w:firstRowFirstColumn="0" w:firstRowLastColumn="0" w:lastRowFirstColumn="0" w:lastRowLastColumn="0"/>
              <w:rPr>
                <w:sz w:val="20"/>
                <w:szCs w:val="20"/>
              </w:rPr>
            </w:pPr>
            <w:r w:rsidRPr="00CB56C1">
              <w:rPr>
                <w:sz w:val="20"/>
                <w:szCs w:val="20"/>
              </w:rPr>
              <w:t>Các bên chịu trách nhiệm chính</w:t>
            </w:r>
          </w:p>
        </w:tc>
        <w:tc>
          <w:tcPr>
            <w:tcW w:w="3760" w:type="dxa"/>
            <w:shd w:val="clear" w:color="auto" w:fill="002060"/>
          </w:tcPr>
          <w:p w14:paraId="577DEF33" w14:textId="0D0B682E" w:rsidR="00C235CA" w:rsidRPr="004F1D15" w:rsidRDefault="00CB56C1" w:rsidP="00B120AA">
            <w:pPr>
              <w:jc w:val="center"/>
              <w:cnfStyle w:val="100000000000" w:firstRow="1" w:lastRow="0" w:firstColumn="0" w:lastColumn="0" w:oddVBand="0" w:evenVBand="0" w:oddHBand="0" w:evenHBand="0" w:firstRowFirstColumn="0" w:firstRowLastColumn="0" w:lastRowFirstColumn="0" w:lastRowLastColumn="0"/>
              <w:rPr>
                <w:sz w:val="20"/>
                <w:szCs w:val="20"/>
              </w:rPr>
            </w:pPr>
            <w:r w:rsidRPr="00CB56C1">
              <w:rPr>
                <w:sz w:val="20"/>
                <w:szCs w:val="20"/>
              </w:rPr>
              <w:t>Thước đo tiến độ</w:t>
            </w:r>
          </w:p>
        </w:tc>
      </w:tr>
      <w:tr w:rsidR="00C235CA" w:rsidRPr="004F1D15" w14:paraId="0AD09BB2" w14:textId="77777777" w:rsidTr="00B12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shd w:val="clear" w:color="auto" w:fill="00B0F0"/>
            <w:vAlign w:val="center"/>
          </w:tcPr>
          <w:p w14:paraId="7BBEF059" w14:textId="1F470199" w:rsidR="00C235CA" w:rsidRPr="004F1D15" w:rsidRDefault="00CB56C1">
            <w:pPr>
              <w:rPr>
                <w:sz w:val="20"/>
                <w:szCs w:val="20"/>
              </w:rPr>
            </w:pPr>
            <w:r w:rsidRPr="00CB56C1">
              <w:rPr>
                <w:sz w:val="20"/>
                <w:szCs w:val="20"/>
              </w:rPr>
              <w:t>Khu vực hành động chính</w:t>
            </w:r>
          </w:p>
        </w:tc>
        <w:tc>
          <w:tcPr>
            <w:tcW w:w="13620" w:type="dxa"/>
            <w:gridSpan w:val="7"/>
            <w:tcBorders>
              <w:left w:val="single" w:sz="4" w:space="0" w:color="156082"/>
            </w:tcBorders>
            <w:shd w:val="clear" w:color="auto" w:fill="00B0F0"/>
            <w:vAlign w:val="center"/>
          </w:tcPr>
          <w:p w14:paraId="67177AD8" w14:textId="33C77A11" w:rsidR="00C235CA" w:rsidRPr="004F1D15" w:rsidRDefault="00F60BC9">
            <w:pPr>
              <w:cnfStyle w:val="000000100000" w:firstRow="0" w:lastRow="0" w:firstColumn="0" w:lastColumn="0" w:oddVBand="0" w:evenVBand="0" w:oddHBand="1" w:evenHBand="0" w:firstRowFirstColumn="0" w:firstRowLastColumn="0" w:lastRowFirstColumn="0" w:lastRowLastColumn="0"/>
              <w:rPr>
                <w:rFonts w:eastAsiaTheme="minorEastAsia"/>
                <w:b/>
                <w:bCs/>
                <w:sz w:val="20"/>
                <w:szCs w:val="20"/>
              </w:rPr>
            </w:pPr>
            <w:r>
              <w:rPr>
                <w:b/>
                <w:bCs/>
                <w:sz w:val="20"/>
                <w:szCs w:val="20"/>
              </w:rPr>
              <w:t>6.2.11.</w:t>
            </w:r>
            <w:r w:rsidR="00E72E93">
              <w:rPr>
                <w:b/>
                <w:bCs/>
                <w:sz w:val="20"/>
                <w:szCs w:val="20"/>
              </w:rPr>
              <w:t xml:space="preserve">3 </w:t>
            </w:r>
            <w:r w:rsidR="00CB56C1" w:rsidRPr="00CB56C1">
              <w:rPr>
                <w:b/>
                <w:sz w:val="20"/>
                <w:szCs w:val="20"/>
              </w:rPr>
              <w:t>Thúc đẩy Phát triển và Khả năng Tiếp cận Hạ tầng Số và Kết nối Cho Trí tuệ Nhân tạo</w:t>
            </w:r>
          </w:p>
        </w:tc>
      </w:tr>
      <w:tr w:rsidR="00C235CA" w:rsidRPr="004F1D15" w14:paraId="28935643" w14:textId="77777777" w:rsidTr="00B120AA">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156082"/>
              <w:bottom w:val="single" w:sz="4" w:space="0" w:color="156082"/>
              <w:right w:val="single" w:sz="4" w:space="0" w:color="156082"/>
            </w:tcBorders>
            <w:shd w:val="clear" w:color="auto" w:fill="BDD6EE" w:themeFill="accent5" w:themeFillTint="66"/>
            <w:vAlign w:val="center"/>
          </w:tcPr>
          <w:p w14:paraId="7FF1AC5D" w14:textId="6CAD4BDF" w:rsidR="00C235CA" w:rsidRPr="00CB56C1" w:rsidRDefault="00CB56C1">
            <w:pPr>
              <w:rPr>
                <w:sz w:val="20"/>
                <w:szCs w:val="20"/>
                <w:lang w:val="vi-VN"/>
              </w:rPr>
            </w:pPr>
            <w:r>
              <w:rPr>
                <w:sz w:val="20"/>
                <w:szCs w:val="20"/>
              </w:rPr>
              <w:t>M</w:t>
            </w:r>
            <w:r>
              <w:rPr>
                <w:sz w:val="20"/>
                <w:szCs w:val="20"/>
                <w:lang w:val="vi-VN"/>
              </w:rPr>
              <w:t>ục tiêu</w:t>
            </w:r>
          </w:p>
        </w:tc>
        <w:tc>
          <w:tcPr>
            <w:tcW w:w="13620" w:type="dxa"/>
            <w:gridSpan w:val="7"/>
            <w:tcBorders>
              <w:left w:val="single" w:sz="4" w:space="0" w:color="156082"/>
            </w:tcBorders>
            <w:shd w:val="clear" w:color="auto" w:fill="BDD6EE" w:themeFill="accent5" w:themeFillTint="66"/>
            <w:vAlign w:val="center"/>
          </w:tcPr>
          <w:p w14:paraId="5DAEBB96" w14:textId="5487B479" w:rsidR="00D97D6D" w:rsidRPr="00362E28" w:rsidRDefault="00CB56C1"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hAnsi="Arial"/>
                <w:bCs/>
                <w:sz w:val="20"/>
                <w:szCs w:val="20"/>
                <w:lang w:val="en-GB"/>
              </w:rPr>
            </w:pPr>
            <w:r w:rsidRPr="00CB56C1">
              <w:rPr>
                <w:rFonts w:ascii="Arial" w:hAnsi="Arial"/>
                <w:b/>
                <w:sz w:val="20"/>
                <w:szCs w:val="20"/>
                <w:lang w:val="en-GB"/>
              </w:rPr>
              <w:t xml:space="preserve">Thúc đẩy đổi mới sáng tạo và tăng trưởng kinh tế: </w:t>
            </w:r>
            <w:r w:rsidRPr="00362E28">
              <w:rPr>
                <w:rFonts w:ascii="Arial" w:hAnsi="Arial"/>
                <w:bCs/>
                <w:sz w:val="20"/>
                <w:szCs w:val="20"/>
                <w:lang w:val="en-GB"/>
              </w:rPr>
              <w:t>Hạ tầng số và kết nối mạnh mẽ là yếu tố thiết yếu để thúc đẩy phát triển và triển khai công nghệ AI. Việc đầu tư vào mạng băng thông rộng tốc độ cao, các trung tâm dữ liệu và dịch vụ điện toán đám mây giúp tạo dựng một hệ sinh thái thuận lợi nhằm thúc đẩy đổi mới sáng tạo và tăng trưởng kinh tế</w:t>
            </w:r>
            <w:r w:rsidR="00D97D6D" w:rsidRPr="00362E28">
              <w:rPr>
                <w:rFonts w:ascii="Arial" w:hAnsi="Arial"/>
                <w:bCs/>
                <w:sz w:val="20"/>
                <w:szCs w:val="20"/>
                <w:lang w:val="en-GB"/>
              </w:rPr>
              <w:t>.</w:t>
            </w:r>
          </w:p>
          <w:p w14:paraId="135F5D1C" w14:textId="4762EC7F" w:rsidR="00D97D6D" w:rsidRPr="00362E28" w:rsidRDefault="00362E28"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hAnsi="Arial"/>
                <w:bCs/>
                <w:sz w:val="20"/>
                <w:szCs w:val="20"/>
                <w:lang w:val="en-GB"/>
              </w:rPr>
            </w:pPr>
            <w:r w:rsidRPr="00362E28">
              <w:rPr>
                <w:rFonts w:ascii="Arial" w:hAnsi="Arial"/>
                <w:b/>
                <w:sz w:val="20"/>
                <w:szCs w:val="20"/>
                <w:lang w:val="en-GB"/>
              </w:rPr>
              <w:t xml:space="preserve">Đẩy nhanh phát triển AI: </w:t>
            </w:r>
            <w:r w:rsidRPr="00362E28">
              <w:rPr>
                <w:rFonts w:ascii="Arial" w:hAnsi="Arial"/>
                <w:bCs/>
                <w:sz w:val="20"/>
                <w:szCs w:val="20"/>
                <w:lang w:val="en-GB"/>
              </w:rPr>
              <w:t>Tăng tốc độ phát triển AI thông qua việc cung cấp khả năng truy cập đáng tin cậy và bản địa hóa vào hạ tầng và năng lực điện toán hiệu năng cao (High-Performance Computing – HPC), cho phép các nhà phát triển và nhà nghiên cứu xử lý các thách thức AI phức tạp và đẩy nhanh quá trình triển khai AI vào thực tiễn</w:t>
            </w:r>
            <w:r w:rsidR="00D97D6D" w:rsidRPr="00362E28">
              <w:rPr>
                <w:rFonts w:ascii="Arial" w:hAnsi="Arial"/>
                <w:bCs/>
                <w:sz w:val="20"/>
                <w:szCs w:val="20"/>
                <w:lang w:val="en-GB"/>
              </w:rPr>
              <w:t>.</w:t>
            </w:r>
          </w:p>
          <w:p w14:paraId="756E6E88" w14:textId="355EF0A4" w:rsidR="00C235CA" w:rsidRPr="00516087" w:rsidRDefault="00362E28"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hAnsi="Arial"/>
                <w:sz w:val="20"/>
                <w:szCs w:val="20"/>
                <w:lang w:val="en-GB"/>
              </w:rPr>
            </w:pPr>
            <w:r w:rsidRPr="00362E28">
              <w:rPr>
                <w:rFonts w:ascii="Arial" w:hAnsi="Arial"/>
                <w:b/>
                <w:sz w:val="20"/>
                <w:szCs w:val="20"/>
                <w:lang w:val="en-GB"/>
              </w:rPr>
              <w:t xml:space="preserve">Thúc đẩy hòa nhập xã hội và bình đẳng: </w:t>
            </w:r>
            <w:r w:rsidRPr="00362E28">
              <w:rPr>
                <w:rFonts w:ascii="Arial" w:hAnsi="Arial"/>
                <w:bCs/>
                <w:sz w:val="20"/>
                <w:szCs w:val="20"/>
                <w:lang w:val="en-GB"/>
              </w:rPr>
              <w:t>Khả năng tiếp cận hạ tầng số và kết nối là yếu tố thiết yếu để bảo đảm mọi tầng lớp xã hội đều có thể hưởng lợi từ những tiến bộ của AI. Việc mở rộng mạng băng thông rộng tốc độ cao tới các khu vực chưa được phục vụ đầy đủ và các vùng sâu, vùng xa, đồng thời thúc đẩy dịch vụ số giá rẻ và dễ tiếp cận, có thể thu hẹp khoảng cách số và tăng cường hòa nhập</w:t>
            </w:r>
            <w:r w:rsidR="00D97D6D" w:rsidRPr="00362E28">
              <w:rPr>
                <w:rFonts w:ascii="Arial" w:hAnsi="Arial"/>
                <w:bCs/>
                <w:sz w:val="20"/>
                <w:szCs w:val="20"/>
                <w:lang w:val="en-GB"/>
              </w:rPr>
              <w:t>.</w:t>
            </w:r>
            <w:r w:rsidR="00D97D6D" w:rsidRPr="00516087">
              <w:rPr>
                <w:rFonts w:ascii="Arial" w:hAnsi="Arial"/>
                <w:sz w:val="20"/>
                <w:szCs w:val="20"/>
                <w:lang w:val="en-GB"/>
              </w:rPr>
              <w:t xml:space="preserve"> </w:t>
            </w:r>
          </w:p>
        </w:tc>
      </w:tr>
      <w:tr w:rsidR="00C235CA" w:rsidRPr="004F1D15" w14:paraId="7F7B93D4" w14:textId="77777777" w:rsidTr="6BB67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tcPr>
          <w:p w14:paraId="37610FBF" w14:textId="6835E4A8" w:rsidR="00C235CA" w:rsidRPr="004F1D15" w:rsidRDefault="00F60BC9" w:rsidP="00665967">
            <w:pPr>
              <w:rPr>
                <w:sz w:val="20"/>
                <w:szCs w:val="20"/>
              </w:rPr>
            </w:pPr>
            <w:r>
              <w:rPr>
                <w:sz w:val="20"/>
                <w:szCs w:val="20"/>
              </w:rPr>
              <w:t>6.2.11.</w:t>
            </w:r>
            <w:r w:rsidR="00E72E93">
              <w:rPr>
                <w:sz w:val="20"/>
                <w:szCs w:val="20"/>
              </w:rPr>
              <w:t>3</w:t>
            </w:r>
            <w:r w:rsidR="00D97D6D" w:rsidRPr="004F1D15">
              <w:rPr>
                <w:sz w:val="20"/>
                <w:szCs w:val="20"/>
              </w:rPr>
              <w:t xml:space="preserve"> </w:t>
            </w:r>
            <w:r w:rsidR="00CB56C1" w:rsidRPr="00CB56C1">
              <w:rPr>
                <w:sz w:val="20"/>
                <w:szCs w:val="20"/>
              </w:rPr>
              <w:t>Thúc đẩy Phát triển và Khả năng Tiếp cận Hạ tầng Số và Kết nối Cho Trí tuệ Nhân tạo</w:t>
            </w:r>
          </w:p>
        </w:tc>
        <w:tc>
          <w:tcPr>
            <w:tcW w:w="3764" w:type="dxa"/>
            <w:tcBorders>
              <w:left w:val="single" w:sz="4" w:space="0" w:color="156082"/>
              <w:right w:val="single" w:sz="4" w:space="0" w:color="156082"/>
            </w:tcBorders>
          </w:tcPr>
          <w:p w14:paraId="2D71F3BF" w14:textId="5AC224DC" w:rsidR="00D97D6D" w:rsidRPr="00362E28" w:rsidRDefault="00362E28" w:rsidP="001A3881">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hAnsi="Arial"/>
                <w:bCs/>
                <w:sz w:val="20"/>
                <w:szCs w:val="20"/>
                <w:lang w:val="en-GB"/>
              </w:rPr>
            </w:pPr>
            <w:r w:rsidRPr="00362E28">
              <w:rPr>
                <w:rFonts w:ascii="Arial" w:eastAsia="DengXian" w:hAnsi="Arial"/>
                <w:b/>
                <w:sz w:val="20"/>
                <w:szCs w:val="20"/>
                <w:lang w:val="en-GB"/>
              </w:rPr>
              <w:t xml:space="preserve">Nâng cấp hạ tầng ICT, mạng không dây và tốc độ/capacity băng thông rộng: </w:t>
            </w:r>
            <w:r w:rsidRPr="00362E28">
              <w:rPr>
                <w:rFonts w:ascii="Arial" w:eastAsia="DengXian" w:hAnsi="Arial"/>
                <w:bCs/>
                <w:sz w:val="20"/>
                <w:szCs w:val="20"/>
                <w:lang w:val="en-GB"/>
              </w:rPr>
              <w:t>Đầu tư nâng cấp hạ tầng hiện có nhằm hỗ trợ tốc độ và dung lượng cao hơn, bảo đảm kết nối ổn định cho các ứng dụng AI.</w:t>
            </w:r>
          </w:p>
          <w:p w14:paraId="07A0B0A5" w14:textId="3F130E6C" w:rsidR="00D97D6D" w:rsidRPr="00362E28" w:rsidRDefault="00362E28" w:rsidP="00C82E40">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362E28">
              <w:rPr>
                <w:rFonts w:ascii="Arial" w:hAnsi="Arial"/>
                <w:b/>
                <w:bCs/>
                <w:sz w:val="20"/>
                <w:szCs w:val="20"/>
                <w:lang w:val="en-GB"/>
              </w:rPr>
              <w:t xml:space="preserve">Thúc đẩy áp dụng điện toán đám mây: </w:t>
            </w:r>
            <w:r w:rsidRPr="00362E28">
              <w:rPr>
                <w:rFonts w:ascii="Arial" w:hAnsi="Arial"/>
                <w:sz w:val="20"/>
                <w:szCs w:val="20"/>
                <w:lang w:val="en-GB"/>
              </w:rPr>
              <w:t>Khuyến khích áp dụng dịch vụ điện toán đám mây nhằm cung cấp hạ tầng có khả năng mở rộng và tiết kiệm chi phí cho phát triển và triển khai AI</w:t>
            </w:r>
            <w:r w:rsidR="00D97D6D" w:rsidRPr="00362E28">
              <w:rPr>
                <w:rFonts w:ascii="Arial" w:hAnsi="Arial"/>
                <w:sz w:val="20"/>
                <w:szCs w:val="20"/>
                <w:lang w:val="en-GB"/>
              </w:rPr>
              <w:t>.</w:t>
            </w:r>
          </w:p>
          <w:p w14:paraId="59F06950" w14:textId="1B402E91" w:rsidR="00D97D6D" w:rsidRPr="00EB5B31" w:rsidRDefault="00EB5B31" w:rsidP="00F21301">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eastAsia="DengXian" w:hAnsi="Arial"/>
                <w:bCs/>
                <w:color w:val="auto"/>
                <w:sz w:val="20"/>
                <w:szCs w:val="20"/>
                <w:lang w:val="en-GB"/>
              </w:rPr>
            </w:pPr>
            <w:r w:rsidRPr="00EB5B31">
              <w:rPr>
                <w:rFonts w:ascii="Arial" w:hAnsi="Arial"/>
                <w:b/>
                <w:sz w:val="20"/>
                <w:szCs w:val="20"/>
                <w:lang w:val="en-GB"/>
              </w:rPr>
              <w:t xml:space="preserve">Phát triển và nâng cấp trung tâm dữ liệu: </w:t>
            </w:r>
            <w:r w:rsidRPr="00EB5B31">
              <w:rPr>
                <w:rFonts w:ascii="Arial" w:hAnsi="Arial"/>
                <w:bCs/>
                <w:sz w:val="20"/>
                <w:szCs w:val="20"/>
                <w:lang w:val="en-GB"/>
              </w:rPr>
              <w:t xml:space="preserve">Xây dựng và nâng cấp các trung tâm dữ liệu nhằm đáp ứng nhu cầu ngày càng tăng về lưu trữ và xử </w:t>
            </w:r>
            <w:r w:rsidRPr="00EB5B31">
              <w:rPr>
                <w:rFonts w:ascii="Arial" w:hAnsi="Arial"/>
                <w:bCs/>
                <w:sz w:val="20"/>
                <w:szCs w:val="20"/>
                <w:lang w:val="en-GB"/>
              </w:rPr>
              <w:lastRenderedPageBreak/>
              <w:t>lý dữ liệu được tạo ra bởi các ứng dụng AI</w:t>
            </w:r>
            <w:r w:rsidR="00D97D6D" w:rsidRPr="00EB5B31">
              <w:rPr>
                <w:rFonts w:ascii="Arial" w:eastAsia="DengXian" w:hAnsi="Arial"/>
                <w:bCs/>
                <w:color w:val="auto"/>
                <w:sz w:val="20"/>
                <w:szCs w:val="20"/>
                <w:lang w:val="en-GB"/>
              </w:rPr>
              <w:t>.</w:t>
            </w:r>
          </w:p>
          <w:p w14:paraId="75FC97E3" w14:textId="5AF4F6D9" w:rsidR="00C235CA" w:rsidRPr="004F1D15" w:rsidRDefault="00EB5B31" w:rsidP="00C82E40">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sz w:val="20"/>
                <w:szCs w:val="20"/>
                <w:lang w:val="en-GB"/>
              </w:rPr>
            </w:pPr>
            <w:r w:rsidRPr="00EB5B31">
              <w:rPr>
                <w:rFonts w:ascii="Arial" w:hAnsi="Arial"/>
                <w:b/>
                <w:sz w:val="20"/>
                <w:szCs w:val="20"/>
                <w:lang w:val="en-GB"/>
              </w:rPr>
              <w:t xml:space="preserve">Cung cấp khả năng truy cập vào hạ tầng và năng lực điện toán hiệu năng cao: </w:t>
            </w:r>
            <w:r w:rsidRPr="00EB5B31">
              <w:rPr>
                <w:rFonts w:ascii="Arial" w:hAnsi="Arial"/>
                <w:bCs/>
                <w:sz w:val="20"/>
                <w:szCs w:val="20"/>
                <w:lang w:val="en-GB"/>
              </w:rPr>
              <w:t>Đầu tư thiết lập và mở rộng hạ tầng HPC để cung cấp năng lực tính toán tiên tiến cần thiết cho đổi mới AI</w:t>
            </w:r>
            <w:r w:rsidR="00D97D6D" w:rsidRPr="00EB5B31">
              <w:rPr>
                <w:rFonts w:ascii="Arial" w:hAnsi="Arial"/>
                <w:bCs/>
                <w:sz w:val="20"/>
                <w:szCs w:val="20"/>
                <w:lang w:val="en-GB"/>
              </w:rPr>
              <w:t>.</w:t>
            </w:r>
          </w:p>
        </w:tc>
        <w:tc>
          <w:tcPr>
            <w:tcW w:w="3764" w:type="dxa"/>
            <w:gridSpan w:val="2"/>
            <w:tcBorders>
              <w:left w:val="single" w:sz="4" w:space="0" w:color="156082"/>
              <w:right w:val="single" w:sz="4" w:space="0" w:color="156082"/>
            </w:tcBorders>
          </w:tcPr>
          <w:p w14:paraId="3979974D" w14:textId="2CE07D0C" w:rsidR="00D97D6D" w:rsidRPr="004F1D15" w:rsidRDefault="00EB5B31" w:rsidP="00D97D6D">
            <w:pPr>
              <w:cnfStyle w:val="000000100000" w:firstRow="0" w:lastRow="0" w:firstColumn="0" w:lastColumn="0" w:oddVBand="0" w:evenVBand="0" w:oddHBand="1" w:evenHBand="0" w:firstRowFirstColumn="0" w:firstRowLastColumn="0" w:lastRowFirstColumn="0" w:lastRowLastColumn="0"/>
              <w:rPr>
                <w:sz w:val="20"/>
                <w:szCs w:val="20"/>
              </w:rPr>
            </w:pPr>
            <w:r w:rsidRPr="00EB5B31">
              <w:rPr>
                <w:sz w:val="20"/>
                <w:szCs w:val="20"/>
              </w:rPr>
              <w:lastRenderedPageBreak/>
              <w:t xml:space="preserve">Ngắn </w:t>
            </w:r>
            <w:r>
              <w:rPr>
                <w:sz w:val="20"/>
                <w:szCs w:val="20"/>
              </w:rPr>
              <w:t>hạn</w:t>
            </w:r>
            <w:r>
              <w:rPr>
                <w:sz w:val="20"/>
                <w:szCs w:val="20"/>
                <w:lang w:val="vi-VN"/>
              </w:rPr>
              <w:t>:</w:t>
            </w:r>
            <w:r w:rsidR="00D97D6D" w:rsidRPr="004F1D15">
              <w:rPr>
                <w:sz w:val="20"/>
                <w:szCs w:val="20"/>
              </w:rPr>
              <w:t xml:space="preserve"> </w:t>
            </w:r>
          </w:p>
          <w:p w14:paraId="49E35C4D" w14:textId="77777777" w:rsidR="00EB5B31" w:rsidRPr="00EB5B31" w:rsidRDefault="00EB5B31" w:rsidP="00EB5B31">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EB5B31">
              <w:rPr>
                <w:rFonts w:ascii="Arial" w:eastAsia="DengXian" w:hAnsi="Arial"/>
                <w:sz w:val="20"/>
                <w:szCs w:val="20"/>
                <w:lang w:val="en-GB"/>
              </w:rPr>
              <w:t>Đánh giá hiện trạng hạ tầng băng thông rộng để xác định các khu vực cần nâng cấp ngay về tốc độ và dung lượng.</w:t>
            </w:r>
          </w:p>
          <w:p w14:paraId="3258C40D" w14:textId="7AAE7B4E" w:rsidR="00EB5B31" w:rsidRPr="00EB5B31" w:rsidRDefault="00EB5B31" w:rsidP="00EB5B31">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EB5B31">
              <w:rPr>
                <w:rFonts w:ascii="Arial" w:eastAsia="DengXian" w:hAnsi="Arial"/>
                <w:sz w:val="20"/>
                <w:szCs w:val="20"/>
                <w:lang w:val="en-GB"/>
              </w:rPr>
              <w:t>Đánh giá mức độ sẵn sàng của các trung tâm dữ liệu hiện tại trong việc hỗ trợ nhu cầu xử lý dữ liệu tăng cao.</w:t>
            </w:r>
          </w:p>
          <w:p w14:paraId="1265E48B" w14:textId="0594080E" w:rsidR="00EB5B31" w:rsidRPr="00EB5B31" w:rsidRDefault="00EB5B31" w:rsidP="00EB5B31">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EB5B31">
              <w:rPr>
                <w:rFonts w:ascii="Arial" w:eastAsia="DengXian" w:hAnsi="Arial"/>
                <w:sz w:val="20"/>
                <w:szCs w:val="20"/>
                <w:lang w:val="en-GB"/>
              </w:rPr>
              <w:t>Khởi động các dự án thí điểm nhằm thử nghiệm nâng cấp tại một số khu vực, tập trung vào cải thiện tốc độ và dung lượng băng thông rộng.</w:t>
            </w:r>
          </w:p>
          <w:p w14:paraId="69FD565A" w14:textId="479BCB13" w:rsidR="00EB5B31" w:rsidRPr="00EB5B31" w:rsidRDefault="00EB5B31" w:rsidP="00EB5B31">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EB5B31">
              <w:rPr>
                <w:rFonts w:ascii="Arial" w:eastAsia="DengXian" w:hAnsi="Arial"/>
                <w:sz w:val="20"/>
                <w:szCs w:val="20"/>
                <w:lang w:val="en-GB"/>
              </w:rPr>
              <w:t xml:space="preserve">Khảo sát khả năng triển khai điện toán đám mây cho các ứng dụng AI </w:t>
            </w:r>
            <w:r w:rsidRPr="00EB5B31">
              <w:rPr>
                <w:rFonts w:ascii="Arial" w:eastAsia="DengXian" w:hAnsi="Arial"/>
                <w:sz w:val="20"/>
                <w:szCs w:val="20"/>
                <w:lang w:val="en-GB"/>
              </w:rPr>
              <w:lastRenderedPageBreak/>
              <w:t>quy mô nhỏ để đánh giá tính khả thi và lợi ích.</w:t>
            </w:r>
          </w:p>
          <w:p w14:paraId="0F267E30" w14:textId="794922DF" w:rsidR="00D97D6D" w:rsidRPr="00516087" w:rsidRDefault="00EB5B31" w:rsidP="00EB5B31">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EB5B31">
              <w:rPr>
                <w:rFonts w:ascii="Arial" w:eastAsia="DengXian" w:hAnsi="Arial"/>
                <w:sz w:val="20"/>
                <w:szCs w:val="20"/>
                <w:lang w:val="en-GB"/>
              </w:rPr>
              <w:t>Đánh giá tình trạng hiện tại của hạ tầng HPC và xác định khoảng trống về khả năng tiếp cận và phục vụ cho nghiên cứu/phát triển AI</w:t>
            </w:r>
            <w:r w:rsidR="00D97D6D" w:rsidRPr="00516087">
              <w:rPr>
                <w:rFonts w:ascii="Arial" w:eastAsia="DengXian" w:hAnsi="Arial"/>
                <w:color w:val="auto"/>
                <w:sz w:val="20"/>
                <w:szCs w:val="20"/>
                <w:lang w:val="en-GB"/>
              </w:rPr>
              <w:t>.</w:t>
            </w:r>
          </w:p>
          <w:p w14:paraId="52C3BF4B" w14:textId="3EBDCFAF" w:rsidR="00D97D6D" w:rsidRPr="004F1D15" w:rsidRDefault="00EB5B31" w:rsidP="00D97D6D">
            <w:pPr>
              <w:cnfStyle w:val="000000100000" w:firstRow="0" w:lastRow="0" w:firstColumn="0" w:lastColumn="0" w:oddVBand="0" w:evenVBand="0" w:oddHBand="1" w:evenHBand="0" w:firstRowFirstColumn="0" w:firstRowLastColumn="0" w:lastRowFirstColumn="0" w:lastRowLastColumn="0"/>
              <w:rPr>
                <w:sz w:val="20"/>
                <w:szCs w:val="20"/>
              </w:rPr>
            </w:pPr>
            <w:r w:rsidRPr="00EB5B31">
              <w:rPr>
                <w:sz w:val="20"/>
                <w:szCs w:val="20"/>
              </w:rPr>
              <w:t>Trung hạn</w:t>
            </w:r>
            <w:r w:rsidR="00D97D6D" w:rsidRPr="004F1D15">
              <w:rPr>
                <w:sz w:val="20"/>
                <w:szCs w:val="20"/>
              </w:rPr>
              <w:t>:</w:t>
            </w:r>
          </w:p>
          <w:p w14:paraId="18A315C6" w14:textId="77777777" w:rsidR="00EB5B31" w:rsidRPr="00EB5B31" w:rsidRDefault="00EB5B31" w:rsidP="00EB5B31">
            <w:pPr>
              <w:pStyle w:val="ListParagraph"/>
              <w:numPr>
                <w:ilvl w:val="0"/>
                <w:numId w:val="28"/>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EB5B31">
              <w:rPr>
                <w:rFonts w:ascii="Arial" w:eastAsia="DengXian" w:hAnsi="Arial"/>
                <w:sz w:val="20"/>
                <w:szCs w:val="20"/>
                <w:lang w:val="en-GB"/>
              </w:rPr>
              <w:t>Bắt đầu nâng cấp quy mô lớn đối với hạ tầng băng thông rộng nhằm tăng tốc độ và dung lượng trên toàn các khu vực ASEAN.</w:t>
            </w:r>
          </w:p>
          <w:p w14:paraId="438702CE" w14:textId="4538D6AC" w:rsidR="00EB5B31" w:rsidRPr="00EB5B31" w:rsidRDefault="00EB5B31" w:rsidP="00EB5B31">
            <w:pPr>
              <w:pStyle w:val="ListParagraph"/>
              <w:numPr>
                <w:ilvl w:val="0"/>
                <w:numId w:val="28"/>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EB5B31">
              <w:rPr>
                <w:rFonts w:ascii="Arial" w:eastAsia="DengXian" w:hAnsi="Arial"/>
                <w:sz w:val="20"/>
                <w:szCs w:val="20"/>
                <w:lang w:val="en-GB"/>
              </w:rPr>
              <w:t>Tiến hành phát triển các trung tâm dữ liệu mới và nâng cấp các cơ sở hiện có nhằm đáp ứng yêu cầu ngày càng tăng về lưu trữ và xử lý dữ liệu.</w:t>
            </w:r>
          </w:p>
          <w:p w14:paraId="2D836351" w14:textId="4B18EB7A" w:rsidR="00EB5B31" w:rsidRPr="00EB5B31" w:rsidRDefault="00EB5B31" w:rsidP="00EB5B31">
            <w:pPr>
              <w:pStyle w:val="ListParagraph"/>
              <w:numPr>
                <w:ilvl w:val="0"/>
                <w:numId w:val="28"/>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EB5B31">
              <w:rPr>
                <w:rFonts w:ascii="Arial" w:eastAsia="DengXian" w:hAnsi="Arial"/>
                <w:sz w:val="20"/>
                <w:szCs w:val="20"/>
                <w:lang w:val="en-GB"/>
              </w:rPr>
              <w:t>Triển khai các biện pháp nhằm bảo đảm an ninh dữ liệu tại trung tâm dữ liệu và tuân thủ các tiêu chuẩn quản trị AI.</w:t>
            </w:r>
          </w:p>
          <w:p w14:paraId="38FBD21B" w14:textId="411C124B" w:rsidR="00D97D6D" w:rsidRPr="004F1D15" w:rsidRDefault="00EB5B31" w:rsidP="00EB5B31">
            <w:pPr>
              <w:pStyle w:val="ListParagraph"/>
              <w:numPr>
                <w:ilvl w:val="0"/>
                <w:numId w:val="28"/>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b/>
                <w:bCs/>
                <w:sz w:val="20"/>
                <w:szCs w:val="20"/>
                <w:lang w:val="en-GB"/>
              </w:rPr>
            </w:pPr>
            <w:r w:rsidRPr="00EB5B31">
              <w:rPr>
                <w:rFonts w:ascii="Arial" w:eastAsia="DengXian" w:hAnsi="Arial"/>
                <w:sz w:val="20"/>
                <w:szCs w:val="20"/>
                <w:lang w:val="en-GB"/>
              </w:rPr>
              <w:t>Khởi động quá trình mở rộng hạ tầng HPC thông qua huy động vốn và triển khai các dự án xây dựng hoặc mua sắm cho các cơ sở mới hoặc nâng cấp</w:t>
            </w:r>
            <w:r w:rsidR="00D97D6D" w:rsidRPr="004F1D15">
              <w:rPr>
                <w:rFonts w:ascii="Arial" w:eastAsia="DengXian" w:hAnsi="Arial"/>
                <w:sz w:val="20"/>
                <w:szCs w:val="20"/>
                <w:lang w:val="en-GB"/>
              </w:rPr>
              <w:t>.</w:t>
            </w:r>
          </w:p>
          <w:p w14:paraId="2FB81E31" w14:textId="7E049BCE" w:rsidR="00D97D6D" w:rsidRPr="004F1D15" w:rsidRDefault="00B64AD2" w:rsidP="00D97D6D">
            <w:pPr>
              <w:cnfStyle w:val="000000100000" w:firstRow="0" w:lastRow="0" w:firstColumn="0" w:lastColumn="0" w:oddVBand="0" w:evenVBand="0" w:oddHBand="1" w:evenHBand="0" w:firstRowFirstColumn="0" w:firstRowLastColumn="0" w:lastRowFirstColumn="0" w:lastRowLastColumn="0"/>
              <w:rPr>
                <w:sz w:val="20"/>
                <w:szCs w:val="20"/>
              </w:rPr>
            </w:pPr>
            <w:r w:rsidRPr="00B64AD2">
              <w:rPr>
                <w:sz w:val="20"/>
                <w:szCs w:val="20"/>
              </w:rPr>
              <w:t>Dài hạn</w:t>
            </w:r>
            <w:r w:rsidR="00D97D6D" w:rsidRPr="004F1D15">
              <w:rPr>
                <w:sz w:val="20"/>
                <w:szCs w:val="20"/>
              </w:rPr>
              <w:t>:</w:t>
            </w:r>
          </w:p>
          <w:p w14:paraId="6F341EBA" w14:textId="0AFF34F3" w:rsidR="00B64AD2" w:rsidRPr="00B64AD2" w:rsidRDefault="00B64AD2" w:rsidP="00B64AD2">
            <w:pPr>
              <w:pStyle w:val="ListParagraph"/>
              <w:numPr>
                <w:ilvl w:val="0"/>
                <w:numId w:val="28"/>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Pr>
                <w:rFonts w:ascii="Arial" w:eastAsia="DengXian" w:hAnsi="Arial"/>
                <w:sz w:val="20"/>
                <w:szCs w:val="20"/>
                <w:lang w:val="en-GB"/>
              </w:rPr>
              <w:t>H</w:t>
            </w:r>
            <w:r w:rsidRPr="00B64AD2">
              <w:rPr>
                <w:rFonts w:ascii="Arial" w:eastAsia="DengXian" w:hAnsi="Arial"/>
                <w:sz w:val="20"/>
                <w:szCs w:val="20"/>
                <w:lang w:val="en-GB"/>
              </w:rPr>
              <w:t>oàn thành nâng cấp toàn diện hạ tầng băng thông rộng, đạt được mức kết nối tốc độ cao đồng đều trên tất cả các quốc gia ASEAN.</w:t>
            </w:r>
          </w:p>
          <w:p w14:paraId="3D8BB7FC" w14:textId="7BAFFA0B" w:rsidR="00B64AD2" w:rsidRPr="00B64AD2" w:rsidRDefault="00B64AD2" w:rsidP="00B64AD2">
            <w:pPr>
              <w:pStyle w:val="ListParagraph"/>
              <w:numPr>
                <w:ilvl w:val="0"/>
                <w:numId w:val="28"/>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B64AD2">
              <w:rPr>
                <w:rFonts w:ascii="Arial" w:eastAsia="DengXian" w:hAnsi="Arial"/>
                <w:sz w:val="20"/>
                <w:szCs w:val="20"/>
                <w:lang w:val="en-GB"/>
              </w:rPr>
              <w:t xml:space="preserve">Triển khai các biện pháp bảo đảm quyền tiếp cận bình đẳng đối với dịch vụ băng thông rộng nâng cấp, </w:t>
            </w:r>
            <w:r w:rsidRPr="00B64AD2">
              <w:rPr>
                <w:rFonts w:ascii="Arial" w:eastAsia="DengXian" w:hAnsi="Arial"/>
                <w:sz w:val="20"/>
                <w:szCs w:val="20"/>
                <w:lang w:val="en-GB"/>
              </w:rPr>
              <w:lastRenderedPageBreak/>
              <w:t>đặc biệt là ở các khu vực chưa được phục vụ hoặc vùng sâu, vùng xa.</w:t>
            </w:r>
          </w:p>
          <w:p w14:paraId="341E2679" w14:textId="36362E65" w:rsidR="00B64AD2" w:rsidRPr="00B64AD2" w:rsidRDefault="00B64AD2" w:rsidP="00B64AD2">
            <w:pPr>
              <w:pStyle w:val="ListParagraph"/>
              <w:numPr>
                <w:ilvl w:val="0"/>
                <w:numId w:val="28"/>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B64AD2">
              <w:rPr>
                <w:rFonts w:ascii="Arial" w:eastAsia="DengXian" w:hAnsi="Arial"/>
                <w:sz w:val="20"/>
                <w:szCs w:val="20"/>
                <w:lang w:val="en-GB"/>
              </w:rPr>
              <w:t>Tích hợp đầy đủ dịch vụ điện toán đám mây vào các chiến lược phát triển và triển khai AI, tận dụng hạ tầng có khả năng mở rộng và tối ưu chi phí.</w:t>
            </w:r>
          </w:p>
          <w:p w14:paraId="03B6C754" w14:textId="15F1B813" w:rsidR="00B64AD2" w:rsidRPr="00B64AD2" w:rsidRDefault="00B64AD2" w:rsidP="00B64AD2">
            <w:pPr>
              <w:pStyle w:val="ListParagraph"/>
              <w:numPr>
                <w:ilvl w:val="0"/>
                <w:numId w:val="28"/>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B64AD2">
              <w:rPr>
                <w:rFonts w:ascii="Arial" w:eastAsia="DengXian" w:hAnsi="Arial"/>
                <w:sz w:val="20"/>
                <w:szCs w:val="20"/>
                <w:lang w:val="en-GB"/>
              </w:rPr>
              <w:t>Mở rộng dung lượng trung tâm dữ liệu nhằm đáp ứng nhu cầu lưu trữ và xử lý dữ liệu ngày càng tăng do các ứng dụng AI tạo ra.</w:t>
            </w:r>
          </w:p>
          <w:p w14:paraId="092D7199" w14:textId="18845F12" w:rsidR="00C235CA" w:rsidRPr="004F1D15" w:rsidRDefault="00B64AD2" w:rsidP="00B64AD2">
            <w:pPr>
              <w:pStyle w:val="ListParagraph"/>
              <w:numPr>
                <w:ilvl w:val="0"/>
                <w:numId w:val="28"/>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B64AD2">
              <w:rPr>
                <w:rFonts w:ascii="Arial" w:eastAsia="DengXian" w:hAnsi="Arial"/>
                <w:sz w:val="20"/>
                <w:szCs w:val="20"/>
                <w:lang w:val="en-GB"/>
              </w:rPr>
              <w:t>Triển khai và hoàn thành xây dựng hoặc nâng cấp các cơ sở HPC, bảo đảm chúng đáp ứng các thông số kỹ thuật cần thiết để hỗ trợ nghiên cứu và phát triển AI</w:t>
            </w:r>
            <w:r w:rsidR="00D97D6D" w:rsidRPr="004F1D15">
              <w:rPr>
                <w:rFonts w:ascii="Arial" w:eastAsia="DengXian" w:hAnsi="Arial"/>
                <w:sz w:val="20"/>
                <w:szCs w:val="20"/>
                <w:lang w:val="en-GB"/>
              </w:rPr>
              <w:t>.</w:t>
            </w:r>
          </w:p>
        </w:tc>
        <w:tc>
          <w:tcPr>
            <w:tcW w:w="2318" w:type="dxa"/>
            <w:gridSpan w:val="2"/>
            <w:tcBorders>
              <w:left w:val="single" w:sz="4" w:space="0" w:color="156082"/>
              <w:right w:val="single" w:sz="4" w:space="0" w:color="156082"/>
            </w:tcBorders>
          </w:tcPr>
          <w:p w14:paraId="2F6BB21B" w14:textId="34725B64" w:rsidR="00C235CA" w:rsidRPr="004F1D15" w:rsidRDefault="00B64AD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lang w:val="vi-VN"/>
              </w:rPr>
              <w:lastRenderedPageBreak/>
              <w:t>Cơ Quan điều phối</w:t>
            </w:r>
            <w:r w:rsidR="1009E553" w:rsidRPr="004F1D15">
              <w:rPr>
                <w:sz w:val="20"/>
                <w:szCs w:val="20"/>
              </w:rPr>
              <w:t>:</w:t>
            </w:r>
          </w:p>
          <w:p w14:paraId="454BBBF0" w14:textId="7A8B4F61" w:rsidR="001D6ACD" w:rsidRDefault="00B64AD2" w:rsidP="000E3408">
            <w:pPr>
              <w:pStyle w:val="ListParagraph"/>
              <w:numPr>
                <w:ilvl w:val="0"/>
                <w:numId w:val="28"/>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B64AD2">
              <w:rPr>
                <w:rFonts w:ascii="Arial" w:eastAsia="DengXian" w:hAnsi="Arial"/>
                <w:sz w:val="20"/>
                <w:szCs w:val="20"/>
                <w:lang w:val="en-GB"/>
              </w:rPr>
              <w:t xml:space="preserve">Nhóm Công tác ASEAN về Trí tuệ Nhân tạo </w:t>
            </w:r>
            <w:r w:rsidR="001D6ACD">
              <w:rPr>
                <w:rFonts w:ascii="Arial" w:eastAsia="DengXian" w:hAnsi="Arial"/>
                <w:sz w:val="20"/>
                <w:szCs w:val="20"/>
                <w:lang w:val="en-GB"/>
              </w:rPr>
              <w:t>(AI-WG)</w:t>
            </w:r>
            <w:r w:rsidR="0059724A">
              <w:rPr>
                <w:rFonts w:ascii="Arial" w:eastAsia="DengXian" w:hAnsi="Arial"/>
                <w:sz w:val="20"/>
                <w:szCs w:val="20"/>
                <w:lang w:val="en-GB"/>
              </w:rPr>
              <w:br/>
            </w:r>
          </w:p>
          <w:p w14:paraId="06B3CC1F" w14:textId="23EDB25A" w:rsidR="0059724A" w:rsidRPr="0059724A" w:rsidRDefault="00B64AD2" w:rsidP="0059724A">
            <w:pPr>
              <w:cnfStyle w:val="000000100000" w:firstRow="0" w:lastRow="0" w:firstColumn="0" w:lastColumn="0" w:oddVBand="0" w:evenVBand="0" w:oddHBand="1" w:evenHBand="0" w:firstRowFirstColumn="0" w:firstRowLastColumn="0" w:lastRowFirstColumn="0" w:lastRowLastColumn="0"/>
              <w:rPr>
                <w:sz w:val="20"/>
                <w:szCs w:val="20"/>
              </w:rPr>
            </w:pPr>
            <w:r w:rsidRPr="00B64AD2">
              <w:rPr>
                <w:sz w:val="20"/>
                <w:szCs w:val="20"/>
              </w:rPr>
              <w:t>Cơ quan phối hợp</w:t>
            </w:r>
            <w:r w:rsidR="0059724A">
              <w:rPr>
                <w:sz w:val="20"/>
                <w:szCs w:val="20"/>
              </w:rPr>
              <w:t xml:space="preserve">: </w:t>
            </w:r>
          </w:p>
          <w:p w14:paraId="5108B701" w14:textId="1B7F592E" w:rsidR="001D6ACD" w:rsidRDefault="00B64AD2" w:rsidP="000E3408">
            <w:pPr>
              <w:pStyle w:val="ListParagraph"/>
              <w:numPr>
                <w:ilvl w:val="0"/>
                <w:numId w:val="28"/>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B64AD2">
              <w:rPr>
                <w:rFonts w:ascii="Arial" w:eastAsia="DengXian" w:hAnsi="Arial"/>
                <w:sz w:val="20"/>
                <w:szCs w:val="20"/>
                <w:lang w:val="en-GB"/>
              </w:rPr>
              <w:t xml:space="preserve">Ủy ban Khoa học, Công nghệ và Đổi mới sáng tạo của ASEAN </w:t>
            </w:r>
            <w:r w:rsidR="001D6ACD" w:rsidRPr="00B3170C">
              <w:rPr>
                <w:rFonts w:ascii="Arial" w:eastAsia="DengXian" w:hAnsi="Arial"/>
                <w:sz w:val="20"/>
                <w:szCs w:val="20"/>
                <w:lang w:val="en-GB"/>
              </w:rPr>
              <w:t>(COSTI)</w:t>
            </w:r>
          </w:p>
          <w:p w14:paraId="519C8023" w14:textId="5DC5F848" w:rsidR="00C235CA" w:rsidRPr="004F1D15" w:rsidRDefault="00C235CA" w:rsidP="001D6ACD">
            <w:pPr>
              <w:pStyle w:val="ListParagraph"/>
              <w:numPr>
                <w:ilvl w:val="0"/>
                <w:numId w:val="0"/>
              </w:numPr>
              <w:spacing w:after="0"/>
              <w:ind w:left="36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p>
        </w:tc>
        <w:tc>
          <w:tcPr>
            <w:tcW w:w="3774" w:type="dxa"/>
            <w:gridSpan w:val="2"/>
            <w:tcBorders>
              <w:left w:val="single" w:sz="4" w:space="0" w:color="156082"/>
            </w:tcBorders>
          </w:tcPr>
          <w:p w14:paraId="7BEC9FBE" w14:textId="79899A40" w:rsidR="00C235CA" w:rsidRPr="004F1D15" w:rsidRDefault="00B64AD2">
            <w:pPr>
              <w:cnfStyle w:val="000000100000" w:firstRow="0" w:lastRow="0" w:firstColumn="0" w:lastColumn="0" w:oddVBand="0" w:evenVBand="0" w:oddHBand="1" w:evenHBand="0" w:firstRowFirstColumn="0" w:firstRowLastColumn="0" w:lastRowFirstColumn="0" w:lastRowLastColumn="0"/>
              <w:rPr>
                <w:sz w:val="20"/>
                <w:szCs w:val="20"/>
              </w:rPr>
            </w:pPr>
            <w:r w:rsidRPr="00B64AD2">
              <w:rPr>
                <w:sz w:val="20"/>
                <w:szCs w:val="20"/>
              </w:rPr>
              <w:t>Các thước đo đánh giá tiến độ</w:t>
            </w:r>
            <w:r w:rsidR="00C235CA" w:rsidRPr="004F1D15">
              <w:rPr>
                <w:sz w:val="20"/>
                <w:szCs w:val="20"/>
              </w:rPr>
              <w:t>:</w:t>
            </w:r>
          </w:p>
          <w:p w14:paraId="67D858A2" w14:textId="524666AB" w:rsidR="00BB70EE" w:rsidRPr="00BB70EE" w:rsidRDefault="00BB70EE" w:rsidP="00BB70EE">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BB70EE">
              <w:rPr>
                <w:rFonts w:ascii="Arial" w:hAnsi="Arial"/>
                <w:b/>
                <w:bCs/>
                <w:sz w:val="20"/>
                <w:szCs w:val="20"/>
                <w:lang w:val="en-GB"/>
              </w:rPr>
              <w:t xml:space="preserve">Tỷ lệ phần trăm mở rộng phạm vi phủ sóng băng thông rộng: </w:t>
            </w:r>
            <w:r w:rsidRPr="00BB70EE">
              <w:rPr>
                <w:rFonts w:ascii="Arial" w:hAnsi="Arial"/>
                <w:sz w:val="20"/>
                <w:szCs w:val="20"/>
                <w:lang w:val="en-GB"/>
              </w:rPr>
              <w:t>Đo lường mức mở rộng khả năng tiếp cận internet băng thông rộng tại các khu vực trước đây chưa được phục vụ bằng cách tính tỷ lệ phần trăm tăng trưởng theo thời gian.</w:t>
            </w:r>
          </w:p>
          <w:p w14:paraId="67DC6612" w14:textId="09EE2855" w:rsidR="00BB70EE" w:rsidRPr="00BB70EE" w:rsidRDefault="00BB70EE" w:rsidP="00BB70EE">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BB70EE">
              <w:rPr>
                <w:rFonts w:ascii="Arial" w:hAnsi="Arial"/>
                <w:b/>
                <w:bCs/>
                <w:sz w:val="20"/>
                <w:szCs w:val="20"/>
                <w:lang w:val="en-GB"/>
              </w:rPr>
              <w:t xml:space="preserve">Mở rộng trung tâm dữ liệu: </w:t>
            </w:r>
            <w:r w:rsidRPr="00BB70EE">
              <w:rPr>
                <w:rFonts w:ascii="Arial" w:hAnsi="Arial"/>
                <w:sz w:val="20"/>
                <w:szCs w:val="20"/>
                <w:lang w:val="en-GB"/>
              </w:rPr>
              <w:t>Theo dõi số lượng trung tâm dữ liệu được xây mới hoặc nâng cấp nhằm đáp ứng nhu cầu lưu trữ và xử lý dữ liệu. Đánh giá tiến độ thông qua các dự án xây dựng hoàn thành, mở rộng dung lượng lưu trữ và nâng cấp hạ tầng.</w:t>
            </w:r>
          </w:p>
          <w:p w14:paraId="1CF7407F" w14:textId="744795C8" w:rsidR="00BB70EE" w:rsidRPr="00BB70EE" w:rsidRDefault="00BB70EE" w:rsidP="00BB70EE">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Pr>
                <w:rFonts w:ascii="Arial" w:hAnsi="Arial"/>
                <w:b/>
                <w:bCs/>
                <w:sz w:val="20"/>
                <w:szCs w:val="20"/>
                <w:lang w:val="en-GB"/>
              </w:rPr>
              <w:lastRenderedPageBreak/>
              <w:t>T</w:t>
            </w:r>
            <w:r w:rsidRPr="00BB70EE">
              <w:rPr>
                <w:rFonts w:ascii="Arial" w:hAnsi="Arial"/>
                <w:b/>
                <w:bCs/>
                <w:sz w:val="20"/>
                <w:szCs w:val="20"/>
                <w:lang w:val="en-GB"/>
              </w:rPr>
              <w:t xml:space="preserve">ỷ lệ áp dụng điện toán đám mây: </w:t>
            </w:r>
            <w:r w:rsidRPr="00BB70EE">
              <w:rPr>
                <w:rFonts w:ascii="Arial" w:hAnsi="Arial"/>
                <w:sz w:val="20"/>
                <w:szCs w:val="20"/>
                <w:lang w:val="en-GB"/>
              </w:rPr>
              <w:t>Đánh giá mức độ áp dụng dịch vụ điện toán đám mây của các tổ chức. Theo dõi sự chuyển dịch vận hành sang nền tảng đám mây, mức tăng trưởng dữ liệu và khối lượng công việc được lưu trữ, cùng các khoản tiết kiệm chi phí và tối ưu hóa đạt được.</w:t>
            </w:r>
          </w:p>
          <w:p w14:paraId="37B11AF6" w14:textId="0F749E47" w:rsidR="00BB70EE" w:rsidRPr="00BB70EE" w:rsidRDefault="00BB70EE" w:rsidP="00BB70EE">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BB70EE">
              <w:rPr>
                <w:rFonts w:ascii="Arial" w:hAnsi="Arial"/>
                <w:b/>
                <w:bCs/>
                <w:sz w:val="20"/>
                <w:szCs w:val="20"/>
                <w:lang w:val="en-GB"/>
              </w:rPr>
              <w:t xml:space="preserve">Tỷ lệ sử dụng hạ tầng HPC: </w:t>
            </w:r>
            <w:r w:rsidRPr="00BB70EE">
              <w:rPr>
                <w:rFonts w:ascii="Arial" w:hAnsi="Arial"/>
                <w:sz w:val="20"/>
                <w:szCs w:val="20"/>
                <w:lang w:val="en-GB"/>
              </w:rPr>
              <w:t>Theo dõi tỷ lệ sử dụng hạ tầng HPC, qua đó đánh giá mức độ khai thác hiệu quả nguồn lực phục vụ nghiên cứu và phát triển AI.</w:t>
            </w:r>
          </w:p>
          <w:p w14:paraId="50B2CC31" w14:textId="7B959EFA" w:rsidR="00D97D6D" w:rsidRPr="00BB70EE" w:rsidRDefault="00BB70EE" w:rsidP="00BB70EE">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BB70EE">
              <w:rPr>
                <w:rFonts w:ascii="Arial" w:hAnsi="Arial"/>
                <w:b/>
                <w:bCs/>
                <w:sz w:val="20"/>
                <w:szCs w:val="20"/>
                <w:lang w:val="en-GB"/>
              </w:rPr>
              <w:t xml:space="preserve">Số lượng và chất lượng các dự án nghiên cứu AI được hỗ trợ bởi hạ tầng HPC: </w:t>
            </w:r>
            <w:r w:rsidRPr="00BB70EE">
              <w:rPr>
                <w:rFonts w:ascii="Arial" w:hAnsi="Arial"/>
                <w:sz w:val="20"/>
                <w:szCs w:val="20"/>
                <w:lang w:val="en-GB"/>
              </w:rPr>
              <w:t>Đánh giá tác động của các nguồn lực HPC đối với kết quả nghiên cứu và đổi mới AI, thể hiện hiệu quả của việc mở rộng hạ tầng và phân bổ nguồn lực trong việc thúc đẩy tiến bộ của lĩnh vực này</w:t>
            </w:r>
            <w:r w:rsidR="00D97D6D" w:rsidRPr="00BB70EE">
              <w:rPr>
                <w:rFonts w:ascii="Arial" w:hAnsi="Arial"/>
                <w:sz w:val="20"/>
                <w:szCs w:val="20"/>
                <w:lang w:val="en-GB"/>
              </w:rPr>
              <w:t>.</w:t>
            </w:r>
          </w:p>
          <w:p w14:paraId="3AA8F995" w14:textId="77777777" w:rsidR="00C235CA" w:rsidRPr="004F1D15" w:rsidRDefault="00C235CA">
            <w:pPr>
              <w:cnfStyle w:val="000000100000" w:firstRow="0" w:lastRow="0" w:firstColumn="0" w:lastColumn="0" w:oddVBand="0" w:evenVBand="0" w:oddHBand="1" w:evenHBand="0" w:firstRowFirstColumn="0" w:firstRowLastColumn="0" w:lastRowFirstColumn="0" w:lastRowLastColumn="0"/>
              <w:rPr>
                <w:sz w:val="20"/>
                <w:szCs w:val="20"/>
              </w:rPr>
            </w:pPr>
          </w:p>
        </w:tc>
      </w:tr>
    </w:tbl>
    <w:p w14:paraId="68D6176C" w14:textId="118A153B" w:rsidR="00513FAE" w:rsidRPr="004F1D15" w:rsidRDefault="00513FAE">
      <w:pPr>
        <w:rPr>
          <w:rFonts w:eastAsia="Arial"/>
          <w:color w:val="657C9C" w:themeColor="text2" w:themeTint="BF"/>
          <w:sz w:val="20"/>
          <w:szCs w:val="20"/>
        </w:rPr>
      </w:pPr>
    </w:p>
    <w:p w14:paraId="1B6B5B11" w14:textId="77777777" w:rsidR="00A62E0E" w:rsidRDefault="00A62E0E">
      <w:pPr>
        <w:spacing w:line="259" w:lineRule="auto"/>
        <w:jc w:val="left"/>
        <w:rPr>
          <w:rFonts w:eastAsia="Arial"/>
          <w:color w:val="657C9C" w:themeColor="text2" w:themeTint="BF"/>
          <w:sz w:val="20"/>
          <w:szCs w:val="20"/>
        </w:rPr>
      </w:pPr>
      <w:r>
        <w:rPr>
          <w:sz w:val="20"/>
          <w:szCs w:val="20"/>
        </w:rPr>
        <w:br w:type="page"/>
      </w:r>
    </w:p>
    <w:p w14:paraId="73D9DE08" w14:textId="07322A36" w:rsidR="00341DF4" w:rsidRPr="004F1D15" w:rsidRDefault="00B40D4D" w:rsidP="00341DF4">
      <w:pPr>
        <w:pStyle w:val="Heading3"/>
        <w:rPr>
          <w:sz w:val="20"/>
          <w:szCs w:val="20"/>
          <w:lang w:val="en-GB"/>
        </w:rPr>
      </w:pPr>
      <w:r>
        <w:rPr>
          <w:sz w:val="20"/>
          <w:szCs w:val="20"/>
          <w:lang w:val="en-GB"/>
        </w:rPr>
        <w:lastRenderedPageBreak/>
        <w:t>Ti</w:t>
      </w:r>
      <w:r>
        <w:rPr>
          <w:sz w:val="20"/>
          <w:szCs w:val="20"/>
          <w:lang w:val="vi-VN"/>
        </w:rPr>
        <w:t>ểu lĩnh vực</w:t>
      </w:r>
      <w:r w:rsidR="00341DF4" w:rsidRPr="004F1D15">
        <w:rPr>
          <w:sz w:val="20"/>
          <w:szCs w:val="20"/>
          <w:lang w:val="en-GB"/>
        </w:rPr>
        <w:t xml:space="preserve">: Blockchain </w:t>
      </w:r>
    </w:p>
    <w:p w14:paraId="0827C40F" w14:textId="0A60D2D4" w:rsidR="00341DF4" w:rsidRPr="004F1D15" w:rsidRDefault="00B40D4D" w:rsidP="00C82E40">
      <w:pPr>
        <w:pStyle w:val="Heading4"/>
        <w:rPr>
          <w:sz w:val="20"/>
          <w:lang w:val="en-GB"/>
        </w:rPr>
      </w:pPr>
      <w:r>
        <w:rPr>
          <w:sz w:val="20"/>
          <w:lang w:val="en-GB"/>
        </w:rPr>
        <w:t>Danh</w:t>
      </w:r>
      <w:r>
        <w:rPr>
          <w:sz w:val="20"/>
          <w:lang w:val="vi-VN"/>
        </w:rPr>
        <w:t xml:space="preserve"> mục </w:t>
      </w:r>
      <w:r w:rsidR="00341DF4" w:rsidRPr="004F1D15">
        <w:rPr>
          <w:sz w:val="20"/>
          <w:lang w:val="en-GB"/>
        </w:rPr>
        <w:t xml:space="preserve">1: </w:t>
      </w:r>
      <w:r w:rsidRPr="00B40D4D">
        <w:rPr>
          <w:sz w:val="20"/>
          <w:lang w:val="vi-VN"/>
        </w:rPr>
        <w:t>Điều phối và Điều chỉnh Chính sách</w:t>
      </w:r>
    </w:p>
    <w:tbl>
      <w:tblPr>
        <w:tblStyle w:val="ListTable3-Accent11"/>
        <w:tblW w:w="15314" w:type="dxa"/>
        <w:tblLook w:val="04A0" w:firstRow="1" w:lastRow="0" w:firstColumn="1" w:lastColumn="0" w:noHBand="0" w:noVBand="1"/>
      </w:tblPr>
      <w:tblGrid>
        <w:gridCol w:w="1694"/>
        <w:gridCol w:w="3764"/>
        <w:gridCol w:w="7"/>
        <w:gridCol w:w="3757"/>
        <w:gridCol w:w="15"/>
        <w:gridCol w:w="2303"/>
        <w:gridCol w:w="14"/>
        <w:gridCol w:w="3760"/>
      </w:tblGrid>
      <w:tr w:rsidR="00C235CA" w:rsidRPr="004F1D15" w14:paraId="79E355AB" w14:textId="77777777" w:rsidTr="00B120A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4" w:type="dxa"/>
            <w:tcBorders>
              <w:bottom w:val="single" w:sz="4" w:space="0" w:color="156082"/>
            </w:tcBorders>
            <w:shd w:val="clear" w:color="auto" w:fill="002060"/>
          </w:tcPr>
          <w:p w14:paraId="2BFE85E0" w14:textId="2A41E910" w:rsidR="00C235CA" w:rsidRPr="004F1D15" w:rsidRDefault="00B40D4D" w:rsidP="00B120AA">
            <w:pPr>
              <w:jc w:val="center"/>
              <w:rPr>
                <w:sz w:val="20"/>
                <w:szCs w:val="20"/>
              </w:rPr>
            </w:pPr>
            <w:r w:rsidRPr="00B40D4D">
              <w:rPr>
                <w:sz w:val="20"/>
                <w:szCs w:val="20"/>
              </w:rPr>
              <w:t>Khu vực hành động</w:t>
            </w:r>
          </w:p>
        </w:tc>
        <w:tc>
          <w:tcPr>
            <w:tcW w:w="3771" w:type="dxa"/>
            <w:gridSpan w:val="2"/>
            <w:shd w:val="clear" w:color="auto" w:fill="002060"/>
          </w:tcPr>
          <w:p w14:paraId="5E62BE76" w14:textId="09D19634" w:rsidR="00C235CA" w:rsidRPr="004F1D15" w:rsidRDefault="00B40D4D" w:rsidP="00B120AA">
            <w:pPr>
              <w:jc w:val="center"/>
              <w:cnfStyle w:val="100000000000" w:firstRow="1" w:lastRow="0" w:firstColumn="0" w:lastColumn="0" w:oddVBand="0" w:evenVBand="0" w:oddHBand="0" w:evenHBand="0" w:firstRowFirstColumn="0" w:firstRowLastColumn="0" w:lastRowFirstColumn="0" w:lastRowLastColumn="0"/>
              <w:rPr>
                <w:sz w:val="20"/>
                <w:szCs w:val="20"/>
              </w:rPr>
            </w:pPr>
            <w:r w:rsidRPr="00B40D4D">
              <w:rPr>
                <w:sz w:val="20"/>
                <w:szCs w:val="20"/>
              </w:rPr>
              <w:t>Lĩnh vực trọng tâm</w:t>
            </w:r>
          </w:p>
        </w:tc>
        <w:tc>
          <w:tcPr>
            <w:tcW w:w="3772" w:type="dxa"/>
            <w:gridSpan w:val="2"/>
            <w:shd w:val="clear" w:color="auto" w:fill="002060"/>
          </w:tcPr>
          <w:p w14:paraId="0D3197C7" w14:textId="6CCAFE20" w:rsidR="00C235CA" w:rsidRPr="004F1D15" w:rsidRDefault="00B40D4D" w:rsidP="00B120AA">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B40D4D">
              <w:rPr>
                <w:sz w:val="20"/>
                <w:szCs w:val="20"/>
              </w:rPr>
              <w:t>Các mốc dự kiến và khung thời gian tạm tính</w:t>
            </w:r>
            <w:r w:rsidR="00C235CA" w:rsidRPr="004F1D15">
              <w:rPr>
                <w:sz w:val="20"/>
                <w:szCs w:val="20"/>
                <w:vertAlign w:val="superscript"/>
              </w:rPr>
              <w:footnoteReference w:id="363"/>
            </w:r>
          </w:p>
        </w:tc>
        <w:tc>
          <w:tcPr>
            <w:tcW w:w="2317" w:type="dxa"/>
            <w:gridSpan w:val="2"/>
            <w:shd w:val="clear" w:color="auto" w:fill="002060"/>
          </w:tcPr>
          <w:p w14:paraId="429857C7" w14:textId="1CF7748B" w:rsidR="00C235CA" w:rsidRPr="004F1D15" w:rsidRDefault="00B40D4D" w:rsidP="00B120AA">
            <w:pPr>
              <w:jc w:val="center"/>
              <w:cnfStyle w:val="100000000000" w:firstRow="1" w:lastRow="0" w:firstColumn="0" w:lastColumn="0" w:oddVBand="0" w:evenVBand="0" w:oddHBand="0" w:evenHBand="0" w:firstRowFirstColumn="0" w:firstRowLastColumn="0" w:lastRowFirstColumn="0" w:lastRowLastColumn="0"/>
              <w:rPr>
                <w:sz w:val="20"/>
                <w:szCs w:val="20"/>
              </w:rPr>
            </w:pPr>
            <w:r w:rsidRPr="00B40D4D">
              <w:rPr>
                <w:sz w:val="20"/>
                <w:szCs w:val="20"/>
              </w:rPr>
              <w:t>Các bên chịu trách nhiệm chính</w:t>
            </w:r>
          </w:p>
        </w:tc>
        <w:tc>
          <w:tcPr>
            <w:tcW w:w="3760" w:type="dxa"/>
            <w:shd w:val="clear" w:color="auto" w:fill="002060"/>
          </w:tcPr>
          <w:p w14:paraId="696C46C1" w14:textId="571AD207" w:rsidR="00C235CA" w:rsidRPr="004F1D15" w:rsidRDefault="00B40D4D" w:rsidP="00B120AA">
            <w:pPr>
              <w:jc w:val="center"/>
              <w:cnfStyle w:val="100000000000" w:firstRow="1" w:lastRow="0" w:firstColumn="0" w:lastColumn="0" w:oddVBand="0" w:evenVBand="0" w:oddHBand="0" w:evenHBand="0" w:firstRowFirstColumn="0" w:firstRowLastColumn="0" w:lastRowFirstColumn="0" w:lastRowLastColumn="0"/>
              <w:rPr>
                <w:sz w:val="20"/>
                <w:szCs w:val="20"/>
              </w:rPr>
            </w:pPr>
            <w:r w:rsidRPr="00B40D4D">
              <w:rPr>
                <w:sz w:val="20"/>
                <w:szCs w:val="20"/>
              </w:rPr>
              <w:t>Thước đo tiến độ</w:t>
            </w:r>
          </w:p>
        </w:tc>
      </w:tr>
      <w:tr w:rsidR="00C235CA" w:rsidRPr="004F1D15" w14:paraId="4674DA9C" w14:textId="77777777" w:rsidTr="00B12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shd w:val="clear" w:color="auto" w:fill="00B0F0"/>
            <w:vAlign w:val="center"/>
          </w:tcPr>
          <w:p w14:paraId="215A6F1E" w14:textId="7ED2B529" w:rsidR="00C235CA" w:rsidRPr="004F1D15" w:rsidRDefault="00B40D4D">
            <w:pPr>
              <w:rPr>
                <w:sz w:val="20"/>
                <w:szCs w:val="20"/>
              </w:rPr>
            </w:pPr>
            <w:r w:rsidRPr="00B40D4D">
              <w:rPr>
                <w:sz w:val="20"/>
                <w:szCs w:val="20"/>
              </w:rPr>
              <w:t>Khu vực hành động chính</w:t>
            </w:r>
          </w:p>
        </w:tc>
        <w:tc>
          <w:tcPr>
            <w:tcW w:w="13620" w:type="dxa"/>
            <w:gridSpan w:val="7"/>
            <w:tcBorders>
              <w:left w:val="single" w:sz="4" w:space="0" w:color="156082"/>
            </w:tcBorders>
            <w:shd w:val="clear" w:color="auto" w:fill="00B0F0"/>
            <w:vAlign w:val="center"/>
          </w:tcPr>
          <w:p w14:paraId="25659E41" w14:textId="2AE5B990" w:rsidR="00C235CA" w:rsidRPr="009B4942" w:rsidRDefault="00F60BC9">
            <w:pPr>
              <w:cnfStyle w:val="000000100000" w:firstRow="0" w:lastRow="0" w:firstColumn="0" w:lastColumn="0" w:oddVBand="0" w:evenVBand="0" w:oddHBand="1" w:evenHBand="0" w:firstRowFirstColumn="0" w:firstRowLastColumn="0" w:lastRowFirstColumn="0" w:lastRowLastColumn="0"/>
              <w:rPr>
                <w:rFonts w:eastAsiaTheme="minorEastAsia"/>
                <w:b/>
                <w:bCs/>
                <w:sz w:val="20"/>
                <w:szCs w:val="20"/>
                <w:lang w:val="vi-VN"/>
              </w:rPr>
            </w:pPr>
            <w:r>
              <w:rPr>
                <w:b/>
                <w:bCs/>
                <w:sz w:val="20"/>
                <w:szCs w:val="20"/>
              </w:rPr>
              <w:t>6.2.12</w:t>
            </w:r>
            <w:r w:rsidR="00D97D6D" w:rsidRPr="004F1D15">
              <w:rPr>
                <w:b/>
                <w:sz w:val="20"/>
                <w:szCs w:val="20"/>
              </w:rPr>
              <w:t xml:space="preserve">.1 </w:t>
            </w:r>
            <w:r w:rsidR="009B4942">
              <w:rPr>
                <w:b/>
                <w:sz w:val="20"/>
                <w:szCs w:val="20"/>
              </w:rPr>
              <w:t>T</w:t>
            </w:r>
            <w:r w:rsidR="009B4942" w:rsidRPr="009B4942">
              <w:rPr>
                <w:b/>
                <w:sz w:val="20"/>
                <w:szCs w:val="20"/>
                <w:lang w:val="vi-VN"/>
              </w:rPr>
              <w:t>ăng cường Tham gia vào Quá trình Xây dựng Tiêu chuẩn Chuỗi khối Quốc tế</w:t>
            </w:r>
          </w:p>
        </w:tc>
      </w:tr>
      <w:tr w:rsidR="00C235CA" w:rsidRPr="004F1D15" w14:paraId="75772094" w14:textId="77777777" w:rsidTr="00B120AA">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156082"/>
              <w:bottom w:val="single" w:sz="4" w:space="0" w:color="156082"/>
              <w:right w:val="single" w:sz="4" w:space="0" w:color="156082"/>
            </w:tcBorders>
            <w:shd w:val="clear" w:color="auto" w:fill="BDD6EE" w:themeFill="accent5" w:themeFillTint="66"/>
            <w:vAlign w:val="center"/>
          </w:tcPr>
          <w:p w14:paraId="0BF378F4" w14:textId="657CF46A" w:rsidR="00C235CA" w:rsidRPr="00B40D4D" w:rsidRDefault="00B40D4D">
            <w:pPr>
              <w:rPr>
                <w:sz w:val="20"/>
                <w:szCs w:val="20"/>
                <w:lang w:val="vi-VN"/>
              </w:rPr>
            </w:pPr>
            <w:r>
              <w:rPr>
                <w:sz w:val="20"/>
                <w:szCs w:val="20"/>
              </w:rPr>
              <w:t>M</w:t>
            </w:r>
            <w:r>
              <w:rPr>
                <w:sz w:val="20"/>
                <w:szCs w:val="20"/>
                <w:lang w:val="vi-VN"/>
              </w:rPr>
              <w:t>ục tiêu</w:t>
            </w:r>
          </w:p>
        </w:tc>
        <w:tc>
          <w:tcPr>
            <w:tcW w:w="13620" w:type="dxa"/>
            <w:gridSpan w:val="7"/>
            <w:tcBorders>
              <w:left w:val="single" w:sz="4" w:space="0" w:color="156082"/>
            </w:tcBorders>
            <w:shd w:val="clear" w:color="auto" w:fill="BDD6EE" w:themeFill="accent5" w:themeFillTint="66"/>
            <w:vAlign w:val="center"/>
          </w:tcPr>
          <w:p w14:paraId="1673D9CC" w14:textId="6C466737" w:rsidR="00C235CA" w:rsidRPr="004F1D15" w:rsidRDefault="00336BC0"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hAnsi="Arial"/>
                <w:sz w:val="20"/>
                <w:szCs w:val="20"/>
                <w:lang w:val="en-GB"/>
              </w:rPr>
            </w:pPr>
            <w:r w:rsidRPr="00336BC0">
              <w:rPr>
                <w:rFonts w:ascii="Arial" w:eastAsia="DengXian" w:hAnsi="Arial"/>
                <w:b/>
                <w:sz w:val="20"/>
                <w:szCs w:val="20"/>
                <w:lang w:val="en-GB"/>
              </w:rPr>
              <w:t xml:space="preserve">Thúc đẩy Tham gia Bao trùm trong Quá trình Xây dựng Tiêu chuẩn Quốc tế: </w:t>
            </w:r>
            <w:r w:rsidRPr="00336BC0">
              <w:rPr>
                <w:rFonts w:ascii="Arial" w:eastAsia="DengXian" w:hAnsi="Arial"/>
                <w:bCs/>
                <w:sz w:val="20"/>
                <w:szCs w:val="20"/>
                <w:lang w:val="en-GB"/>
              </w:rPr>
              <w:t>Nhằm tăng cường sự tham gia của các bên liên quan trong việc xây dựng và triển khai các tiêu chuẩn blockchain quốc tế, qua đó thúc đẩy khả năng liên thông, bảo mật và đổi mới trong toàn khu vực ASEAN. Việc tăng cường tham gia này hướng đến bảo đảm các tiêu chuẩn được xây dựng một cách toàn diện và bao trùm, qua đó thúc đẩy tăng trưởng bền vững và củng cố niềm tin vào các công nghệ blockchain</w:t>
            </w:r>
            <w:r w:rsidR="00D97D6D" w:rsidRPr="00336BC0">
              <w:rPr>
                <w:rFonts w:ascii="Arial" w:eastAsia="DengXian" w:hAnsi="Arial"/>
                <w:bCs/>
                <w:sz w:val="20"/>
                <w:szCs w:val="20"/>
                <w:lang w:val="en-GB"/>
              </w:rPr>
              <w:t>.</w:t>
            </w:r>
          </w:p>
        </w:tc>
      </w:tr>
      <w:tr w:rsidR="00C235CA" w:rsidRPr="004F1D15" w14:paraId="3D50679C" w14:textId="77777777" w:rsidTr="6BB67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tcPr>
          <w:p w14:paraId="7629B3D1" w14:textId="492C5F77" w:rsidR="00C235CA" w:rsidRPr="004F1D15" w:rsidRDefault="00F60BC9">
            <w:pPr>
              <w:rPr>
                <w:sz w:val="20"/>
                <w:szCs w:val="20"/>
              </w:rPr>
            </w:pPr>
            <w:r>
              <w:rPr>
                <w:sz w:val="20"/>
                <w:szCs w:val="20"/>
              </w:rPr>
              <w:t>6.2.12</w:t>
            </w:r>
            <w:r w:rsidR="00D97D6D" w:rsidRPr="004F1D15">
              <w:rPr>
                <w:sz w:val="20"/>
                <w:szCs w:val="20"/>
              </w:rPr>
              <w:t xml:space="preserve">.1 </w:t>
            </w:r>
            <w:r w:rsidR="009B4942" w:rsidRPr="009B4942">
              <w:rPr>
                <w:sz w:val="20"/>
                <w:szCs w:val="20"/>
              </w:rPr>
              <w:t>Tăng cường Tham gia vào Quá trình Xây dựng Tiêu chuẩn Chuỗi khối Quốc tế</w:t>
            </w:r>
          </w:p>
        </w:tc>
        <w:tc>
          <w:tcPr>
            <w:tcW w:w="3764" w:type="dxa"/>
            <w:tcBorders>
              <w:left w:val="single" w:sz="4" w:space="0" w:color="156082"/>
              <w:right w:val="single" w:sz="4" w:space="0" w:color="156082"/>
            </w:tcBorders>
          </w:tcPr>
          <w:p w14:paraId="27C6C092" w14:textId="26EDCA21" w:rsidR="00C235CA" w:rsidRPr="00516087" w:rsidRDefault="009B4942" w:rsidP="001A3881">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sz w:val="20"/>
                <w:szCs w:val="20"/>
                <w:lang w:val="en-GB"/>
              </w:rPr>
            </w:pPr>
            <w:r w:rsidRPr="009B4942">
              <w:rPr>
                <w:rFonts w:ascii="Arial" w:eastAsia="DengXian" w:hAnsi="Arial"/>
                <w:b/>
                <w:sz w:val="20"/>
                <w:szCs w:val="20"/>
                <w:lang w:val="en-GB"/>
              </w:rPr>
              <w:t xml:space="preserve">Thúc đẩy tham gia bao trùm vào xây dựng tiêu chuẩn quốc tế: </w:t>
            </w:r>
            <w:r w:rsidRPr="009B4942">
              <w:rPr>
                <w:rFonts w:ascii="Arial" w:eastAsia="DengXian" w:hAnsi="Arial"/>
                <w:bCs/>
                <w:sz w:val="20"/>
                <w:szCs w:val="20"/>
                <w:lang w:val="en-GB"/>
              </w:rPr>
              <w:t>Tăng cường sự tham gia của các bên liên quan trong quá trình xây dựng và triển khai các tiêu chuẩn chuỗi khối quốc tế, thúc đẩy khả năng tương tác, an ninh và đổi mới trên toàn khu vực ASEAN. Việc tăng cường tham gia sẽ giúp bảo đảm các tiêu chuẩn toàn diện, bao trùm, qua đó thúc đẩy tăng trưởng bền vững và củng cố niềm tin vào công nghệ chuỗi khối</w:t>
            </w:r>
            <w:r w:rsidR="00D97D6D" w:rsidRPr="00516087">
              <w:rPr>
                <w:rFonts w:ascii="Arial" w:eastAsia="DengXian" w:hAnsi="Arial"/>
                <w:sz w:val="20"/>
                <w:szCs w:val="20"/>
                <w:lang w:val="en-GB"/>
              </w:rPr>
              <w:t>.</w:t>
            </w:r>
          </w:p>
        </w:tc>
        <w:tc>
          <w:tcPr>
            <w:tcW w:w="3764" w:type="dxa"/>
            <w:gridSpan w:val="2"/>
            <w:tcBorders>
              <w:left w:val="single" w:sz="4" w:space="0" w:color="156082"/>
              <w:right w:val="single" w:sz="4" w:space="0" w:color="156082"/>
            </w:tcBorders>
          </w:tcPr>
          <w:p w14:paraId="0ED65E55" w14:textId="472CA762" w:rsidR="00C235CA" w:rsidRPr="004F1D15" w:rsidRDefault="009B4942">
            <w:pPr>
              <w:cnfStyle w:val="000000100000" w:firstRow="0" w:lastRow="0" w:firstColumn="0" w:lastColumn="0" w:oddVBand="0" w:evenVBand="0" w:oddHBand="1" w:evenHBand="0" w:firstRowFirstColumn="0" w:firstRowLastColumn="0" w:lastRowFirstColumn="0" w:lastRowLastColumn="0"/>
              <w:rPr>
                <w:sz w:val="20"/>
                <w:szCs w:val="20"/>
              </w:rPr>
            </w:pPr>
            <w:r w:rsidRPr="009B4942">
              <w:rPr>
                <w:sz w:val="20"/>
                <w:szCs w:val="20"/>
              </w:rPr>
              <w:t>Ngắn hạn</w:t>
            </w:r>
            <w:r w:rsidR="00C235CA" w:rsidRPr="004F1D15">
              <w:rPr>
                <w:sz w:val="20"/>
                <w:szCs w:val="20"/>
              </w:rPr>
              <w:t>:</w:t>
            </w:r>
          </w:p>
          <w:p w14:paraId="438F1DE5" w14:textId="77777777" w:rsidR="009B4942" w:rsidRPr="009B4942" w:rsidRDefault="009B4942" w:rsidP="009B4942">
            <w:pPr>
              <w:pStyle w:val="ListParagraph"/>
              <w:numPr>
                <w:ilvl w:val="0"/>
                <w:numId w:val="28"/>
              </w:numPr>
              <w:spacing w:after="0"/>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9B4942">
              <w:rPr>
                <w:rFonts w:ascii="Arial" w:hAnsi="Arial"/>
                <w:sz w:val="20"/>
                <w:szCs w:val="20"/>
                <w:lang w:val="en-GB"/>
              </w:rPr>
              <w:t>Tổ chức các hội thảo và tọa đàm ban đầu nhằm nâng cao nhận thức và tăng cường năng lực cho các nhà hoạch định chính sách của ASEAN về tầm quan trọng và lợi ích của việc tham gia xây dựng tiêu chuẩn chuỗi khối.</w:t>
            </w:r>
          </w:p>
          <w:p w14:paraId="63829924" w14:textId="206ACA57" w:rsidR="00D97D6D" w:rsidRPr="004F1D15" w:rsidRDefault="009B4942" w:rsidP="009B4942">
            <w:pPr>
              <w:pStyle w:val="ListParagraph"/>
              <w:numPr>
                <w:ilvl w:val="0"/>
                <w:numId w:val="28"/>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b/>
                <w:color w:val="3B3838" w:themeColor="background2" w:themeShade="40"/>
                <w:sz w:val="20"/>
                <w:szCs w:val="20"/>
                <w:lang w:val="en-GB"/>
              </w:rPr>
            </w:pPr>
            <w:r w:rsidRPr="009B4942">
              <w:rPr>
                <w:rFonts w:ascii="Arial" w:hAnsi="Arial"/>
                <w:sz w:val="20"/>
                <w:szCs w:val="20"/>
                <w:lang w:val="en-GB"/>
              </w:rPr>
              <w:t>Tạo điều kiện để đại diện các quốc gia ASEAN tham gia tích cực vào các tổ chức thiết lập tiêu chuẩn chuỗi khối quốc tế quan trọng như ISO/IEC</w:t>
            </w:r>
            <w:r w:rsidR="00D97D6D" w:rsidRPr="004F1D15">
              <w:rPr>
                <w:rFonts w:ascii="Arial" w:eastAsia="DengXian" w:hAnsi="Arial"/>
                <w:sz w:val="20"/>
                <w:szCs w:val="20"/>
                <w:lang w:val="en-GB"/>
              </w:rPr>
              <w:t>.</w:t>
            </w:r>
          </w:p>
          <w:p w14:paraId="2439E707" w14:textId="605D30C7" w:rsidR="00D97D6D" w:rsidRPr="004F1D15" w:rsidRDefault="009B4942" w:rsidP="00D97D6D">
            <w:pPr>
              <w:cnfStyle w:val="000000100000" w:firstRow="0" w:lastRow="0" w:firstColumn="0" w:lastColumn="0" w:oddVBand="0" w:evenVBand="0" w:oddHBand="1" w:evenHBand="0" w:firstRowFirstColumn="0" w:firstRowLastColumn="0" w:lastRowFirstColumn="0" w:lastRowLastColumn="0"/>
              <w:rPr>
                <w:sz w:val="20"/>
                <w:szCs w:val="20"/>
              </w:rPr>
            </w:pPr>
            <w:r w:rsidRPr="009B4942">
              <w:rPr>
                <w:sz w:val="20"/>
                <w:szCs w:val="20"/>
              </w:rPr>
              <w:t>Trung hạn</w:t>
            </w:r>
            <w:r w:rsidR="00D97D6D" w:rsidRPr="004F1D15">
              <w:rPr>
                <w:sz w:val="20"/>
                <w:szCs w:val="20"/>
              </w:rPr>
              <w:t>:</w:t>
            </w:r>
          </w:p>
          <w:p w14:paraId="26E3C785" w14:textId="77777777" w:rsidR="00432801" w:rsidRPr="00432801" w:rsidRDefault="00432801" w:rsidP="00432801">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432801">
              <w:rPr>
                <w:rFonts w:ascii="Arial" w:eastAsia="DengXian" w:hAnsi="Arial"/>
                <w:sz w:val="20"/>
                <w:szCs w:val="20"/>
                <w:lang w:val="en-GB"/>
              </w:rPr>
              <w:t>Triển khai các chương trình đào tạo nâng cao cho đại diện ASEAN nhằm củng cố kiến thức kỹ thuật và kỹ năng đàm phán trong các thảo luận về tiêu chuẩn chuỗi khối ISO/IEC.</w:t>
            </w:r>
          </w:p>
          <w:p w14:paraId="0B69F7E3" w14:textId="6BF3AFE8" w:rsidR="00432801" w:rsidRPr="00432801" w:rsidRDefault="00432801" w:rsidP="00432801">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432801">
              <w:rPr>
                <w:rFonts w:ascii="Arial" w:eastAsia="DengXian" w:hAnsi="Arial"/>
                <w:sz w:val="20"/>
                <w:szCs w:val="20"/>
                <w:lang w:val="en-GB"/>
              </w:rPr>
              <w:lastRenderedPageBreak/>
              <w:t>Khuyến khích các quốc gia ASEAN trở thành thành viên tham gia chính thức của ISO/TC 307.</w:t>
            </w:r>
          </w:p>
          <w:p w14:paraId="3092DAE6" w14:textId="4E527F35" w:rsidR="00D97D6D" w:rsidRPr="004F1D15" w:rsidRDefault="00432801" w:rsidP="00432801">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3B3838" w:themeColor="background2" w:themeShade="40"/>
                <w:sz w:val="20"/>
                <w:szCs w:val="20"/>
                <w:lang w:val="en-GB"/>
              </w:rPr>
            </w:pPr>
            <w:r w:rsidRPr="00432801">
              <w:rPr>
                <w:rFonts w:ascii="Arial" w:eastAsia="DengXian" w:hAnsi="Arial"/>
                <w:sz w:val="20"/>
                <w:szCs w:val="20"/>
                <w:lang w:val="en-GB"/>
              </w:rPr>
              <w:t>Tổ chức các cuộc họp định kỳ giữa đại diện các quốc gia ASEAN nhằm chia sẻ thông tin, thống nhất quan điểm và xây dựng các đóng góp chung cho ISO/TC 307</w:t>
            </w:r>
            <w:r w:rsidR="00D97D6D" w:rsidRPr="004F1D15">
              <w:rPr>
                <w:rFonts w:ascii="Arial" w:eastAsia="DengXian" w:hAnsi="Arial"/>
                <w:sz w:val="20"/>
                <w:szCs w:val="20"/>
                <w:lang w:val="en-GB"/>
              </w:rPr>
              <w:t>.</w:t>
            </w:r>
          </w:p>
          <w:p w14:paraId="0CE465A7" w14:textId="0CA6DEA0" w:rsidR="00D97D6D" w:rsidRPr="004F1D15" w:rsidRDefault="00432801" w:rsidP="00D97D6D">
            <w:pPr>
              <w:cnfStyle w:val="000000100000" w:firstRow="0" w:lastRow="0" w:firstColumn="0" w:lastColumn="0" w:oddVBand="0" w:evenVBand="0" w:oddHBand="1" w:evenHBand="0" w:firstRowFirstColumn="0" w:firstRowLastColumn="0" w:lastRowFirstColumn="0" w:lastRowLastColumn="0"/>
              <w:rPr>
                <w:sz w:val="20"/>
                <w:szCs w:val="20"/>
              </w:rPr>
            </w:pPr>
            <w:r w:rsidRPr="00432801">
              <w:rPr>
                <w:sz w:val="20"/>
                <w:szCs w:val="20"/>
              </w:rPr>
              <w:t>Dài hạn</w:t>
            </w:r>
            <w:r w:rsidR="00D97D6D" w:rsidRPr="004F1D15">
              <w:rPr>
                <w:sz w:val="20"/>
                <w:szCs w:val="20"/>
              </w:rPr>
              <w:t>:</w:t>
            </w:r>
          </w:p>
          <w:p w14:paraId="6B8EA556" w14:textId="77777777" w:rsidR="00432801" w:rsidRPr="00432801" w:rsidRDefault="00432801" w:rsidP="00432801">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432801">
              <w:rPr>
                <w:rFonts w:ascii="Arial" w:hAnsi="Arial"/>
                <w:sz w:val="20"/>
                <w:szCs w:val="20"/>
                <w:lang w:val="en-GB"/>
              </w:rPr>
              <w:t>Thiết lập quan hệ đối tác với các bên liên quan quốc tế trong ISO/IEC nhằm nâng cao ảnh hưởng của ASEAN trong việc xây dựng tiêu chuẩn chuỗi khối và bảo đảm các ưu tiên của ASEAN được phản ánh đầy đủ.</w:t>
            </w:r>
          </w:p>
          <w:p w14:paraId="5A69D0C6" w14:textId="3E440518" w:rsidR="00432801" w:rsidRPr="00432801" w:rsidRDefault="00432801" w:rsidP="00432801">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sz w:val="20"/>
                <w:szCs w:val="20"/>
                <w:lang w:val="en-GB"/>
              </w:rPr>
            </w:pPr>
            <w:r w:rsidRPr="00432801">
              <w:rPr>
                <w:rFonts w:ascii="Arial" w:hAnsi="Arial"/>
                <w:sz w:val="20"/>
                <w:szCs w:val="20"/>
                <w:lang w:val="en-GB"/>
              </w:rPr>
              <w:t>Khuyến khích và hỗ trợ đại diện các quốc gia ASEAN đảm nhiệm các vị trí lãnh đạo trong Ủy ban ISO/TC 307.</w:t>
            </w:r>
          </w:p>
          <w:p w14:paraId="049F552B" w14:textId="35D325A0" w:rsidR="00C235CA" w:rsidRPr="004F1D15" w:rsidRDefault="00432801" w:rsidP="00432801">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432801">
              <w:rPr>
                <w:rFonts w:ascii="Arial" w:hAnsi="Arial"/>
                <w:sz w:val="20"/>
                <w:szCs w:val="20"/>
                <w:lang w:val="en-GB"/>
              </w:rPr>
              <w:t>Thường xuyên rà soát và cập nhật tiêu chuẩn chuỗi khối trong ASEAN cho phù hợp với các diễn biến mới của ISO/TC 307, bảo đảm tính liên tục và sự hài hòa</w:t>
            </w:r>
            <w:r w:rsidR="00D97D6D" w:rsidRPr="004F1D15">
              <w:rPr>
                <w:rFonts w:ascii="Arial" w:eastAsia="DengXian" w:hAnsi="Arial"/>
                <w:sz w:val="20"/>
                <w:szCs w:val="20"/>
                <w:lang w:val="en-GB"/>
              </w:rPr>
              <w:t>.</w:t>
            </w:r>
          </w:p>
        </w:tc>
        <w:tc>
          <w:tcPr>
            <w:tcW w:w="2318" w:type="dxa"/>
            <w:gridSpan w:val="2"/>
            <w:tcBorders>
              <w:left w:val="single" w:sz="4" w:space="0" w:color="156082"/>
              <w:right w:val="single" w:sz="4" w:space="0" w:color="156082"/>
            </w:tcBorders>
          </w:tcPr>
          <w:p w14:paraId="6F92F9F5" w14:textId="1FF18D49" w:rsidR="00C235CA" w:rsidRPr="004F1D15" w:rsidRDefault="0043280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lang w:val="vi-VN"/>
              </w:rPr>
              <w:lastRenderedPageBreak/>
              <w:t>Cơ quan điều phối</w:t>
            </w:r>
            <w:r w:rsidR="1009E553" w:rsidRPr="004F1D15">
              <w:rPr>
                <w:sz w:val="20"/>
                <w:szCs w:val="20"/>
              </w:rPr>
              <w:t>:</w:t>
            </w:r>
          </w:p>
          <w:p w14:paraId="7930EFC9" w14:textId="226216C6" w:rsidR="00D97D6D" w:rsidRPr="004F1D15" w:rsidRDefault="00432801" w:rsidP="00C82E4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432801">
              <w:rPr>
                <w:rFonts w:ascii="Arial" w:eastAsia="DengXian" w:hAnsi="Arial"/>
                <w:sz w:val="20"/>
                <w:szCs w:val="20"/>
                <w:lang w:val="en-GB"/>
              </w:rPr>
              <w:t xml:space="preserve">Nhóm Công tác Tiêu chuẩn và Tương thích Thương mại số </w:t>
            </w:r>
            <w:r w:rsidR="00F60BC9" w:rsidRPr="00435C72">
              <w:rPr>
                <w:rFonts w:ascii="Arial" w:eastAsia="DengXian" w:hAnsi="Arial"/>
                <w:sz w:val="20"/>
                <w:szCs w:val="20"/>
                <w:lang w:val="en-GB"/>
              </w:rPr>
              <w:t>(DTSCWG)</w:t>
            </w:r>
            <w:r w:rsidR="00F60BC9" w:rsidRPr="00932E05">
              <w:rPr>
                <w:rFonts w:ascii="Arial" w:eastAsia="DengXian" w:hAnsi="Arial" w:hint="eastAsia"/>
                <w:sz w:val="20"/>
                <w:szCs w:val="20"/>
                <w:lang w:val="en-GB"/>
              </w:rPr>
              <w:t xml:space="preserve"> </w:t>
            </w:r>
          </w:p>
          <w:p w14:paraId="2B7E70F9" w14:textId="77777777" w:rsidR="0059724A" w:rsidRDefault="0059724A" w:rsidP="0059724A">
            <w:pPr>
              <w:cnfStyle w:val="000000100000" w:firstRow="0" w:lastRow="0" w:firstColumn="0" w:lastColumn="0" w:oddVBand="0" w:evenVBand="0" w:oddHBand="1" w:evenHBand="0" w:firstRowFirstColumn="0" w:firstRowLastColumn="0" w:lastRowFirstColumn="0" w:lastRowLastColumn="0"/>
              <w:rPr>
                <w:sz w:val="20"/>
                <w:szCs w:val="20"/>
              </w:rPr>
            </w:pPr>
          </w:p>
          <w:p w14:paraId="37B59A9E" w14:textId="7D97509B" w:rsidR="0059724A" w:rsidRPr="0059724A" w:rsidRDefault="006A7996" w:rsidP="0059724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Cơ quan chuyên ngành hỗ trợ</w:t>
            </w:r>
            <w:r w:rsidR="00F30886">
              <w:rPr>
                <w:sz w:val="20"/>
                <w:szCs w:val="20"/>
              </w:rPr>
              <w:t>:</w:t>
            </w:r>
          </w:p>
          <w:p w14:paraId="748C13B4" w14:textId="2014FDE3" w:rsidR="00C235CA" w:rsidRPr="004F1D15" w:rsidRDefault="00652121" w:rsidP="00EC3D08">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sz w:val="20"/>
                <w:szCs w:val="20"/>
                <w:lang w:val="en-GB"/>
              </w:rPr>
            </w:pPr>
            <w:r w:rsidRPr="00652121">
              <w:rPr>
                <w:rFonts w:ascii="Arial" w:eastAsia="DengXian" w:hAnsi="Arial"/>
                <w:sz w:val="20"/>
                <w:szCs w:val="20"/>
                <w:lang w:val="en-GB"/>
              </w:rPr>
              <w:t xml:space="preserve">Ủy ban Khoa học, Công nghệ và Đổi mới sáng tạo của ASEAN </w:t>
            </w:r>
            <w:r w:rsidR="00F60BC9" w:rsidRPr="00B3170C">
              <w:rPr>
                <w:rFonts w:ascii="Arial" w:eastAsia="DengXian" w:hAnsi="Arial"/>
                <w:sz w:val="20"/>
                <w:szCs w:val="20"/>
                <w:lang w:val="en-GB"/>
              </w:rPr>
              <w:t>(COSTI)</w:t>
            </w:r>
            <w:r w:rsidR="00EC3D08">
              <w:rPr>
                <w:rFonts w:ascii="Arial" w:eastAsia="DengXian" w:hAnsi="Arial"/>
                <w:sz w:val="20"/>
                <w:szCs w:val="20"/>
                <w:lang w:val="en-GB"/>
              </w:rPr>
              <w:t xml:space="preserve"> </w:t>
            </w:r>
          </w:p>
        </w:tc>
        <w:tc>
          <w:tcPr>
            <w:tcW w:w="3774" w:type="dxa"/>
            <w:gridSpan w:val="2"/>
            <w:tcBorders>
              <w:left w:val="single" w:sz="4" w:space="0" w:color="156082"/>
            </w:tcBorders>
          </w:tcPr>
          <w:p w14:paraId="3CDCC937" w14:textId="55A8F7A9" w:rsidR="00C235CA" w:rsidRPr="004F1D15" w:rsidRDefault="00652121">
            <w:pPr>
              <w:cnfStyle w:val="000000100000" w:firstRow="0" w:lastRow="0" w:firstColumn="0" w:lastColumn="0" w:oddVBand="0" w:evenVBand="0" w:oddHBand="1" w:evenHBand="0" w:firstRowFirstColumn="0" w:firstRowLastColumn="0" w:lastRowFirstColumn="0" w:lastRowLastColumn="0"/>
              <w:rPr>
                <w:sz w:val="20"/>
                <w:szCs w:val="20"/>
              </w:rPr>
            </w:pPr>
            <w:r w:rsidRPr="00652121">
              <w:rPr>
                <w:sz w:val="20"/>
                <w:szCs w:val="20"/>
              </w:rPr>
              <w:t>Các thước đo đánh giá tiến độ</w:t>
            </w:r>
            <w:r w:rsidR="00C235CA" w:rsidRPr="004F1D15">
              <w:rPr>
                <w:sz w:val="20"/>
                <w:szCs w:val="20"/>
              </w:rPr>
              <w:t>:</w:t>
            </w:r>
          </w:p>
          <w:p w14:paraId="3888C497" w14:textId="77777777" w:rsidR="00652121" w:rsidRPr="00652121" w:rsidRDefault="00652121" w:rsidP="00652121">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bCs/>
                <w:sz w:val="20"/>
                <w:szCs w:val="20"/>
                <w:lang w:val="en-GB"/>
              </w:rPr>
            </w:pPr>
            <w:r w:rsidRPr="00652121">
              <w:rPr>
                <w:rFonts w:ascii="Arial" w:eastAsia="DengXian" w:hAnsi="Arial"/>
                <w:b/>
                <w:sz w:val="20"/>
                <w:szCs w:val="20"/>
                <w:lang w:val="en-GB"/>
              </w:rPr>
              <w:t xml:space="preserve">Mức độ đại diện: </w:t>
            </w:r>
            <w:r w:rsidRPr="00652121">
              <w:rPr>
                <w:rFonts w:ascii="Arial" w:eastAsia="DengXian" w:hAnsi="Arial"/>
                <w:bCs/>
                <w:sz w:val="20"/>
                <w:szCs w:val="20"/>
                <w:lang w:val="en-GB"/>
              </w:rPr>
              <w:t>Theo dõi số lượng đại diện các quốc gia ASEAN tham gia tích cực vào các cuộc họp và nhóm công tác của ISO/TC 307.</w:t>
            </w:r>
          </w:p>
          <w:p w14:paraId="71EAB343" w14:textId="1D8DD6CD" w:rsidR="00652121" w:rsidRPr="00652121" w:rsidRDefault="00652121" w:rsidP="00652121">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bCs/>
                <w:sz w:val="20"/>
                <w:szCs w:val="20"/>
                <w:lang w:val="en-GB"/>
              </w:rPr>
            </w:pPr>
            <w:r w:rsidRPr="00652121">
              <w:rPr>
                <w:rFonts w:ascii="Arial" w:eastAsia="DengXian" w:hAnsi="Arial"/>
                <w:b/>
                <w:sz w:val="20"/>
                <w:szCs w:val="20"/>
                <w:lang w:val="en-GB"/>
              </w:rPr>
              <w:t xml:space="preserve">Vai trò lãnh đạo: </w:t>
            </w:r>
            <w:r w:rsidRPr="00652121">
              <w:rPr>
                <w:rFonts w:ascii="Arial" w:eastAsia="DengXian" w:hAnsi="Arial"/>
                <w:bCs/>
                <w:sz w:val="20"/>
                <w:szCs w:val="20"/>
                <w:lang w:val="en-GB"/>
              </w:rPr>
              <w:t>Giám sát tiến trình các chuyên gia ASEAN đảm nhiệm các vị trí lãnh đạo trong các ủy ban của ISO/TC 307 hoặc trong vai trò báo cáo viên cho từng tiêu chuẩn.</w:t>
            </w:r>
          </w:p>
          <w:p w14:paraId="3C810959" w14:textId="29225458" w:rsidR="00C235CA" w:rsidRPr="004F1D15" w:rsidRDefault="00652121" w:rsidP="00652121">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652121">
              <w:rPr>
                <w:rFonts w:ascii="Arial" w:eastAsia="DengXian" w:hAnsi="Arial"/>
                <w:b/>
                <w:sz w:val="20"/>
                <w:szCs w:val="20"/>
                <w:lang w:val="en-GB"/>
              </w:rPr>
              <w:t xml:space="preserve">Đóng góp cho tiêu chuẩn: </w:t>
            </w:r>
            <w:r w:rsidRPr="00652121">
              <w:rPr>
                <w:rFonts w:ascii="Arial" w:eastAsia="DengXian" w:hAnsi="Arial"/>
                <w:bCs/>
                <w:sz w:val="20"/>
                <w:szCs w:val="20"/>
                <w:lang w:val="en-GB"/>
              </w:rPr>
              <w:t>Đo lường số lượng và chất lượng các đóng góp của các bên liên quan ASEAN đối với việc xây dựng và hoàn thiện tiêu chuẩn chuỗi khối quốc tế trong khuôn khổ ISO/TC 307</w:t>
            </w:r>
            <w:r w:rsidR="00D97D6D" w:rsidRPr="00652121">
              <w:rPr>
                <w:rFonts w:ascii="Arial" w:hAnsi="Arial"/>
                <w:bCs/>
                <w:color w:val="auto"/>
                <w:sz w:val="20"/>
                <w:szCs w:val="20"/>
                <w:lang w:val="en-GB"/>
              </w:rPr>
              <w:t>.</w:t>
            </w:r>
          </w:p>
        </w:tc>
      </w:tr>
    </w:tbl>
    <w:p w14:paraId="18C8FCB7" w14:textId="77777777" w:rsidR="008437EA" w:rsidRPr="004F1D15" w:rsidRDefault="008437EA" w:rsidP="006430D5">
      <w:pPr>
        <w:rPr>
          <w:sz w:val="20"/>
          <w:szCs w:val="20"/>
        </w:rPr>
      </w:pPr>
    </w:p>
    <w:p w14:paraId="4E551FF0" w14:textId="77777777" w:rsidR="000452BE" w:rsidRDefault="000452BE">
      <w:pPr>
        <w:spacing w:line="259" w:lineRule="auto"/>
        <w:jc w:val="left"/>
        <w:rPr>
          <w:rFonts w:eastAsia="Arial"/>
          <w:i/>
          <w:color w:val="657C9C" w:themeColor="text2" w:themeTint="BF"/>
          <w:sz w:val="20"/>
          <w:szCs w:val="20"/>
        </w:rPr>
      </w:pPr>
      <w:r>
        <w:rPr>
          <w:sz w:val="20"/>
        </w:rPr>
        <w:br w:type="page"/>
      </w:r>
    </w:p>
    <w:p w14:paraId="41DDE77C" w14:textId="07480BAF" w:rsidR="00341DF4" w:rsidRPr="004F1D15" w:rsidRDefault="00652121" w:rsidP="00C82E40">
      <w:pPr>
        <w:pStyle w:val="Heading4"/>
        <w:rPr>
          <w:sz w:val="20"/>
          <w:lang w:val="en-GB"/>
        </w:rPr>
      </w:pPr>
      <w:r>
        <w:rPr>
          <w:sz w:val="20"/>
          <w:lang w:val="en-GB"/>
        </w:rPr>
        <w:lastRenderedPageBreak/>
        <w:t>Danh</w:t>
      </w:r>
      <w:r>
        <w:rPr>
          <w:sz w:val="20"/>
          <w:lang w:val="vi-VN"/>
        </w:rPr>
        <w:t xml:space="preserve"> mục</w:t>
      </w:r>
      <w:r w:rsidR="00CC6EE0" w:rsidRPr="004F1D15">
        <w:rPr>
          <w:sz w:val="20"/>
          <w:lang w:val="en-GB"/>
        </w:rPr>
        <w:t xml:space="preserve"> </w:t>
      </w:r>
      <w:r w:rsidR="00341DF4" w:rsidRPr="004F1D15">
        <w:rPr>
          <w:sz w:val="20"/>
          <w:lang w:val="en-GB"/>
        </w:rPr>
        <w:t xml:space="preserve">2: </w:t>
      </w:r>
      <w:r w:rsidRPr="00652121">
        <w:rPr>
          <w:sz w:val="20"/>
          <w:lang w:val="vi-VN"/>
        </w:rPr>
        <w:t>Nâng cao Năng lực và Hỗ trợ Kỹ thuật</w:t>
      </w:r>
    </w:p>
    <w:tbl>
      <w:tblPr>
        <w:tblStyle w:val="ListTable3-Accent11"/>
        <w:tblW w:w="15314" w:type="dxa"/>
        <w:tblLook w:val="04A0" w:firstRow="1" w:lastRow="0" w:firstColumn="1" w:lastColumn="0" w:noHBand="0" w:noVBand="1"/>
      </w:tblPr>
      <w:tblGrid>
        <w:gridCol w:w="1694"/>
        <w:gridCol w:w="3764"/>
        <w:gridCol w:w="7"/>
        <w:gridCol w:w="3757"/>
        <w:gridCol w:w="15"/>
        <w:gridCol w:w="2303"/>
        <w:gridCol w:w="14"/>
        <w:gridCol w:w="3760"/>
      </w:tblGrid>
      <w:tr w:rsidR="00C235CA" w:rsidRPr="004F1D15" w14:paraId="27E495D0" w14:textId="77777777" w:rsidTr="00B120A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4" w:type="dxa"/>
            <w:tcBorders>
              <w:bottom w:val="single" w:sz="4" w:space="0" w:color="156082"/>
            </w:tcBorders>
            <w:shd w:val="clear" w:color="auto" w:fill="002060"/>
          </w:tcPr>
          <w:p w14:paraId="5506518A" w14:textId="0C510662" w:rsidR="00C235CA" w:rsidRPr="004F1D15" w:rsidRDefault="00EC4D74" w:rsidP="00B120AA">
            <w:pPr>
              <w:jc w:val="center"/>
              <w:rPr>
                <w:sz w:val="20"/>
                <w:szCs w:val="20"/>
              </w:rPr>
            </w:pPr>
            <w:r w:rsidRPr="00EC4D74">
              <w:rPr>
                <w:sz w:val="20"/>
                <w:szCs w:val="20"/>
              </w:rPr>
              <w:t>Khu vực hành động</w:t>
            </w:r>
          </w:p>
        </w:tc>
        <w:tc>
          <w:tcPr>
            <w:tcW w:w="3771" w:type="dxa"/>
            <w:gridSpan w:val="2"/>
            <w:shd w:val="clear" w:color="auto" w:fill="002060"/>
          </w:tcPr>
          <w:p w14:paraId="6E72F45F" w14:textId="2285F418" w:rsidR="00C235CA" w:rsidRPr="004F1D15" w:rsidRDefault="00EC4D74" w:rsidP="00B120AA">
            <w:pPr>
              <w:jc w:val="center"/>
              <w:cnfStyle w:val="100000000000" w:firstRow="1" w:lastRow="0" w:firstColumn="0" w:lastColumn="0" w:oddVBand="0" w:evenVBand="0" w:oddHBand="0" w:evenHBand="0" w:firstRowFirstColumn="0" w:firstRowLastColumn="0" w:lastRowFirstColumn="0" w:lastRowLastColumn="0"/>
              <w:rPr>
                <w:sz w:val="20"/>
                <w:szCs w:val="20"/>
              </w:rPr>
            </w:pPr>
            <w:r w:rsidRPr="00EC4D74">
              <w:rPr>
                <w:sz w:val="20"/>
                <w:szCs w:val="20"/>
              </w:rPr>
              <w:t>Lĩnh vực trọng tâm</w:t>
            </w:r>
          </w:p>
        </w:tc>
        <w:tc>
          <w:tcPr>
            <w:tcW w:w="3772" w:type="dxa"/>
            <w:gridSpan w:val="2"/>
            <w:shd w:val="clear" w:color="auto" w:fill="002060"/>
          </w:tcPr>
          <w:p w14:paraId="4B15C72A" w14:textId="6819136D" w:rsidR="00C235CA" w:rsidRPr="004F1D15" w:rsidRDefault="00EC4D74" w:rsidP="00B120AA">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EC4D74">
              <w:rPr>
                <w:sz w:val="20"/>
                <w:szCs w:val="20"/>
              </w:rPr>
              <w:t>Các mốc dự kiến và khung thời gian tạm tính</w:t>
            </w:r>
            <w:r w:rsidR="00C235CA" w:rsidRPr="004F1D15">
              <w:rPr>
                <w:sz w:val="20"/>
                <w:szCs w:val="20"/>
                <w:vertAlign w:val="superscript"/>
              </w:rPr>
              <w:footnoteReference w:id="364"/>
            </w:r>
          </w:p>
        </w:tc>
        <w:tc>
          <w:tcPr>
            <w:tcW w:w="2317" w:type="dxa"/>
            <w:gridSpan w:val="2"/>
            <w:shd w:val="clear" w:color="auto" w:fill="002060"/>
          </w:tcPr>
          <w:p w14:paraId="1D866A68" w14:textId="755963DD" w:rsidR="00C235CA" w:rsidRPr="004F1D15" w:rsidRDefault="00EC4D74" w:rsidP="00B120AA">
            <w:pPr>
              <w:jc w:val="center"/>
              <w:cnfStyle w:val="100000000000" w:firstRow="1" w:lastRow="0" w:firstColumn="0" w:lastColumn="0" w:oddVBand="0" w:evenVBand="0" w:oddHBand="0" w:evenHBand="0" w:firstRowFirstColumn="0" w:firstRowLastColumn="0" w:lastRowFirstColumn="0" w:lastRowLastColumn="0"/>
              <w:rPr>
                <w:sz w:val="20"/>
                <w:szCs w:val="20"/>
              </w:rPr>
            </w:pPr>
            <w:r w:rsidRPr="00EC4D74">
              <w:rPr>
                <w:sz w:val="20"/>
                <w:szCs w:val="20"/>
              </w:rPr>
              <w:t>Các bên chịu trách nhiệm chính</w:t>
            </w:r>
          </w:p>
        </w:tc>
        <w:tc>
          <w:tcPr>
            <w:tcW w:w="3760" w:type="dxa"/>
            <w:shd w:val="clear" w:color="auto" w:fill="002060"/>
          </w:tcPr>
          <w:p w14:paraId="48ACCA95" w14:textId="6082F3D7" w:rsidR="00C235CA" w:rsidRPr="004F1D15" w:rsidRDefault="00EC4D74" w:rsidP="00B120AA">
            <w:pPr>
              <w:jc w:val="center"/>
              <w:cnfStyle w:val="100000000000" w:firstRow="1" w:lastRow="0" w:firstColumn="0" w:lastColumn="0" w:oddVBand="0" w:evenVBand="0" w:oddHBand="0" w:evenHBand="0" w:firstRowFirstColumn="0" w:firstRowLastColumn="0" w:lastRowFirstColumn="0" w:lastRowLastColumn="0"/>
              <w:rPr>
                <w:sz w:val="20"/>
                <w:szCs w:val="20"/>
              </w:rPr>
            </w:pPr>
            <w:r w:rsidRPr="00EC4D74">
              <w:rPr>
                <w:sz w:val="20"/>
                <w:szCs w:val="20"/>
              </w:rPr>
              <w:t>Thước đo tiến độ</w:t>
            </w:r>
          </w:p>
        </w:tc>
      </w:tr>
      <w:tr w:rsidR="00C235CA" w:rsidRPr="004F1D15" w14:paraId="78C63B42" w14:textId="77777777" w:rsidTr="00B12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shd w:val="clear" w:color="auto" w:fill="00B0F0"/>
          </w:tcPr>
          <w:p w14:paraId="075424AF" w14:textId="57D1940D" w:rsidR="00C235CA" w:rsidRPr="004F1D15" w:rsidRDefault="00EC4D74">
            <w:pPr>
              <w:rPr>
                <w:sz w:val="20"/>
                <w:szCs w:val="20"/>
              </w:rPr>
            </w:pPr>
            <w:r w:rsidRPr="00EC4D74">
              <w:rPr>
                <w:sz w:val="20"/>
                <w:szCs w:val="20"/>
              </w:rPr>
              <w:t>Khu vực hành động chính</w:t>
            </w:r>
          </w:p>
        </w:tc>
        <w:tc>
          <w:tcPr>
            <w:tcW w:w="13620" w:type="dxa"/>
            <w:gridSpan w:val="7"/>
            <w:tcBorders>
              <w:left w:val="single" w:sz="4" w:space="0" w:color="156082"/>
            </w:tcBorders>
            <w:shd w:val="clear" w:color="auto" w:fill="00B0F0"/>
          </w:tcPr>
          <w:p w14:paraId="420FF211" w14:textId="2675BBCD" w:rsidR="00C235CA" w:rsidRPr="00EC4D74" w:rsidRDefault="00A24840">
            <w:pPr>
              <w:cnfStyle w:val="000000100000" w:firstRow="0" w:lastRow="0" w:firstColumn="0" w:lastColumn="0" w:oddVBand="0" w:evenVBand="0" w:oddHBand="1" w:evenHBand="0" w:firstRowFirstColumn="0" w:firstRowLastColumn="0" w:lastRowFirstColumn="0" w:lastRowLastColumn="0"/>
              <w:rPr>
                <w:rFonts w:eastAsiaTheme="minorEastAsia"/>
                <w:b/>
                <w:bCs/>
                <w:sz w:val="20"/>
                <w:szCs w:val="20"/>
                <w:lang w:val="vi-VN"/>
              </w:rPr>
            </w:pPr>
            <w:r>
              <w:rPr>
                <w:b/>
                <w:bCs/>
                <w:sz w:val="20"/>
                <w:szCs w:val="20"/>
              </w:rPr>
              <w:t>6.2.12.2</w:t>
            </w:r>
            <w:r w:rsidR="00074C4C" w:rsidRPr="004F1D15">
              <w:rPr>
                <w:b/>
                <w:sz w:val="20"/>
                <w:szCs w:val="20"/>
              </w:rPr>
              <w:t xml:space="preserve"> </w:t>
            </w:r>
            <w:r w:rsidR="00EC4D74" w:rsidRPr="00EC4D74">
              <w:rPr>
                <w:b/>
                <w:sz w:val="20"/>
                <w:szCs w:val="20"/>
                <w:lang w:val="vi-VN"/>
              </w:rPr>
              <w:t>Tăng cường Nhận thức và Hiểu biết về Công nghệ Blockchain</w:t>
            </w:r>
          </w:p>
        </w:tc>
      </w:tr>
      <w:tr w:rsidR="00C235CA" w:rsidRPr="004F1D15" w14:paraId="324C0362" w14:textId="77777777" w:rsidTr="00B120AA">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156082"/>
              <w:bottom w:val="single" w:sz="4" w:space="0" w:color="156082"/>
              <w:right w:val="single" w:sz="4" w:space="0" w:color="156082"/>
            </w:tcBorders>
            <w:shd w:val="clear" w:color="auto" w:fill="BDD6EE" w:themeFill="accent5" w:themeFillTint="66"/>
          </w:tcPr>
          <w:p w14:paraId="67DC3EF2" w14:textId="761DBE55" w:rsidR="00C235CA" w:rsidRPr="004F1D15" w:rsidRDefault="006A7996">
            <w:pPr>
              <w:rPr>
                <w:sz w:val="20"/>
                <w:szCs w:val="20"/>
              </w:rPr>
            </w:pPr>
            <w:r>
              <w:rPr>
                <w:sz w:val="20"/>
                <w:szCs w:val="20"/>
              </w:rPr>
              <w:t>Mục tiêu</w:t>
            </w:r>
          </w:p>
        </w:tc>
        <w:tc>
          <w:tcPr>
            <w:tcW w:w="13620" w:type="dxa"/>
            <w:gridSpan w:val="7"/>
            <w:tcBorders>
              <w:left w:val="single" w:sz="4" w:space="0" w:color="156082"/>
            </w:tcBorders>
            <w:shd w:val="clear" w:color="auto" w:fill="BDD6EE" w:themeFill="accent5" w:themeFillTint="66"/>
          </w:tcPr>
          <w:p w14:paraId="0767C061" w14:textId="5CE055AA" w:rsidR="00C235CA" w:rsidRPr="004F1D15" w:rsidRDefault="00EC4D74"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hAnsi="Arial"/>
                <w:sz w:val="20"/>
                <w:szCs w:val="20"/>
                <w:lang w:val="en-GB"/>
              </w:rPr>
            </w:pPr>
            <w:r w:rsidRPr="00EC4D74">
              <w:rPr>
                <w:rFonts w:ascii="Arial" w:eastAsia="DengXian" w:hAnsi="Arial"/>
                <w:b/>
                <w:sz w:val="20"/>
                <w:szCs w:val="20"/>
                <w:lang w:val="en-GB"/>
              </w:rPr>
              <w:t xml:space="preserve">Dòng dữ liệu an toàn và liền mạch (Secure and Seamless Data Flows): </w:t>
            </w:r>
            <w:r w:rsidRPr="00EC4D74">
              <w:rPr>
                <w:rFonts w:ascii="Arial" w:eastAsia="DengXian" w:hAnsi="Arial"/>
                <w:bCs/>
                <w:sz w:val="20"/>
                <w:szCs w:val="20"/>
                <w:lang w:val="en-GB"/>
              </w:rPr>
              <w:t>Phát triển và tăng cường cơ sở hạ tầng số liên quan nhằm bảo đảm dòng dữ liệu xuyên biên giới liền mạch và an toàn.</w:t>
            </w:r>
          </w:p>
        </w:tc>
      </w:tr>
      <w:tr w:rsidR="00C235CA" w:rsidRPr="004F1D15" w14:paraId="15979E00" w14:textId="77777777" w:rsidTr="6BB67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tcPr>
          <w:p w14:paraId="292A9EA5" w14:textId="0FC984B5" w:rsidR="00C235CA" w:rsidRPr="004F1D15" w:rsidRDefault="00A24840">
            <w:pPr>
              <w:rPr>
                <w:sz w:val="20"/>
                <w:szCs w:val="20"/>
              </w:rPr>
            </w:pPr>
            <w:r>
              <w:rPr>
                <w:sz w:val="20"/>
                <w:szCs w:val="20"/>
              </w:rPr>
              <w:t>6.2.12.2</w:t>
            </w:r>
            <w:r w:rsidR="00074C4C" w:rsidRPr="004F1D15">
              <w:rPr>
                <w:sz w:val="20"/>
                <w:szCs w:val="20"/>
              </w:rPr>
              <w:t xml:space="preserve"> </w:t>
            </w:r>
            <w:r w:rsidR="00EC4D74" w:rsidRPr="00EC4D74">
              <w:rPr>
                <w:sz w:val="20"/>
                <w:szCs w:val="20"/>
              </w:rPr>
              <w:t>Tăng cường Nhận thức và Hiểu biết về Công nghệ Blockchain</w:t>
            </w:r>
          </w:p>
        </w:tc>
        <w:tc>
          <w:tcPr>
            <w:tcW w:w="3764" w:type="dxa"/>
            <w:tcBorders>
              <w:left w:val="single" w:sz="4" w:space="0" w:color="156082"/>
              <w:right w:val="single" w:sz="4" w:space="0" w:color="156082"/>
            </w:tcBorders>
          </w:tcPr>
          <w:p w14:paraId="7E27B8A9" w14:textId="6F474571" w:rsidR="00537ED4" w:rsidRPr="00537ED4" w:rsidRDefault="00537ED4" w:rsidP="00537ED4">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b/>
                <w:color w:val="auto"/>
                <w:sz w:val="20"/>
                <w:szCs w:val="20"/>
                <w:lang w:val="en-GB"/>
              </w:rPr>
            </w:pPr>
            <w:r w:rsidRPr="00537ED4">
              <w:rPr>
                <w:rFonts w:ascii="Arial" w:hAnsi="Arial"/>
                <w:b/>
                <w:color w:val="auto"/>
                <w:sz w:val="20"/>
                <w:szCs w:val="20"/>
                <w:lang w:val="en-GB"/>
              </w:rPr>
              <w:t xml:space="preserve">Chương trình đào tạo dành cho nhà hoạch định chính sách và cơ quan quản lý: </w:t>
            </w:r>
            <w:r w:rsidRPr="00537ED4">
              <w:rPr>
                <w:rFonts w:ascii="Arial" w:hAnsi="Arial"/>
                <w:bCs/>
                <w:color w:val="auto"/>
                <w:sz w:val="20"/>
                <w:szCs w:val="20"/>
                <w:lang w:val="en-GB"/>
              </w:rPr>
              <w:t>Phát triển và triển khai các khóa đào tạo và hội thảo chuyên sâu dành cho nhà hoạch định chính sách và cơ quan quản lý của các quốc gia thành viên ASEAN nhằm nâng cao hiểu biết về công nghệ blockchain, các tác động về mặt quản lý, và những lợi ích tiềm năng đối với hoạt động và dịch vụ của chính phủ.</w:t>
            </w:r>
          </w:p>
          <w:p w14:paraId="52800646" w14:textId="4D10C52E" w:rsidR="00537ED4" w:rsidRPr="00537ED4" w:rsidRDefault="00537ED4" w:rsidP="00537ED4">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bCs/>
                <w:color w:val="auto"/>
                <w:sz w:val="20"/>
                <w:szCs w:val="20"/>
                <w:lang w:val="en-GB"/>
              </w:rPr>
            </w:pPr>
            <w:r w:rsidRPr="00537ED4">
              <w:rPr>
                <w:rFonts w:ascii="Arial" w:hAnsi="Arial"/>
                <w:b/>
                <w:color w:val="auto"/>
                <w:sz w:val="20"/>
                <w:szCs w:val="20"/>
                <w:lang w:val="en-GB"/>
              </w:rPr>
              <w:t xml:space="preserve">Sáng kiến giáo dục dành cho khu vực tư nhân: </w:t>
            </w:r>
            <w:r w:rsidRPr="00537ED4">
              <w:rPr>
                <w:rFonts w:ascii="Arial" w:hAnsi="Arial"/>
                <w:bCs/>
                <w:color w:val="auto"/>
                <w:sz w:val="20"/>
                <w:szCs w:val="20"/>
                <w:lang w:val="en-GB"/>
              </w:rPr>
              <w:t>Khởi động các sáng kiến giáo dục bao gồm hội thảo, hội nghị trực tuyến, và các khóa chứng chỉ nhằm nâng cao kiến thức về công nghệ blockchain cho lãnh đạo doanh nghiệp và các chuyên gia trong khu vực tư nhân, tập trung vào các ứng dụng thực tiễn và trường hợp sử dụng theo ngành.</w:t>
            </w:r>
          </w:p>
          <w:p w14:paraId="2F854D32" w14:textId="7DE1976F" w:rsidR="00537ED4" w:rsidRPr="00537ED4" w:rsidRDefault="00537ED4" w:rsidP="00537ED4">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bCs/>
                <w:color w:val="auto"/>
                <w:sz w:val="20"/>
                <w:szCs w:val="20"/>
                <w:lang w:val="en-GB"/>
              </w:rPr>
            </w:pPr>
            <w:r w:rsidRPr="00537ED4">
              <w:rPr>
                <w:rFonts w:ascii="Arial" w:hAnsi="Arial"/>
                <w:b/>
                <w:color w:val="auto"/>
                <w:sz w:val="20"/>
                <w:szCs w:val="20"/>
                <w:lang w:val="en-GB"/>
              </w:rPr>
              <w:t xml:space="preserve">Phát triển và phổ biến các bộ công cụ hỗ trợ áp dụng: </w:t>
            </w:r>
            <w:r w:rsidRPr="00537ED4">
              <w:rPr>
                <w:rFonts w:ascii="Arial" w:hAnsi="Arial"/>
                <w:bCs/>
                <w:color w:val="auto"/>
                <w:sz w:val="20"/>
                <w:szCs w:val="20"/>
                <w:lang w:val="en-GB"/>
              </w:rPr>
              <w:t xml:space="preserve">Xây dựng </w:t>
            </w:r>
            <w:r w:rsidRPr="00537ED4">
              <w:rPr>
                <w:rFonts w:ascii="Arial" w:hAnsi="Arial"/>
                <w:bCs/>
                <w:color w:val="auto"/>
                <w:sz w:val="20"/>
                <w:szCs w:val="20"/>
                <w:lang w:val="en-GB"/>
              </w:rPr>
              <w:lastRenderedPageBreak/>
              <w:t>và phân phối các bộ công cụ thực hành bao gồm hướng dẫn từng bước, nghiên cứu tình huống, và chiến lược triển khai giúp doanh nghiệp – đặc biệt là DNNVV – tích hợp công nghệ blockchain vào hoạt động một cách hiệu quả.</w:t>
            </w:r>
          </w:p>
          <w:p w14:paraId="33750539" w14:textId="0C145BD0" w:rsidR="00C235CA" w:rsidRPr="00516087" w:rsidRDefault="00537ED4" w:rsidP="00537ED4">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537ED4">
              <w:rPr>
                <w:rFonts w:ascii="Arial" w:hAnsi="Arial"/>
                <w:b/>
                <w:color w:val="auto"/>
                <w:sz w:val="20"/>
                <w:szCs w:val="20"/>
                <w:lang w:val="en-GB"/>
              </w:rPr>
              <w:t xml:space="preserve">Biên soạn và phổ biến Bộ hướng dẫn và Thông lệ tốt nhất: </w:t>
            </w:r>
            <w:r w:rsidRPr="00537ED4">
              <w:rPr>
                <w:rFonts w:ascii="Arial" w:hAnsi="Arial"/>
                <w:bCs/>
                <w:color w:val="auto"/>
                <w:sz w:val="20"/>
                <w:szCs w:val="20"/>
                <w:lang w:val="en-GB"/>
              </w:rPr>
              <w:t>Biên soạn và cung cấp bộ thông lệ tốt nhất và hướng dẫn toàn diện về áp dụng blockchain, bao gồm các khía cạnh như bảo mật, khả năng mở rộng, tuân thủ quy định, và khả năng tương tác, nhằm hỗ trợ doanh nghiệp điều hướng những thách thức của công nghệ blockchain</w:t>
            </w:r>
            <w:r w:rsidR="00D97D6D" w:rsidRPr="00537ED4">
              <w:rPr>
                <w:rFonts w:ascii="Arial" w:hAnsi="Arial"/>
                <w:bCs/>
                <w:color w:val="auto"/>
                <w:sz w:val="20"/>
                <w:szCs w:val="20"/>
                <w:lang w:val="en-GB"/>
              </w:rPr>
              <w:t>.</w:t>
            </w:r>
          </w:p>
        </w:tc>
        <w:tc>
          <w:tcPr>
            <w:tcW w:w="3764" w:type="dxa"/>
            <w:gridSpan w:val="2"/>
            <w:tcBorders>
              <w:left w:val="single" w:sz="4" w:space="0" w:color="156082"/>
              <w:right w:val="single" w:sz="4" w:space="0" w:color="156082"/>
            </w:tcBorders>
          </w:tcPr>
          <w:p w14:paraId="45F6622D" w14:textId="5C545649" w:rsidR="00AD35F0" w:rsidRPr="004F1D15" w:rsidRDefault="00537ED4" w:rsidP="00AD35F0">
            <w:pPr>
              <w:cnfStyle w:val="000000100000" w:firstRow="0" w:lastRow="0" w:firstColumn="0" w:lastColumn="0" w:oddVBand="0" w:evenVBand="0" w:oddHBand="1" w:evenHBand="0" w:firstRowFirstColumn="0" w:firstRowLastColumn="0" w:lastRowFirstColumn="0" w:lastRowLastColumn="0"/>
              <w:rPr>
                <w:sz w:val="20"/>
                <w:szCs w:val="20"/>
              </w:rPr>
            </w:pPr>
            <w:r w:rsidRPr="00537ED4">
              <w:rPr>
                <w:sz w:val="20"/>
                <w:szCs w:val="20"/>
              </w:rPr>
              <w:lastRenderedPageBreak/>
              <w:t>Ngắn hạn</w:t>
            </w:r>
            <w:r w:rsidR="00AD35F0" w:rsidRPr="004F1D15">
              <w:rPr>
                <w:sz w:val="20"/>
                <w:szCs w:val="20"/>
              </w:rPr>
              <w:t>:</w:t>
            </w:r>
          </w:p>
          <w:p w14:paraId="271485D5" w14:textId="2616C3AE" w:rsidR="00537ED4" w:rsidRPr="00537ED4" w:rsidRDefault="00537ED4" w:rsidP="00537ED4">
            <w:pPr>
              <w:pStyle w:val="ListParagraph"/>
              <w:numPr>
                <w:ilvl w:val="0"/>
                <w:numId w:val="28"/>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537ED4">
              <w:rPr>
                <w:rFonts w:ascii="Arial" w:eastAsia="DengXian" w:hAnsi="Arial"/>
                <w:color w:val="auto"/>
                <w:sz w:val="20"/>
                <w:szCs w:val="20"/>
                <w:lang w:val="en-GB"/>
              </w:rPr>
              <w:t>Tiến hành đánh giá nhu cầu toàn diện để xác định các yêu cầu đào tạo và giáo dục cụ thể của nhà hoạch định chính sách, cơ quan quản lý và các bên liên quan khu vực tư nhân trong ASEAN.</w:t>
            </w:r>
          </w:p>
          <w:p w14:paraId="2AAB9027" w14:textId="59022A2C" w:rsidR="00537ED4" w:rsidRPr="001D0870" w:rsidRDefault="00537ED4" w:rsidP="001D0870">
            <w:pPr>
              <w:pStyle w:val="ListParagraph"/>
              <w:numPr>
                <w:ilvl w:val="0"/>
                <w:numId w:val="28"/>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537ED4">
              <w:rPr>
                <w:rFonts w:ascii="Arial" w:eastAsia="DengXian" w:hAnsi="Arial"/>
                <w:color w:val="auto"/>
                <w:sz w:val="20"/>
                <w:szCs w:val="20"/>
                <w:lang w:val="en-GB"/>
              </w:rPr>
              <w:t>Khởi động các chương trình đào tạo thí điểm ở một số quốc gia thành viên ASEAN, tập trung vào các kỹ năng và năng lực cốt lõi.</w:t>
            </w:r>
          </w:p>
          <w:p w14:paraId="50EEBC68" w14:textId="0F8F5C11" w:rsidR="00537ED4" w:rsidRPr="001D0870" w:rsidRDefault="00537ED4" w:rsidP="001D0870">
            <w:pPr>
              <w:pStyle w:val="ListParagraph"/>
              <w:numPr>
                <w:ilvl w:val="0"/>
                <w:numId w:val="28"/>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537ED4">
              <w:rPr>
                <w:rFonts w:ascii="Arial" w:eastAsia="DengXian" w:hAnsi="Arial"/>
                <w:color w:val="auto"/>
                <w:sz w:val="20"/>
                <w:szCs w:val="20"/>
                <w:lang w:val="en-GB"/>
              </w:rPr>
              <w:t>Bắt đầu vòng đầu tiên của các hội thảo và hội nghị trực tuyến dành cho lãnh đạo và chuyên gia khu vực tư nhân.</w:t>
            </w:r>
          </w:p>
          <w:p w14:paraId="28DF93AF" w14:textId="68C971B4" w:rsidR="00AD35F0" w:rsidRPr="00722171" w:rsidRDefault="00537ED4" w:rsidP="00537ED4">
            <w:pPr>
              <w:pStyle w:val="ListParagraph"/>
              <w:numPr>
                <w:ilvl w:val="0"/>
                <w:numId w:val="28"/>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b/>
                <w:color w:val="auto"/>
                <w:sz w:val="20"/>
                <w:szCs w:val="20"/>
                <w:lang w:val="en-GB"/>
              </w:rPr>
            </w:pPr>
            <w:r w:rsidRPr="00537ED4">
              <w:rPr>
                <w:rFonts w:ascii="Arial" w:eastAsia="DengXian" w:hAnsi="Arial"/>
                <w:color w:val="auto"/>
                <w:sz w:val="20"/>
                <w:szCs w:val="20"/>
                <w:lang w:val="en-GB"/>
              </w:rPr>
              <w:t xml:space="preserve">Khởi động việc xây dựng các bộ công cụ thực hành, bao gồm các bản thảo ban đầu của hướng dẫn từng bước và nghiên cứu tình huống. Phối hợp với chuyên gia ngành và các bên liên quan, bao gồm doanh nghiệp nhỏ và vừa, để </w:t>
            </w:r>
            <w:r w:rsidRPr="00537ED4">
              <w:rPr>
                <w:rFonts w:ascii="Arial" w:eastAsia="DengXian" w:hAnsi="Arial"/>
                <w:color w:val="auto"/>
                <w:sz w:val="20"/>
                <w:szCs w:val="20"/>
                <w:lang w:val="en-GB"/>
              </w:rPr>
              <w:lastRenderedPageBreak/>
              <w:t>bảo đảm bộ công cụ đáp ứng nhu cầu thực tế và tiêu chuẩn</w:t>
            </w:r>
            <w:r w:rsidR="00AD35F0" w:rsidRPr="004F1D15">
              <w:rPr>
                <w:rFonts w:ascii="Arial" w:eastAsia="DengXian" w:hAnsi="Arial"/>
                <w:color w:val="auto"/>
                <w:sz w:val="20"/>
                <w:szCs w:val="20"/>
                <w:lang w:val="en-GB"/>
              </w:rPr>
              <w:t>.</w:t>
            </w:r>
          </w:p>
          <w:p w14:paraId="428A22AF" w14:textId="77777777" w:rsidR="00722171" w:rsidRPr="004F1D15" w:rsidRDefault="00722171" w:rsidP="00722171">
            <w:pPr>
              <w:pStyle w:val="ListParagraph"/>
              <w:numPr>
                <w:ilvl w:val="0"/>
                <w:numId w:val="0"/>
              </w:numPr>
              <w:spacing w:after="0"/>
              <w:ind w:left="360"/>
              <w:cnfStyle w:val="000000100000" w:firstRow="0" w:lastRow="0" w:firstColumn="0" w:lastColumn="0" w:oddVBand="0" w:evenVBand="0" w:oddHBand="1" w:evenHBand="0" w:firstRowFirstColumn="0" w:firstRowLastColumn="0" w:lastRowFirstColumn="0" w:lastRowLastColumn="0"/>
              <w:rPr>
                <w:rFonts w:ascii="Arial" w:eastAsia="DengXian" w:hAnsi="Arial"/>
                <w:b/>
                <w:color w:val="auto"/>
                <w:sz w:val="20"/>
                <w:szCs w:val="20"/>
                <w:lang w:val="en-GB"/>
              </w:rPr>
            </w:pPr>
          </w:p>
          <w:p w14:paraId="24315A92" w14:textId="0C9FA33C" w:rsidR="00AD35F0" w:rsidRPr="004F1D15" w:rsidRDefault="001D0870" w:rsidP="00AD35F0">
            <w:pPr>
              <w:cnfStyle w:val="000000100000" w:firstRow="0" w:lastRow="0" w:firstColumn="0" w:lastColumn="0" w:oddVBand="0" w:evenVBand="0" w:oddHBand="1" w:evenHBand="0" w:firstRowFirstColumn="0" w:firstRowLastColumn="0" w:lastRowFirstColumn="0" w:lastRowLastColumn="0"/>
              <w:rPr>
                <w:sz w:val="20"/>
                <w:szCs w:val="20"/>
              </w:rPr>
            </w:pPr>
            <w:r w:rsidRPr="001D0870">
              <w:rPr>
                <w:sz w:val="20"/>
                <w:szCs w:val="20"/>
              </w:rPr>
              <w:t>Trung hạn</w:t>
            </w:r>
            <w:r w:rsidR="00AD35F0" w:rsidRPr="004F1D15">
              <w:rPr>
                <w:sz w:val="20"/>
                <w:szCs w:val="20"/>
              </w:rPr>
              <w:t>:</w:t>
            </w:r>
          </w:p>
          <w:p w14:paraId="6EA67B27" w14:textId="77777777" w:rsidR="001D0870" w:rsidRPr="001D0870" w:rsidRDefault="001D0870" w:rsidP="001D087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1D0870">
              <w:rPr>
                <w:rFonts w:ascii="Arial" w:eastAsia="DengXian" w:hAnsi="Arial"/>
                <w:color w:val="auto"/>
                <w:sz w:val="20"/>
                <w:szCs w:val="20"/>
                <w:lang w:val="en-GB"/>
              </w:rPr>
              <w:t>Triển khai các chương trình đào tạo toàn diện trên tất cả các quốc gia thành viên ASEAN, hướng đến nhóm đối tượng rộng hơn gồm nhà hoạch định chính sách, cơ quan quản lý và các chuyên gia khu vực tư nhân.</w:t>
            </w:r>
          </w:p>
          <w:p w14:paraId="0B715E0C" w14:textId="7CC019E6" w:rsidR="001D0870" w:rsidRPr="001D0870" w:rsidRDefault="001D0870" w:rsidP="001D087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1D0870">
              <w:rPr>
                <w:rFonts w:ascii="Arial" w:eastAsia="DengXian" w:hAnsi="Arial"/>
                <w:color w:val="auto"/>
                <w:sz w:val="20"/>
                <w:szCs w:val="20"/>
                <w:lang w:val="en-GB"/>
              </w:rPr>
              <w:t>Giới thiệu các khóa chứng chỉ liên quan đến blockchain và các mô-đun đào tạo nâng cao để tăng cường chuyên môn sâu.</w:t>
            </w:r>
          </w:p>
          <w:p w14:paraId="68E73B10" w14:textId="4482B4B0" w:rsidR="001D0870" w:rsidRPr="001D0870" w:rsidRDefault="001D0870" w:rsidP="001D087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1D0870">
              <w:rPr>
                <w:rFonts w:ascii="Arial" w:eastAsia="DengXian" w:hAnsi="Arial"/>
                <w:color w:val="auto"/>
                <w:sz w:val="20"/>
                <w:szCs w:val="20"/>
                <w:lang w:val="en-GB"/>
              </w:rPr>
              <w:t>Hoàn thiện và phân phối bộ công cụ hỗ trợ áp dụng blockchain đến doanh nghiệp, đặc biệt là DNNVV, thông qua nhiều kênh khác nhau như nền tảng trực tuyến, hiệp hội ngành nghề và cơ quan chính phủ.</w:t>
            </w:r>
          </w:p>
          <w:p w14:paraId="0634596B" w14:textId="2FDDB3FB" w:rsidR="00AD35F0" w:rsidRPr="00516087" w:rsidRDefault="001D0870" w:rsidP="001D087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1D0870">
              <w:rPr>
                <w:rFonts w:ascii="Arial" w:eastAsia="DengXian" w:hAnsi="Arial"/>
                <w:color w:val="auto"/>
                <w:sz w:val="20"/>
                <w:szCs w:val="20"/>
                <w:lang w:val="en-GB"/>
              </w:rPr>
              <w:t>Tổ chức các phiên hỗ trợ và theo dõi để giúp doanh nghiệp sử dụng bộ công cụ một cách hiệu quả</w:t>
            </w:r>
            <w:r w:rsidR="00AD35F0" w:rsidRPr="00516087">
              <w:rPr>
                <w:rFonts w:ascii="Arial" w:eastAsia="DengXian" w:hAnsi="Arial"/>
                <w:color w:val="auto"/>
                <w:sz w:val="20"/>
                <w:szCs w:val="20"/>
                <w:lang w:val="en-GB"/>
              </w:rPr>
              <w:t>.</w:t>
            </w:r>
          </w:p>
          <w:p w14:paraId="21570DE7" w14:textId="00074AFD" w:rsidR="00AD35F0" w:rsidRPr="004F1D15" w:rsidRDefault="001D0870" w:rsidP="00AD35F0">
            <w:pPr>
              <w:cnfStyle w:val="000000100000" w:firstRow="0" w:lastRow="0" w:firstColumn="0" w:lastColumn="0" w:oddVBand="0" w:evenVBand="0" w:oddHBand="1" w:evenHBand="0" w:firstRowFirstColumn="0" w:firstRowLastColumn="0" w:lastRowFirstColumn="0" w:lastRowLastColumn="0"/>
              <w:rPr>
                <w:sz w:val="20"/>
                <w:szCs w:val="20"/>
              </w:rPr>
            </w:pPr>
            <w:r w:rsidRPr="001D0870">
              <w:rPr>
                <w:sz w:val="20"/>
                <w:szCs w:val="20"/>
              </w:rPr>
              <w:t>Dài hạn</w:t>
            </w:r>
            <w:r w:rsidR="00AD35F0" w:rsidRPr="004F1D15">
              <w:rPr>
                <w:sz w:val="20"/>
                <w:szCs w:val="20"/>
              </w:rPr>
              <w:t>:</w:t>
            </w:r>
          </w:p>
          <w:p w14:paraId="6CF45AAD" w14:textId="77777777" w:rsidR="001D0870" w:rsidRPr="001D0870" w:rsidRDefault="001D0870" w:rsidP="001D087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1D0870">
              <w:rPr>
                <w:rFonts w:ascii="Arial" w:eastAsia="DengXian" w:hAnsi="Arial"/>
                <w:color w:val="auto"/>
                <w:sz w:val="20"/>
                <w:szCs w:val="20"/>
                <w:lang w:val="en-GB"/>
              </w:rPr>
              <w:t>Thiết lập các chương trình đào tạo liên tục và các cơ hội phát triển chuyên môn nhằm giúp nhà hoạch định chính sách, cơ quan quản lý và chuyên gia khu vực tư nhân cập nhật những tiến bộ mới nhất của công nghệ blockchain.</w:t>
            </w:r>
          </w:p>
          <w:p w14:paraId="55A81EBF" w14:textId="43B0F1C4" w:rsidR="001D0870" w:rsidRPr="001D0870" w:rsidRDefault="001D0870" w:rsidP="001D087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1D0870">
              <w:rPr>
                <w:rFonts w:ascii="Arial" w:eastAsia="DengXian" w:hAnsi="Arial"/>
                <w:color w:val="auto"/>
                <w:sz w:val="20"/>
                <w:szCs w:val="20"/>
                <w:lang w:val="en-GB"/>
              </w:rPr>
              <w:t xml:space="preserve">Thường xuyên cập nhật nội dung đào tạo để phản ánh tiến bộ công </w:t>
            </w:r>
            <w:r w:rsidRPr="001D0870">
              <w:rPr>
                <w:rFonts w:ascii="Arial" w:eastAsia="DengXian" w:hAnsi="Arial"/>
                <w:color w:val="auto"/>
                <w:sz w:val="20"/>
                <w:szCs w:val="20"/>
                <w:lang w:val="en-GB"/>
              </w:rPr>
              <w:lastRenderedPageBreak/>
              <w:t>nghệ và động lực thị trường thay đổi.</w:t>
            </w:r>
          </w:p>
          <w:p w14:paraId="652D641E" w14:textId="5A718BD9" w:rsidR="001D0870" w:rsidRPr="001D0870" w:rsidRDefault="001D0870" w:rsidP="001D087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1D0870">
              <w:rPr>
                <w:rFonts w:ascii="Arial" w:eastAsia="DengXian" w:hAnsi="Arial"/>
                <w:color w:val="auto"/>
                <w:sz w:val="20"/>
                <w:szCs w:val="20"/>
                <w:lang w:val="en-GB"/>
              </w:rPr>
              <w:t>Duy trì hệ thống hỗ trợ thể chế vững chắc cho các tiến bộ tương lai trong công nghệ và tiêu chuẩn blockchain.</w:t>
            </w:r>
          </w:p>
          <w:p w14:paraId="133D1EFE" w14:textId="7819783D" w:rsidR="001D0870" w:rsidRPr="001D0870" w:rsidRDefault="001D0870" w:rsidP="001D087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1D0870">
              <w:rPr>
                <w:rFonts w:ascii="Arial" w:eastAsia="DengXian" w:hAnsi="Arial"/>
                <w:color w:val="auto"/>
                <w:sz w:val="20"/>
                <w:szCs w:val="20"/>
                <w:lang w:val="en-GB"/>
              </w:rPr>
              <w:t>Tăng cường hợp tác với đối tác toàn cầu nhằm tiếp thu thông lệ tốt nhất trong lĩnh vực blockchain.</w:t>
            </w:r>
          </w:p>
          <w:p w14:paraId="12B20431" w14:textId="15FDB27C" w:rsidR="00C235CA" w:rsidRPr="00516087" w:rsidRDefault="001D0870" w:rsidP="001D0870">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1D0870">
              <w:rPr>
                <w:rFonts w:ascii="Arial" w:eastAsia="DengXian" w:hAnsi="Arial"/>
                <w:color w:val="auto"/>
                <w:sz w:val="20"/>
                <w:szCs w:val="20"/>
                <w:lang w:val="en-GB"/>
              </w:rPr>
              <w:t>Đạt được mức độ áp dụng rộng rãi công nghệ blockchain trên nhiều lĩnh vực, với số lượng đáng kể DNNVV và doanh nghiệp lớn tích hợp blockchain vào hoạt động</w:t>
            </w:r>
            <w:r w:rsidR="00AD35F0" w:rsidRPr="00516087">
              <w:rPr>
                <w:rFonts w:ascii="Arial" w:eastAsia="DengXian" w:hAnsi="Arial"/>
                <w:color w:val="auto"/>
                <w:sz w:val="20"/>
                <w:szCs w:val="20"/>
                <w:lang w:val="en-GB"/>
              </w:rPr>
              <w:t>.</w:t>
            </w:r>
          </w:p>
        </w:tc>
        <w:tc>
          <w:tcPr>
            <w:tcW w:w="2318" w:type="dxa"/>
            <w:gridSpan w:val="2"/>
            <w:tcBorders>
              <w:left w:val="single" w:sz="4" w:space="0" w:color="156082"/>
              <w:right w:val="single" w:sz="4" w:space="0" w:color="156082"/>
            </w:tcBorders>
          </w:tcPr>
          <w:p w14:paraId="651DFE3E" w14:textId="572149C6" w:rsidR="00AD35F0" w:rsidRPr="004F1D15" w:rsidRDefault="003802E0" w:rsidP="00AD35F0">
            <w:pPr>
              <w:cnfStyle w:val="000000100000" w:firstRow="0" w:lastRow="0" w:firstColumn="0" w:lastColumn="0" w:oddVBand="0" w:evenVBand="0" w:oddHBand="1" w:evenHBand="0" w:firstRowFirstColumn="0" w:firstRowLastColumn="0" w:lastRowFirstColumn="0" w:lastRowLastColumn="0"/>
              <w:rPr>
                <w:sz w:val="20"/>
                <w:szCs w:val="20"/>
              </w:rPr>
            </w:pPr>
            <w:r w:rsidRPr="003802E0">
              <w:rPr>
                <w:sz w:val="20"/>
                <w:szCs w:val="20"/>
              </w:rPr>
              <w:lastRenderedPageBreak/>
              <w:t>Cơ quan điều phối</w:t>
            </w:r>
            <w:r w:rsidR="4F5C9C0D" w:rsidRPr="004F1D15">
              <w:rPr>
                <w:sz w:val="20"/>
                <w:szCs w:val="20"/>
              </w:rPr>
              <w:t>:</w:t>
            </w:r>
          </w:p>
          <w:p w14:paraId="7B2DD411" w14:textId="24A88CDF" w:rsidR="0059724A" w:rsidRPr="00254CFF" w:rsidRDefault="003802E0" w:rsidP="0059724A">
            <w:pPr>
              <w:pStyle w:val="ListParagraph"/>
              <w:numPr>
                <w:ilvl w:val="0"/>
                <w:numId w:val="28"/>
              </w:numPr>
              <w:spacing w:after="0"/>
              <w:cnfStyle w:val="000000100000" w:firstRow="0" w:lastRow="0" w:firstColumn="0" w:lastColumn="0" w:oddVBand="0" w:evenVBand="0" w:oddHBand="1" w:evenHBand="0" w:firstRowFirstColumn="0" w:firstRowLastColumn="0" w:lastRowFirstColumn="0" w:lastRowLastColumn="0"/>
              <w:rPr>
                <w:rFonts w:eastAsia="DengXian"/>
                <w:sz w:val="20"/>
                <w:szCs w:val="20"/>
              </w:rPr>
            </w:pPr>
            <w:r w:rsidRPr="003802E0">
              <w:rPr>
                <w:rFonts w:ascii="Arial" w:eastAsia="DengXian" w:hAnsi="Arial"/>
                <w:sz w:val="20"/>
                <w:szCs w:val="20"/>
                <w:lang w:val="en-GB"/>
              </w:rPr>
              <w:t xml:space="preserve">Nhóm Công tác về Tiêu chuẩn và Sự phù hợp trong Thương mại số </w:t>
            </w:r>
            <w:r w:rsidR="00A24840" w:rsidRPr="00435C72">
              <w:rPr>
                <w:rFonts w:ascii="Arial" w:eastAsia="DengXian" w:hAnsi="Arial"/>
                <w:sz w:val="20"/>
                <w:szCs w:val="20"/>
                <w:lang w:val="en-GB"/>
              </w:rPr>
              <w:t>(DTSCWG)</w:t>
            </w:r>
            <w:r w:rsidR="00A24840" w:rsidRPr="00932E05">
              <w:rPr>
                <w:rFonts w:ascii="Arial" w:eastAsia="DengXian" w:hAnsi="Arial" w:hint="eastAsia"/>
                <w:sz w:val="20"/>
                <w:szCs w:val="20"/>
                <w:lang w:val="en-GB"/>
              </w:rPr>
              <w:t xml:space="preserve"> </w:t>
            </w:r>
          </w:p>
          <w:p w14:paraId="0075C715" w14:textId="1B482A9C" w:rsidR="00C235CA" w:rsidRPr="00516087" w:rsidRDefault="003802E0" w:rsidP="000E3408">
            <w:pPr>
              <w:pStyle w:val="ListParagraph"/>
              <w:numPr>
                <w:ilvl w:val="0"/>
                <w:numId w:val="28"/>
              </w:numPr>
              <w:spacing w:after="0"/>
              <w:cnfStyle w:val="000000100000" w:firstRow="0" w:lastRow="0" w:firstColumn="0" w:lastColumn="0" w:oddVBand="0" w:evenVBand="0" w:oddHBand="1" w:evenHBand="0" w:firstRowFirstColumn="0" w:firstRowLastColumn="0" w:lastRowFirstColumn="0" w:lastRowLastColumn="0"/>
              <w:rPr>
                <w:lang w:val="en-GB"/>
              </w:rPr>
            </w:pPr>
            <w:r w:rsidRPr="003802E0">
              <w:rPr>
                <w:rFonts w:ascii="Arial" w:eastAsia="DengXian" w:hAnsi="Arial"/>
                <w:sz w:val="20"/>
                <w:szCs w:val="20"/>
                <w:lang w:val="en-GB"/>
              </w:rPr>
              <w:t xml:space="preserve">Ủy ban Khoa học, Công nghệ và Đổi mới </w:t>
            </w:r>
            <w:r w:rsidR="00A24840" w:rsidRPr="00B3170C">
              <w:rPr>
                <w:rFonts w:ascii="Arial" w:eastAsia="DengXian" w:hAnsi="Arial"/>
                <w:sz w:val="20"/>
                <w:szCs w:val="20"/>
                <w:lang w:val="en-GB"/>
              </w:rPr>
              <w:t>(COSTI)</w:t>
            </w:r>
          </w:p>
        </w:tc>
        <w:tc>
          <w:tcPr>
            <w:tcW w:w="3774" w:type="dxa"/>
            <w:gridSpan w:val="2"/>
            <w:tcBorders>
              <w:left w:val="single" w:sz="4" w:space="0" w:color="156082"/>
            </w:tcBorders>
          </w:tcPr>
          <w:p w14:paraId="32EEE407" w14:textId="1DE376AF" w:rsidR="00AD35F0" w:rsidRPr="004F1D15" w:rsidRDefault="003802E0" w:rsidP="00AD35F0">
            <w:pPr>
              <w:cnfStyle w:val="000000100000" w:firstRow="0" w:lastRow="0" w:firstColumn="0" w:lastColumn="0" w:oddVBand="0" w:evenVBand="0" w:oddHBand="1" w:evenHBand="0" w:firstRowFirstColumn="0" w:firstRowLastColumn="0" w:lastRowFirstColumn="0" w:lastRowLastColumn="0"/>
              <w:rPr>
                <w:sz w:val="20"/>
                <w:szCs w:val="20"/>
              </w:rPr>
            </w:pPr>
            <w:r w:rsidRPr="003802E0">
              <w:rPr>
                <w:sz w:val="20"/>
                <w:szCs w:val="20"/>
              </w:rPr>
              <w:t>Các thước đo tiến độ chung</w:t>
            </w:r>
            <w:r w:rsidR="00AD35F0" w:rsidRPr="004F1D15">
              <w:rPr>
                <w:sz w:val="20"/>
                <w:szCs w:val="20"/>
              </w:rPr>
              <w:t>:</w:t>
            </w:r>
          </w:p>
          <w:p w14:paraId="53260F15" w14:textId="77777777" w:rsidR="003802E0" w:rsidRPr="003802E0" w:rsidRDefault="003802E0" w:rsidP="003802E0">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b/>
                <w:color w:val="auto"/>
                <w:sz w:val="20"/>
                <w:szCs w:val="20"/>
                <w:lang w:val="en-GB"/>
              </w:rPr>
            </w:pPr>
            <w:r w:rsidRPr="003802E0">
              <w:rPr>
                <w:rFonts w:ascii="Arial" w:hAnsi="Arial"/>
                <w:b/>
                <w:color w:val="auto"/>
                <w:sz w:val="20"/>
                <w:szCs w:val="20"/>
                <w:lang w:val="en-GB"/>
              </w:rPr>
              <w:t xml:space="preserve">Tỷ lệ tham gia: </w:t>
            </w:r>
            <w:r w:rsidRPr="003802E0">
              <w:rPr>
                <w:rFonts w:ascii="Arial" w:hAnsi="Arial"/>
                <w:bCs/>
                <w:color w:val="auto"/>
                <w:sz w:val="20"/>
                <w:szCs w:val="20"/>
                <w:lang w:val="en-GB"/>
              </w:rPr>
              <w:t>Đo lường số lượng các bên liên quan trong khu vực tư nhân tham gia các chương trình phát triển kỹ năng về blockchain trên toàn ASEAN, bao gồm theo dõi số lượng đăng ký vào khóa đào tạo, hội thảo và chương trình chứng chỉ.</w:t>
            </w:r>
          </w:p>
          <w:p w14:paraId="62E29595" w14:textId="49B22F5A" w:rsidR="003802E0" w:rsidRPr="003802E0" w:rsidRDefault="003802E0" w:rsidP="003802E0">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bCs/>
                <w:color w:val="auto"/>
                <w:sz w:val="20"/>
                <w:szCs w:val="20"/>
                <w:lang w:val="en-GB"/>
              </w:rPr>
            </w:pPr>
            <w:r w:rsidRPr="003802E0">
              <w:rPr>
                <w:rFonts w:ascii="Arial" w:hAnsi="Arial"/>
                <w:b/>
                <w:color w:val="auto"/>
                <w:sz w:val="20"/>
                <w:szCs w:val="20"/>
                <w:lang w:val="en-GB"/>
              </w:rPr>
              <w:t xml:space="preserve">Phân phối và khả năng tiếp cận: </w:t>
            </w:r>
            <w:r w:rsidRPr="003802E0">
              <w:rPr>
                <w:rFonts w:ascii="Arial" w:hAnsi="Arial"/>
                <w:bCs/>
                <w:color w:val="auto"/>
                <w:sz w:val="20"/>
                <w:szCs w:val="20"/>
                <w:lang w:val="en-GB"/>
              </w:rPr>
              <w:t>Đo lường phạm vi tiếp cận và khả năng truy cập của các bộ công cụ bằng cách theo dõi số lượt tải xuống, số lượng phân phối, và số doanh nghiệp – đặc biệt là DNNVV – đã tiếp nhận bộ công cụ.</w:t>
            </w:r>
          </w:p>
          <w:p w14:paraId="49F92A73" w14:textId="1950CD16" w:rsidR="003802E0" w:rsidRPr="003802E0" w:rsidRDefault="003802E0" w:rsidP="003802E0">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bCs/>
                <w:color w:val="auto"/>
                <w:sz w:val="20"/>
                <w:szCs w:val="20"/>
                <w:lang w:val="en-GB"/>
              </w:rPr>
            </w:pPr>
            <w:r w:rsidRPr="003802E0">
              <w:rPr>
                <w:rFonts w:ascii="Arial" w:hAnsi="Arial"/>
                <w:b/>
                <w:color w:val="auto"/>
                <w:sz w:val="20"/>
                <w:szCs w:val="20"/>
                <w:lang w:val="en-GB"/>
              </w:rPr>
              <w:t xml:space="preserve">Nghiên cứu tình huống và câu chuyện thành công: </w:t>
            </w:r>
            <w:r w:rsidRPr="003802E0">
              <w:rPr>
                <w:rFonts w:ascii="Arial" w:hAnsi="Arial"/>
                <w:bCs/>
                <w:color w:val="auto"/>
                <w:sz w:val="20"/>
                <w:szCs w:val="20"/>
                <w:lang w:val="en-GB"/>
              </w:rPr>
              <w:t>Ghi nhận và phân tích các nghiên cứu tình huống và câu chuyện thành công của các doanh nghiệp đã ứng dụng hiệu quả công nghệ blockchain, làm nổi bật tác động và lợi ích đạt được.</w:t>
            </w:r>
          </w:p>
          <w:p w14:paraId="311F3532" w14:textId="1AA96D6C" w:rsidR="00AD35F0" w:rsidRPr="003802E0" w:rsidRDefault="003802E0" w:rsidP="003802E0">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bCs/>
                <w:color w:val="auto"/>
                <w:sz w:val="20"/>
                <w:szCs w:val="20"/>
                <w:lang w:val="en-GB"/>
              </w:rPr>
            </w:pPr>
            <w:r w:rsidRPr="003802E0">
              <w:rPr>
                <w:rFonts w:ascii="Arial" w:hAnsi="Arial"/>
                <w:b/>
                <w:color w:val="auto"/>
                <w:sz w:val="20"/>
                <w:szCs w:val="20"/>
                <w:lang w:val="en-GB"/>
              </w:rPr>
              <w:lastRenderedPageBreak/>
              <w:t xml:space="preserve">Tỷ lệ áp dụng: </w:t>
            </w:r>
            <w:r w:rsidRPr="003802E0">
              <w:rPr>
                <w:rFonts w:ascii="Arial" w:hAnsi="Arial"/>
                <w:bCs/>
                <w:color w:val="auto"/>
                <w:sz w:val="20"/>
                <w:szCs w:val="20"/>
                <w:lang w:val="en-GB"/>
              </w:rPr>
              <w:t>Số lượng doanh nghiệp áp dụng công nghệ blockchain trong khung thời gian xác định, và mức độ áp dụng công nghệ blockchain trong các DNNVV được hỗ trợ bởi sáng kiến của chính phủ</w:t>
            </w:r>
            <w:r w:rsidR="00AD35F0" w:rsidRPr="003802E0">
              <w:rPr>
                <w:rFonts w:ascii="Arial" w:eastAsia="DengXian" w:hAnsi="Arial"/>
                <w:bCs/>
                <w:color w:val="auto"/>
                <w:sz w:val="20"/>
                <w:szCs w:val="20"/>
                <w:lang w:val="en-GB"/>
              </w:rPr>
              <w:t>.</w:t>
            </w:r>
          </w:p>
          <w:p w14:paraId="6FAB3185" w14:textId="037CECBC" w:rsidR="00C235CA" w:rsidRPr="004F1D15" w:rsidRDefault="00C235CA">
            <w:pPr>
              <w:cnfStyle w:val="000000100000" w:firstRow="0" w:lastRow="0" w:firstColumn="0" w:lastColumn="0" w:oddVBand="0" w:evenVBand="0" w:oddHBand="1" w:evenHBand="0" w:firstRowFirstColumn="0" w:firstRowLastColumn="0" w:lastRowFirstColumn="0" w:lastRowLastColumn="0"/>
              <w:rPr>
                <w:sz w:val="20"/>
                <w:szCs w:val="20"/>
              </w:rPr>
            </w:pPr>
          </w:p>
        </w:tc>
      </w:tr>
    </w:tbl>
    <w:p w14:paraId="702510B3" w14:textId="4C5A7183" w:rsidR="00341DF4" w:rsidRDefault="00341DF4">
      <w:pPr>
        <w:spacing w:line="259" w:lineRule="auto"/>
        <w:jc w:val="left"/>
        <w:rPr>
          <w:rFonts w:eastAsia="Arial"/>
          <w:i/>
          <w:color w:val="657C9C" w:themeColor="text2" w:themeTint="BF"/>
          <w:sz w:val="20"/>
          <w:szCs w:val="20"/>
        </w:rPr>
      </w:pPr>
    </w:p>
    <w:p w14:paraId="7FBC5D80" w14:textId="32C75090" w:rsidR="00341DF4" w:rsidRPr="004F1D15" w:rsidRDefault="003802E0" w:rsidP="00C82E40">
      <w:pPr>
        <w:pStyle w:val="Heading4"/>
        <w:rPr>
          <w:sz w:val="20"/>
          <w:lang w:val="en-GB"/>
        </w:rPr>
      </w:pPr>
      <w:r>
        <w:rPr>
          <w:sz w:val="20"/>
          <w:lang w:val="en-GB"/>
        </w:rPr>
        <w:t>Danh</w:t>
      </w:r>
      <w:r>
        <w:rPr>
          <w:sz w:val="20"/>
          <w:lang w:val="vi-VN"/>
        </w:rPr>
        <w:t xml:space="preserve"> mục</w:t>
      </w:r>
      <w:r w:rsidR="00CC6EE0" w:rsidRPr="004F1D15">
        <w:rPr>
          <w:sz w:val="20"/>
          <w:lang w:val="en-GB"/>
        </w:rPr>
        <w:t xml:space="preserve"> </w:t>
      </w:r>
      <w:r w:rsidR="00341DF4" w:rsidRPr="004F1D15">
        <w:rPr>
          <w:sz w:val="20"/>
          <w:lang w:val="en-GB"/>
        </w:rPr>
        <w:t xml:space="preserve">3: </w:t>
      </w:r>
      <w:r>
        <w:rPr>
          <w:sz w:val="20"/>
          <w:lang w:val="en-GB"/>
        </w:rPr>
        <w:t>Phát</w:t>
      </w:r>
      <w:r>
        <w:rPr>
          <w:sz w:val="20"/>
          <w:lang w:val="vi-VN"/>
        </w:rPr>
        <w:t xml:space="preserve"> triển Hạ tầng </w:t>
      </w:r>
      <w:r w:rsidR="00616696">
        <w:rPr>
          <w:sz w:val="20"/>
          <w:lang w:val="vi-VN"/>
        </w:rPr>
        <w:t>Số</w:t>
      </w:r>
    </w:p>
    <w:tbl>
      <w:tblPr>
        <w:tblStyle w:val="ListTable3-Accent11"/>
        <w:tblW w:w="15314" w:type="dxa"/>
        <w:tblLook w:val="04A0" w:firstRow="1" w:lastRow="0" w:firstColumn="1" w:lastColumn="0" w:noHBand="0" w:noVBand="1"/>
      </w:tblPr>
      <w:tblGrid>
        <w:gridCol w:w="1694"/>
        <w:gridCol w:w="3764"/>
        <w:gridCol w:w="7"/>
        <w:gridCol w:w="3757"/>
        <w:gridCol w:w="15"/>
        <w:gridCol w:w="2303"/>
        <w:gridCol w:w="14"/>
        <w:gridCol w:w="3760"/>
      </w:tblGrid>
      <w:tr w:rsidR="00C235CA" w:rsidRPr="004F1D15" w14:paraId="481214F3" w14:textId="77777777" w:rsidTr="6BB67A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4" w:type="dxa"/>
            <w:tcBorders>
              <w:bottom w:val="single" w:sz="4" w:space="0" w:color="156082"/>
            </w:tcBorders>
            <w:shd w:val="clear" w:color="auto" w:fill="1F4E79" w:themeFill="accent5" w:themeFillShade="80"/>
          </w:tcPr>
          <w:p w14:paraId="449EAE25" w14:textId="610B81BB" w:rsidR="00C235CA" w:rsidRPr="004F1D15" w:rsidRDefault="003802E0" w:rsidP="00B120AA">
            <w:pPr>
              <w:jc w:val="center"/>
              <w:rPr>
                <w:sz w:val="20"/>
                <w:szCs w:val="20"/>
              </w:rPr>
            </w:pPr>
            <w:r w:rsidRPr="003802E0">
              <w:rPr>
                <w:sz w:val="20"/>
                <w:szCs w:val="20"/>
              </w:rPr>
              <w:t>Khu vực hành động</w:t>
            </w:r>
          </w:p>
        </w:tc>
        <w:tc>
          <w:tcPr>
            <w:tcW w:w="3771" w:type="dxa"/>
            <w:gridSpan w:val="2"/>
            <w:shd w:val="clear" w:color="auto" w:fill="1F4E79" w:themeFill="accent5" w:themeFillShade="80"/>
          </w:tcPr>
          <w:p w14:paraId="168BA1E1" w14:textId="1FA9E3A5" w:rsidR="00C235CA" w:rsidRPr="004F1D15" w:rsidRDefault="003802E0" w:rsidP="00B120AA">
            <w:pPr>
              <w:jc w:val="center"/>
              <w:cnfStyle w:val="100000000000" w:firstRow="1" w:lastRow="0" w:firstColumn="0" w:lastColumn="0" w:oddVBand="0" w:evenVBand="0" w:oddHBand="0" w:evenHBand="0" w:firstRowFirstColumn="0" w:firstRowLastColumn="0" w:lastRowFirstColumn="0" w:lastRowLastColumn="0"/>
              <w:rPr>
                <w:sz w:val="20"/>
                <w:szCs w:val="20"/>
              </w:rPr>
            </w:pPr>
            <w:r w:rsidRPr="003802E0">
              <w:rPr>
                <w:sz w:val="20"/>
                <w:szCs w:val="20"/>
              </w:rPr>
              <w:t>Lĩnh vực trọng tâm</w:t>
            </w:r>
          </w:p>
        </w:tc>
        <w:tc>
          <w:tcPr>
            <w:tcW w:w="3772" w:type="dxa"/>
            <w:gridSpan w:val="2"/>
            <w:shd w:val="clear" w:color="auto" w:fill="1F4E79" w:themeFill="accent5" w:themeFillShade="80"/>
          </w:tcPr>
          <w:p w14:paraId="05CDDF74" w14:textId="69BE0F4F" w:rsidR="00C235CA" w:rsidRPr="004F1D15" w:rsidRDefault="003802E0" w:rsidP="00B120AA">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3802E0">
              <w:rPr>
                <w:sz w:val="20"/>
                <w:szCs w:val="20"/>
              </w:rPr>
              <w:t>Các mốc dự kiến và khung thời gian tạm tính</w:t>
            </w:r>
            <w:r w:rsidR="00C235CA" w:rsidRPr="004F1D15">
              <w:rPr>
                <w:sz w:val="20"/>
                <w:szCs w:val="20"/>
                <w:vertAlign w:val="superscript"/>
              </w:rPr>
              <w:footnoteReference w:id="365"/>
            </w:r>
          </w:p>
        </w:tc>
        <w:tc>
          <w:tcPr>
            <w:tcW w:w="2317" w:type="dxa"/>
            <w:gridSpan w:val="2"/>
            <w:shd w:val="clear" w:color="auto" w:fill="1F4E79" w:themeFill="accent5" w:themeFillShade="80"/>
          </w:tcPr>
          <w:p w14:paraId="460206C9" w14:textId="2D506E74" w:rsidR="00C235CA" w:rsidRPr="004F1D15" w:rsidRDefault="003802E0" w:rsidP="00B120AA">
            <w:pPr>
              <w:jc w:val="center"/>
              <w:cnfStyle w:val="100000000000" w:firstRow="1" w:lastRow="0" w:firstColumn="0" w:lastColumn="0" w:oddVBand="0" w:evenVBand="0" w:oddHBand="0" w:evenHBand="0" w:firstRowFirstColumn="0" w:firstRowLastColumn="0" w:lastRowFirstColumn="0" w:lastRowLastColumn="0"/>
              <w:rPr>
                <w:sz w:val="20"/>
                <w:szCs w:val="20"/>
              </w:rPr>
            </w:pPr>
            <w:r w:rsidRPr="003802E0">
              <w:rPr>
                <w:sz w:val="20"/>
                <w:szCs w:val="20"/>
              </w:rPr>
              <w:t>Các bên chịu trách nhiệm chính</w:t>
            </w:r>
          </w:p>
        </w:tc>
        <w:tc>
          <w:tcPr>
            <w:tcW w:w="3760" w:type="dxa"/>
            <w:shd w:val="clear" w:color="auto" w:fill="1F4E79" w:themeFill="accent5" w:themeFillShade="80"/>
          </w:tcPr>
          <w:p w14:paraId="56CB15D9" w14:textId="6CDF6F2C" w:rsidR="00C235CA" w:rsidRPr="004F1D15" w:rsidRDefault="003802E0" w:rsidP="00B120AA">
            <w:pPr>
              <w:jc w:val="center"/>
              <w:cnfStyle w:val="100000000000" w:firstRow="1" w:lastRow="0" w:firstColumn="0" w:lastColumn="0" w:oddVBand="0" w:evenVBand="0" w:oddHBand="0" w:evenHBand="0" w:firstRowFirstColumn="0" w:firstRowLastColumn="0" w:lastRowFirstColumn="0" w:lastRowLastColumn="0"/>
              <w:rPr>
                <w:sz w:val="20"/>
                <w:szCs w:val="20"/>
              </w:rPr>
            </w:pPr>
            <w:r w:rsidRPr="003802E0">
              <w:rPr>
                <w:sz w:val="20"/>
                <w:szCs w:val="20"/>
              </w:rPr>
              <w:t>Thước đo tiến độ</w:t>
            </w:r>
          </w:p>
        </w:tc>
      </w:tr>
      <w:tr w:rsidR="00C235CA" w:rsidRPr="004F1D15" w14:paraId="41B2939F" w14:textId="77777777" w:rsidTr="00B12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shd w:val="clear" w:color="auto" w:fill="00B0F0"/>
          </w:tcPr>
          <w:p w14:paraId="78BA966D" w14:textId="5411FB36" w:rsidR="00C235CA" w:rsidRPr="004F1D15" w:rsidRDefault="003802E0">
            <w:pPr>
              <w:rPr>
                <w:sz w:val="20"/>
                <w:szCs w:val="20"/>
              </w:rPr>
            </w:pPr>
            <w:r w:rsidRPr="003802E0">
              <w:rPr>
                <w:sz w:val="20"/>
                <w:szCs w:val="20"/>
              </w:rPr>
              <w:t>Khu vực hành động chính</w:t>
            </w:r>
          </w:p>
        </w:tc>
        <w:tc>
          <w:tcPr>
            <w:tcW w:w="13620" w:type="dxa"/>
            <w:gridSpan w:val="7"/>
            <w:tcBorders>
              <w:left w:val="single" w:sz="4" w:space="0" w:color="156082"/>
            </w:tcBorders>
            <w:shd w:val="clear" w:color="auto" w:fill="00B0F0"/>
          </w:tcPr>
          <w:p w14:paraId="2929BFDF" w14:textId="41644A66" w:rsidR="00C235CA" w:rsidRPr="00670F72" w:rsidRDefault="00AF024D">
            <w:pPr>
              <w:cnfStyle w:val="000000100000" w:firstRow="0" w:lastRow="0" w:firstColumn="0" w:lastColumn="0" w:oddVBand="0" w:evenVBand="0" w:oddHBand="1" w:evenHBand="0" w:firstRowFirstColumn="0" w:firstRowLastColumn="0" w:lastRowFirstColumn="0" w:lastRowLastColumn="0"/>
              <w:rPr>
                <w:rFonts w:eastAsiaTheme="minorEastAsia"/>
                <w:b/>
                <w:bCs/>
                <w:sz w:val="20"/>
                <w:szCs w:val="20"/>
                <w:lang w:val="vi-VN"/>
              </w:rPr>
            </w:pPr>
            <w:r>
              <w:rPr>
                <w:b/>
                <w:bCs/>
                <w:sz w:val="20"/>
                <w:szCs w:val="20"/>
              </w:rPr>
              <w:t>6.2.12.3</w:t>
            </w:r>
            <w:r w:rsidR="002E148B" w:rsidRPr="004F1D15">
              <w:rPr>
                <w:b/>
                <w:bCs/>
                <w:sz w:val="20"/>
                <w:szCs w:val="20"/>
              </w:rPr>
              <w:t xml:space="preserve"> </w:t>
            </w:r>
            <w:r w:rsidR="00670F72" w:rsidRPr="00670F72">
              <w:rPr>
                <w:b/>
                <w:bCs/>
                <w:sz w:val="20"/>
                <w:szCs w:val="20"/>
                <w:lang w:val="vi-VN"/>
              </w:rPr>
              <w:t>Hỗ trợ Mở rộng Triển khai Blockchain thông qua Hỗ trợ Hạ tầng Số</w:t>
            </w:r>
          </w:p>
        </w:tc>
      </w:tr>
      <w:tr w:rsidR="00C235CA" w:rsidRPr="004F1D15" w14:paraId="47FE3C30" w14:textId="77777777" w:rsidTr="00B120AA">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156082"/>
              <w:bottom w:val="single" w:sz="4" w:space="0" w:color="156082"/>
              <w:right w:val="single" w:sz="4" w:space="0" w:color="156082"/>
            </w:tcBorders>
            <w:shd w:val="clear" w:color="auto" w:fill="BDD6EE" w:themeFill="accent5" w:themeFillTint="66"/>
          </w:tcPr>
          <w:p w14:paraId="7AD60AC8" w14:textId="0F2E1268" w:rsidR="00C235CA" w:rsidRPr="00670F72" w:rsidRDefault="00670F72">
            <w:pPr>
              <w:rPr>
                <w:sz w:val="20"/>
                <w:szCs w:val="20"/>
                <w:lang w:val="vi-VN"/>
              </w:rPr>
            </w:pPr>
            <w:r>
              <w:rPr>
                <w:sz w:val="20"/>
                <w:szCs w:val="20"/>
              </w:rPr>
              <w:t>Mục</w:t>
            </w:r>
            <w:r>
              <w:rPr>
                <w:sz w:val="20"/>
                <w:szCs w:val="20"/>
                <w:lang w:val="vi-VN"/>
              </w:rPr>
              <w:t xml:space="preserve"> tiêu</w:t>
            </w:r>
          </w:p>
        </w:tc>
        <w:tc>
          <w:tcPr>
            <w:tcW w:w="13620" w:type="dxa"/>
            <w:gridSpan w:val="7"/>
            <w:tcBorders>
              <w:left w:val="single" w:sz="4" w:space="0" w:color="156082"/>
            </w:tcBorders>
            <w:shd w:val="clear" w:color="auto" w:fill="BDD6EE" w:themeFill="accent5" w:themeFillTint="66"/>
          </w:tcPr>
          <w:p w14:paraId="00689A90" w14:textId="0F292D29" w:rsidR="00C235CA" w:rsidRPr="00516087" w:rsidRDefault="00670F72"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hAnsi="Arial"/>
                <w:color w:val="auto"/>
                <w:sz w:val="20"/>
                <w:szCs w:val="20"/>
                <w:lang w:val="en-GB"/>
              </w:rPr>
            </w:pPr>
            <w:r w:rsidRPr="00670F72">
              <w:rPr>
                <w:rFonts w:ascii="Arial" w:eastAsia="DengXian" w:hAnsi="Arial"/>
                <w:b/>
                <w:sz w:val="20"/>
                <w:szCs w:val="20"/>
                <w:lang w:val="en-GB"/>
              </w:rPr>
              <w:t xml:space="preserve">Tạo điều kiện tăng cường áp dụng công nghệ Blockchain: </w:t>
            </w:r>
            <w:r w:rsidRPr="00670F72">
              <w:rPr>
                <w:rFonts w:ascii="Arial" w:eastAsia="DengXian" w:hAnsi="Arial"/>
                <w:bCs/>
                <w:sz w:val="20"/>
                <w:szCs w:val="20"/>
                <w:lang w:val="en-GB"/>
              </w:rPr>
              <w:t>Việc cung cấp hỗ trợ về hạ tầng số cho phép tích hợp và nâng cao hiệu quả vận hành của các công nghệ blockchain trong nhiều lĩnh vực, từ đó tạo điều kiện thuận lợi cho việc triển khai công nghệ blockchain toàn khu vực</w:t>
            </w:r>
            <w:r w:rsidR="00074C4C" w:rsidRPr="00670F72">
              <w:rPr>
                <w:rFonts w:ascii="Arial" w:eastAsia="DengXian" w:hAnsi="Arial"/>
                <w:bCs/>
                <w:sz w:val="20"/>
                <w:szCs w:val="20"/>
                <w:lang w:val="en-GB"/>
              </w:rPr>
              <w:t>.</w:t>
            </w:r>
          </w:p>
        </w:tc>
      </w:tr>
      <w:tr w:rsidR="00C235CA" w:rsidRPr="004F1D15" w14:paraId="194E3A7A" w14:textId="77777777" w:rsidTr="6BB67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tcPr>
          <w:p w14:paraId="7F57C7EA" w14:textId="7A2E8ACB" w:rsidR="00C235CA" w:rsidRPr="004F1D15" w:rsidRDefault="00670F72">
            <w:pPr>
              <w:rPr>
                <w:sz w:val="20"/>
                <w:szCs w:val="20"/>
              </w:rPr>
            </w:pPr>
            <w:r w:rsidRPr="00670F72">
              <w:rPr>
                <w:sz w:val="20"/>
                <w:szCs w:val="20"/>
              </w:rPr>
              <w:t>6.2.12.3 Hỗ trợ Mở rộng Triển khai Blockchain thông qua Hỗ trợ Hạ tầng Số</w:t>
            </w:r>
          </w:p>
        </w:tc>
        <w:tc>
          <w:tcPr>
            <w:tcW w:w="3764" w:type="dxa"/>
            <w:tcBorders>
              <w:left w:val="single" w:sz="4" w:space="0" w:color="156082"/>
              <w:right w:val="single" w:sz="4" w:space="0" w:color="156082"/>
            </w:tcBorders>
          </w:tcPr>
          <w:p w14:paraId="2B82D238" w14:textId="77777777" w:rsidR="00670F72" w:rsidRPr="00670F72" w:rsidRDefault="00670F72" w:rsidP="00670F72">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bCs/>
                <w:color w:val="auto"/>
                <w:sz w:val="20"/>
                <w:szCs w:val="20"/>
                <w:lang w:val="en-GB"/>
              </w:rPr>
            </w:pPr>
            <w:r w:rsidRPr="00670F72">
              <w:rPr>
                <w:rFonts w:ascii="Arial" w:hAnsi="Arial"/>
                <w:b/>
                <w:color w:val="auto"/>
                <w:sz w:val="20"/>
                <w:szCs w:val="20"/>
                <w:lang w:val="en-GB"/>
              </w:rPr>
              <w:t xml:space="preserve">Trung tâm Đổi mới sáng tạo &amp; Sandbox thử nghiệm (Innovation Hubs &amp; Sandboxes): </w:t>
            </w:r>
            <w:r w:rsidRPr="00670F72">
              <w:rPr>
                <w:rFonts w:ascii="Arial" w:hAnsi="Arial"/>
                <w:bCs/>
                <w:color w:val="auto"/>
                <w:sz w:val="20"/>
                <w:szCs w:val="20"/>
                <w:lang w:val="en-GB"/>
              </w:rPr>
              <w:t xml:space="preserve">Thúc đẩy và hỗ trợ các sáng kiến R&amp;D về công nghệ blockchain thông qua các vườn ươm khởi nghiệp, sandbox quản lý và các dự án thí điểm để thử nghiệm công nghệ mới, trường hợp </w:t>
            </w:r>
            <w:r w:rsidRPr="00670F72">
              <w:rPr>
                <w:rFonts w:ascii="Arial" w:hAnsi="Arial"/>
                <w:bCs/>
                <w:color w:val="auto"/>
                <w:sz w:val="20"/>
                <w:szCs w:val="20"/>
                <w:lang w:val="en-GB"/>
              </w:rPr>
              <w:lastRenderedPageBreak/>
              <w:t>sử dụng mới, và mô hình kinh doanh mới.</w:t>
            </w:r>
          </w:p>
          <w:p w14:paraId="3E202DF3" w14:textId="69ADD244" w:rsidR="00670F72" w:rsidRPr="00670F72" w:rsidRDefault="00670F72" w:rsidP="00670F72">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b/>
                <w:color w:val="auto"/>
                <w:sz w:val="20"/>
                <w:szCs w:val="20"/>
                <w:lang w:val="en-GB"/>
              </w:rPr>
            </w:pPr>
            <w:r w:rsidRPr="00670F72">
              <w:rPr>
                <w:rFonts w:ascii="Arial" w:hAnsi="Arial"/>
                <w:b/>
                <w:color w:val="auto"/>
                <w:sz w:val="20"/>
                <w:szCs w:val="20"/>
                <w:lang w:val="en-GB"/>
              </w:rPr>
              <w:t xml:space="preserve">Đầu tư Hạ tầng Dài hạn (Long-term Infrastructure Investment): </w:t>
            </w:r>
            <w:r w:rsidRPr="0032149F">
              <w:rPr>
                <w:rFonts w:ascii="Arial" w:hAnsi="Arial"/>
                <w:bCs/>
                <w:color w:val="auto"/>
                <w:sz w:val="20"/>
                <w:szCs w:val="20"/>
                <w:lang w:val="en-GB"/>
              </w:rPr>
              <w:t>Đầu tư vào phát triển hạ tầng blockchain dài hạn phù hợp với tiêu chuẩn quốc tế nhằm hỗ trợ khả năng mở rộng và bảo đảm tính sẵn sàng trước những tiến bộ công nghệ trong tương lai.</w:t>
            </w:r>
          </w:p>
          <w:p w14:paraId="4F950D59" w14:textId="2D73F862" w:rsidR="00074C4C" w:rsidRPr="0032149F" w:rsidRDefault="00670F72" w:rsidP="00670F72">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bCs/>
                <w:color w:val="auto"/>
                <w:sz w:val="20"/>
                <w:szCs w:val="20"/>
                <w:lang w:val="en-GB"/>
              </w:rPr>
            </w:pPr>
            <w:r w:rsidRPr="00670F72">
              <w:rPr>
                <w:rFonts w:ascii="Arial" w:hAnsi="Arial"/>
                <w:b/>
                <w:color w:val="auto"/>
                <w:sz w:val="20"/>
                <w:szCs w:val="20"/>
                <w:lang w:val="en-GB"/>
              </w:rPr>
              <w:t xml:space="preserve">Đối tác Công – Tư (Public-private Partnerships): </w:t>
            </w:r>
            <w:r w:rsidRPr="0032149F">
              <w:rPr>
                <w:rFonts w:ascii="Arial" w:hAnsi="Arial"/>
                <w:bCs/>
                <w:color w:val="auto"/>
                <w:sz w:val="20"/>
                <w:szCs w:val="20"/>
                <w:lang w:val="en-GB"/>
              </w:rPr>
              <w:t>Thúc đẩy các quan hệ đối tác công – tư nhằm triển khai các dự án thí điểm và triển khai quy mô lớn công nghệ blockchain trong các lĩnh vực trọng điểm như tài chính, chuỗi cung ứng, y tế và dịch vụ công. Những hợp tác này sẽ chứng minh lợi ích thực tiễn của blockchain và khuyến khích việc áp dụng rộng rãi.</w:t>
            </w:r>
          </w:p>
          <w:p w14:paraId="607A1A47" w14:textId="1AF9EC64" w:rsidR="00C235CA" w:rsidRPr="004F1D15" w:rsidRDefault="00C235CA">
            <w:pPr>
              <w:cnfStyle w:val="000000100000" w:firstRow="0" w:lastRow="0" w:firstColumn="0" w:lastColumn="0" w:oddVBand="0" w:evenVBand="0" w:oddHBand="1" w:evenHBand="0" w:firstRowFirstColumn="0" w:firstRowLastColumn="0" w:lastRowFirstColumn="0" w:lastRowLastColumn="0"/>
              <w:rPr>
                <w:sz w:val="20"/>
                <w:szCs w:val="20"/>
              </w:rPr>
            </w:pPr>
          </w:p>
        </w:tc>
        <w:tc>
          <w:tcPr>
            <w:tcW w:w="3764" w:type="dxa"/>
            <w:gridSpan w:val="2"/>
            <w:tcBorders>
              <w:left w:val="single" w:sz="4" w:space="0" w:color="156082"/>
              <w:right w:val="single" w:sz="4" w:space="0" w:color="156082"/>
            </w:tcBorders>
          </w:tcPr>
          <w:p w14:paraId="474EF94C" w14:textId="3ABD1C40" w:rsidR="00C235CA" w:rsidRPr="004F1D15" w:rsidRDefault="0032149F">
            <w:pPr>
              <w:cnfStyle w:val="000000100000" w:firstRow="0" w:lastRow="0" w:firstColumn="0" w:lastColumn="0" w:oddVBand="0" w:evenVBand="0" w:oddHBand="1" w:evenHBand="0" w:firstRowFirstColumn="0" w:firstRowLastColumn="0" w:lastRowFirstColumn="0" w:lastRowLastColumn="0"/>
              <w:rPr>
                <w:sz w:val="20"/>
                <w:szCs w:val="20"/>
              </w:rPr>
            </w:pPr>
            <w:r w:rsidRPr="0032149F">
              <w:rPr>
                <w:sz w:val="20"/>
                <w:szCs w:val="20"/>
              </w:rPr>
              <w:lastRenderedPageBreak/>
              <w:t>Ngắn hạn</w:t>
            </w:r>
            <w:r w:rsidR="00C235CA" w:rsidRPr="004F1D15">
              <w:rPr>
                <w:sz w:val="20"/>
                <w:szCs w:val="20"/>
              </w:rPr>
              <w:t>:</w:t>
            </w:r>
          </w:p>
          <w:p w14:paraId="40A6B392" w14:textId="77777777" w:rsidR="0032149F" w:rsidRPr="0032149F" w:rsidRDefault="0032149F" w:rsidP="0032149F">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32149F">
              <w:rPr>
                <w:rFonts w:ascii="Arial" w:eastAsia="DengXian" w:hAnsi="Arial"/>
                <w:color w:val="auto"/>
                <w:sz w:val="20"/>
                <w:szCs w:val="20"/>
                <w:lang w:val="en-GB"/>
              </w:rPr>
              <w:t>Mở rộng phạm vi và năng lực của các trung tâm đổi mới sáng tạo và sandbox quản lý hiện có trên toàn các quốc gia thành viên ASEAN, xây dựng hệ sinh thái hợp tác cho nghiên cứu và phát triển blockchain.</w:t>
            </w:r>
          </w:p>
          <w:p w14:paraId="7FB6CED0" w14:textId="3C2D89A7" w:rsidR="0032149F" w:rsidRPr="0032149F" w:rsidRDefault="0032149F" w:rsidP="0032149F">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32149F">
              <w:rPr>
                <w:rFonts w:ascii="Arial" w:eastAsia="DengXian" w:hAnsi="Arial"/>
                <w:color w:val="auto"/>
                <w:sz w:val="20"/>
                <w:szCs w:val="20"/>
                <w:lang w:val="en-GB"/>
              </w:rPr>
              <w:lastRenderedPageBreak/>
              <w:t>Hỗ trợ một loạt các dự án thí điểm và thử nghiệm trong các sandbox, tập trung vào công nghệ mới nổi và các ứng dụng sáng tạo của blockchain trong nhiều ngành khác nhau.</w:t>
            </w:r>
          </w:p>
          <w:p w14:paraId="770A6FD0" w14:textId="4C5B2ABF" w:rsidR="0032149F" w:rsidRPr="0032149F" w:rsidRDefault="0032149F" w:rsidP="0032149F">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32149F">
              <w:rPr>
                <w:rFonts w:ascii="Arial" w:eastAsia="DengXian" w:hAnsi="Arial"/>
                <w:color w:val="auto"/>
                <w:sz w:val="20"/>
                <w:szCs w:val="20"/>
                <w:lang w:val="en-GB"/>
              </w:rPr>
              <w:t>Triển khai các dự án thí điểm trong các lĩnh vực tài chính, chuỗi cung ứng, y tế và dịch vụ công; theo dõi tiến độ và đánh giá tác động của các dự án này đối với hiệu quả, tính minh bạch và hiệu quả chi phí.</w:t>
            </w:r>
          </w:p>
          <w:p w14:paraId="2FB08AE8" w14:textId="4DA4262B" w:rsidR="00074C4C" w:rsidRPr="004F1D15" w:rsidRDefault="0032149F" w:rsidP="0032149F">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32149F">
              <w:rPr>
                <w:rFonts w:ascii="Arial" w:eastAsia="DengXian" w:hAnsi="Arial"/>
                <w:color w:val="auto"/>
                <w:sz w:val="20"/>
                <w:szCs w:val="20"/>
                <w:lang w:val="en-GB"/>
              </w:rPr>
              <w:t>Tạo điều kiện chia sẻ tri thức và phổ biến thông lệ tốt giữa các bên liên quan tham gia các dự án thí điểm, thúc đẩy bài học kinh nghiệm và câu chuyện thành công để khuyến khích áp dụng blockchain rộng rãi.</w:t>
            </w:r>
          </w:p>
          <w:p w14:paraId="22CDAE70" w14:textId="5F012BC1" w:rsidR="00074C4C" w:rsidRPr="004F1D15" w:rsidRDefault="0032149F" w:rsidP="00074C4C">
            <w:pPr>
              <w:cnfStyle w:val="000000100000" w:firstRow="0" w:lastRow="0" w:firstColumn="0" w:lastColumn="0" w:oddVBand="0" w:evenVBand="0" w:oddHBand="1" w:evenHBand="0" w:firstRowFirstColumn="0" w:firstRowLastColumn="0" w:lastRowFirstColumn="0" w:lastRowLastColumn="0"/>
              <w:rPr>
                <w:sz w:val="20"/>
                <w:szCs w:val="20"/>
              </w:rPr>
            </w:pPr>
            <w:r w:rsidRPr="0032149F">
              <w:rPr>
                <w:sz w:val="20"/>
                <w:szCs w:val="20"/>
              </w:rPr>
              <w:t>Trung hạn</w:t>
            </w:r>
            <w:r w:rsidR="00074C4C" w:rsidRPr="004F1D15">
              <w:rPr>
                <w:sz w:val="20"/>
                <w:szCs w:val="20"/>
              </w:rPr>
              <w:t>:</w:t>
            </w:r>
          </w:p>
          <w:p w14:paraId="76329E67" w14:textId="77777777" w:rsidR="0032149F" w:rsidRPr="0032149F" w:rsidRDefault="0032149F" w:rsidP="0032149F">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32149F">
              <w:rPr>
                <w:rFonts w:ascii="Arial" w:eastAsia="DengXian" w:hAnsi="Arial"/>
                <w:color w:val="auto"/>
                <w:sz w:val="20"/>
                <w:szCs w:val="20"/>
                <w:lang w:val="en-GB"/>
              </w:rPr>
              <w:t>Bắt đầu đầu tư theo giai đoạn vào nâng cấp và mở rộng hạ tầng blockchain, ưu tiên khả năng tương tác và tuân thủ các tiêu chuẩn quốc tế đang phát triển.</w:t>
            </w:r>
          </w:p>
          <w:p w14:paraId="596EAA04" w14:textId="3A7E63AC" w:rsidR="00074C4C" w:rsidRPr="004F1D15" w:rsidRDefault="0032149F" w:rsidP="0032149F">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32149F">
              <w:rPr>
                <w:rFonts w:ascii="Arial" w:eastAsia="DengXian" w:hAnsi="Arial"/>
                <w:color w:val="auto"/>
                <w:sz w:val="20"/>
                <w:szCs w:val="20"/>
                <w:lang w:val="en-GB"/>
              </w:rPr>
              <w:t>Mở rộng các dự án thí điểm thành triển khai quy mô lớn, tích hợp công nghệ blockchain vào các quy trình kinh doanh cốt lõi và dịch vụ công cộng trên toàn ASEAN</w:t>
            </w:r>
            <w:r w:rsidR="00074C4C" w:rsidRPr="004F1D15">
              <w:rPr>
                <w:rFonts w:ascii="Arial" w:eastAsia="DengXian" w:hAnsi="Arial"/>
                <w:color w:val="auto"/>
                <w:sz w:val="20"/>
                <w:szCs w:val="20"/>
                <w:lang w:val="en-GB"/>
              </w:rPr>
              <w:t>.</w:t>
            </w:r>
          </w:p>
          <w:p w14:paraId="057D445B" w14:textId="4C771B2F" w:rsidR="00C235CA" w:rsidRPr="004F1D15" w:rsidRDefault="0032149F">
            <w:pPr>
              <w:cnfStyle w:val="000000100000" w:firstRow="0" w:lastRow="0" w:firstColumn="0" w:lastColumn="0" w:oddVBand="0" w:evenVBand="0" w:oddHBand="1" w:evenHBand="0" w:firstRowFirstColumn="0" w:firstRowLastColumn="0" w:lastRowFirstColumn="0" w:lastRowLastColumn="0"/>
              <w:rPr>
                <w:sz w:val="20"/>
                <w:szCs w:val="20"/>
              </w:rPr>
            </w:pPr>
            <w:r w:rsidRPr="0032149F">
              <w:rPr>
                <w:sz w:val="20"/>
                <w:szCs w:val="20"/>
              </w:rPr>
              <w:t>Dài hạn</w:t>
            </w:r>
            <w:r w:rsidR="00C235CA" w:rsidRPr="004F1D15">
              <w:rPr>
                <w:sz w:val="20"/>
                <w:szCs w:val="20"/>
              </w:rPr>
              <w:t>:</w:t>
            </w:r>
          </w:p>
          <w:p w14:paraId="1FF72B0A" w14:textId="77777777" w:rsidR="006C3FF8" w:rsidRPr="006C3FF8" w:rsidRDefault="006C3FF8" w:rsidP="006C3FF8">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6C3FF8">
              <w:rPr>
                <w:rFonts w:ascii="Arial" w:eastAsia="DengXian" w:hAnsi="Arial"/>
                <w:color w:val="auto"/>
                <w:sz w:val="20"/>
                <w:szCs w:val="20"/>
                <w:lang w:val="en-GB"/>
              </w:rPr>
              <w:t>Đạt được mức độ tích hợp đầy đủ công nghệ blockchain trong hầu hết các trường hợp sử dụng theo chiều dọc.</w:t>
            </w:r>
          </w:p>
          <w:p w14:paraId="347B83C2" w14:textId="47812B2D" w:rsidR="006C3FF8" w:rsidRPr="006C3FF8" w:rsidRDefault="006C3FF8" w:rsidP="006C3FF8">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6C3FF8">
              <w:rPr>
                <w:rFonts w:ascii="Arial" w:eastAsia="DengXian" w:hAnsi="Arial"/>
                <w:color w:val="auto"/>
                <w:sz w:val="20"/>
                <w:szCs w:val="20"/>
                <w:lang w:val="en-GB"/>
              </w:rPr>
              <w:lastRenderedPageBreak/>
              <w:t>Lập kế hoạch cho các nâng cấp và mở rộng hạ tầng blockchain trong tương lai nhằm đáp ứng tiến bộ công nghệ.</w:t>
            </w:r>
          </w:p>
          <w:p w14:paraId="5964BA57" w14:textId="0401CBB4" w:rsidR="006C3FF8" w:rsidRPr="006C3FF8" w:rsidRDefault="006C3FF8" w:rsidP="006C3FF8">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6C3FF8">
              <w:rPr>
                <w:rFonts w:ascii="Arial" w:eastAsia="DengXian" w:hAnsi="Arial"/>
                <w:color w:val="auto"/>
                <w:sz w:val="20"/>
                <w:szCs w:val="20"/>
                <w:lang w:val="en-GB"/>
              </w:rPr>
              <w:t>Thiết lập một hoặc nhiều trung tâm xuất sắc (centres of excellence) được công nhận về đổi mới blockchain trong ASEAN, thu hút nhân tài và đầu tư toàn cầu để thúc đẩy R&amp;D liên tục.</w:t>
            </w:r>
          </w:p>
          <w:p w14:paraId="2542F6C7" w14:textId="1A497944" w:rsidR="00C235CA" w:rsidRPr="004F1D15" w:rsidRDefault="006C3FF8" w:rsidP="006C3FF8">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6C3FF8">
              <w:rPr>
                <w:rFonts w:ascii="Arial" w:eastAsia="DengXian" w:hAnsi="Arial"/>
                <w:color w:val="auto"/>
                <w:sz w:val="20"/>
                <w:szCs w:val="20"/>
                <w:lang w:val="en-GB"/>
              </w:rPr>
              <w:t>Hình thành các quan hệ đối tác quốc tế với các trung tâm blockchain hàng đầu và các viện nghiên cứu, nhằm trao đổi tri thức, hợp tác dự án và thiết lập chuẩn mực toàn cầu cho đổi mới blockchain</w:t>
            </w:r>
            <w:r w:rsidR="00074C4C" w:rsidRPr="004F1D15">
              <w:rPr>
                <w:rFonts w:ascii="Arial" w:eastAsia="DengXian" w:hAnsi="Arial"/>
                <w:color w:val="auto"/>
                <w:sz w:val="20"/>
                <w:szCs w:val="20"/>
                <w:lang w:val="en-GB"/>
              </w:rPr>
              <w:t>.</w:t>
            </w:r>
          </w:p>
        </w:tc>
        <w:tc>
          <w:tcPr>
            <w:tcW w:w="2318" w:type="dxa"/>
            <w:gridSpan w:val="2"/>
            <w:tcBorders>
              <w:left w:val="single" w:sz="4" w:space="0" w:color="156082"/>
              <w:right w:val="single" w:sz="4" w:space="0" w:color="156082"/>
            </w:tcBorders>
          </w:tcPr>
          <w:p w14:paraId="1501F53B" w14:textId="5DF8BF62" w:rsidR="00C235CA" w:rsidRPr="004F1D15" w:rsidRDefault="006C3FF8">
            <w:pPr>
              <w:cnfStyle w:val="000000100000" w:firstRow="0" w:lastRow="0" w:firstColumn="0" w:lastColumn="0" w:oddVBand="0" w:evenVBand="0" w:oddHBand="1" w:evenHBand="0" w:firstRowFirstColumn="0" w:firstRowLastColumn="0" w:lastRowFirstColumn="0" w:lastRowLastColumn="0"/>
              <w:rPr>
                <w:sz w:val="20"/>
                <w:szCs w:val="20"/>
              </w:rPr>
            </w:pPr>
            <w:r w:rsidRPr="006C3FF8">
              <w:rPr>
                <w:sz w:val="20"/>
                <w:szCs w:val="20"/>
              </w:rPr>
              <w:lastRenderedPageBreak/>
              <w:t>Cơ quan đầu mối</w:t>
            </w:r>
            <w:r w:rsidR="1009E553" w:rsidRPr="004F1D15">
              <w:rPr>
                <w:sz w:val="20"/>
                <w:szCs w:val="20"/>
              </w:rPr>
              <w:t>:</w:t>
            </w:r>
          </w:p>
          <w:p w14:paraId="0729901C" w14:textId="677DD793" w:rsidR="00C235CA" w:rsidRPr="004F1D15" w:rsidRDefault="006C3FF8" w:rsidP="000A00DE">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6C3FF8">
              <w:rPr>
                <w:rFonts w:ascii="Arial" w:eastAsia="DengXian" w:hAnsi="Arial"/>
                <w:sz w:val="20"/>
                <w:szCs w:val="20"/>
                <w:lang w:val="en-GB"/>
              </w:rPr>
              <w:t xml:space="preserve">Ủy ban Khoa học, Công nghệ và Đổi mới </w:t>
            </w:r>
            <w:r w:rsidR="00AF024D" w:rsidRPr="00AF024D">
              <w:rPr>
                <w:rFonts w:ascii="Arial" w:eastAsia="DengXian" w:hAnsi="Arial"/>
                <w:sz w:val="20"/>
                <w:szCs w:val="20"/>
                <w:lang w:val="en-GB"/>
              </w:rPr>
              <w:t>(COSTI)</w:t>
            </w:r>
          </w:p>
        </w:tc>
        <w:tc>
          <w:tcPr>
            <w:tcW w:w="3774" w:type="dxa"/>
            <w:gridSpan w:val="2"/>
            <w:tcBorders>
              <w:left w:val="single" w:sz="4" w:space="0" w:color="156082"/>
            </w:tcBorders>
          </w:tcPr>
          <w:p w14:paraId="608A3413" w14:textId="41F2CBD1" w:rsidR="00C235CA" w:rsidRPr="004F1D15" w:rsidRDefault="006C3FF8">
            <w:pPr>
              <w:cnfStyle w:val="000000100000" w:firstRow="0" w:lastRow="0" w:firstColumn="0" w:lastColumn="0" w:oddVBand="0" w:evenVBand="0" w:oddHBand="1" w:evenHBand="0" w:firstRowFirstColumn="0" w:firstRowLastColumn="0" w:lastRowFirstColumn="0" w:lastRowLastColumn="0"/>
              <w:rPr>
                <w:sz w:val="20"/>
                <w:szCs w:val="20"/>
              </w:rPr>
            </w:pPr>
            <w:r w:rsidRPr="006C3FF8">
              <w:rPr>
                <w:sz w:val="20"/>
                <w:szCs w:val="20"/>
              </w:rPr>
              <w:t>Các thước đo tiến độ chung</w:t>
            </w:r>
            <w:r w:rsidR="00C235CA" w:rsidRPr="004F1D15">
              <w:rPr>
                <w:sz w:val="20"/>
                <w:szCs w:val="20"/>
              </w:rPr>
              <w:t>:</w:t>
            </w:r>
          </w:p>
          <w:p w14:paraId="23F673FE" w14:textId="77777777" w:rsidR="006C3FF8" w:rsidRPr="006C3FF8" w:rsidRDefault="006C3FF8" w:rsidP="006C3FF8">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bCs/>
                <w:color w:val="auto"/>
                <w:sz w:val="20"/>
                <w:szCs w:val="20"/>
                <w:lang w:val="en-GB"/>
              </w:rPr>
            </w:pPr>
            <w:r w:rsidRPr="006C3FF8">
              <w:rPr>
                <w:rFonts w:ascii="Arial" w:hAnsi="Arial"/>
                <w:b/>
                <w:color w:val="auto"/>
                <w:sz w:val="20"/>
                <w:szCs w:val="20"/>
                <w:lang w:val="en-GB"/>
              </w:rPr>
              <w:t xml:space="preserve">Số lượng Dự án Thí điểm được Khởi động: </w:t>
            </w:r>
            <w:r w:rsidRPr="006C3FF8">
              <w:rPr>
                <w:rFonts w:ascii="Arial" w:hAnsi="Arial"/>
                <w:bCs/>
                <w:color w:val="auto"/>
                <w:sz w:val="20"/>
                <w:szCs w:val="20"/>
                <w:lang w:val="en-GB"/>
              </w:rPr>
              <w:t>Theo dõi số lượng dự án thí điểm blockchain được triển khai trong các trung tâm đổi mới sáng tạo và sandbox quản lý trên toàn ASEAN.</w:t>
            </w:r>
          </w:p>
          <w:p w14:paraId="073ABCA4" w14:textId="6B76929D" w:rsidR="006C3FF8" w:rsidRPr="006C3FF8" w:rsidRDefault="006C3FF8" w:rsidP="006C3FF8">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bCs/>
                <w:color w:val="auto"/>
                <w:sz w:val="20"/>
                <w:szCs w:val="20"/>
                <w:lang w:val="en-GB"/>
              </w:rPr>
            </w:pPr>
            <w:r w:rsidRPr="006C3FF8">
              <w:rPr>
                <w:rFonts w:ascii="Arial" w:hAnsi="Arial"/>
                <w:b/>
                <w:color w:val="auto"/>
                <w:sz w:val="20"/>
                <w:szCs w:val="20"/>
                <w:lang w:val="en-GB"/>
              </w:rPr>
              <w:lastRenderedPageBreak/>
              <w:t xml:space="preserve">Tỷ lệ Thành công của Dự án: </w:t>
            </w:r>
            <w:r w:rsidRPr="006C3FF8">
              <w:rPr>
                <w:rFonts w:ascii="Arial" w:hAnsi="Arial"/>
                <w:bCs/>
                <w:color w:val="auto"/>
                <w:sz w:val="20"/>
                <w:szCs w:val="20"/>
                <w:lang w:val="en-GB"/>
              </w:rPr>
              <w:t>Đo lường tỷ lệ thành công của các dự án thí điểm dựa trên việc đạt được các mục tiêu đề ra như cải thiện hiệu quả, tăng tính minh bạch hoặc giảm chi phí.</w:t>
            </w:r>
          </w:p>
          <w:p w14:paraId="50ED30A6" w14:textId="28AB5CC9" w:rsidR="006C3FF8" w:rsidRPr="006C3FF8" w:rsidRDefault="006C3FF8" w:rsidP="006C3FF8">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b/>
                <w:color w:val="auto"/>
                <w:sz w:val="20"/>
                <w:szCs w:val="20"/>
                <w:lang w:val="en-GB"/>
              </w:rPr>
            </w:pPr>
            <w:r w:rsidRPr="006C3FF8">
              <w:rPr>
                <w:rFonts w:ascii="Arial" w:hAnsi="Arial"/>
                <w:b/>
                <w:color w:val="auto"/>
                <w:sz w:val="20"/>
                <w:szCs w:val="20"/>
                <w:lang w:val="en-GB"/>
              </w:rPr>
              <w:t xml:space="preserve">Số lượng Quan hệ Đối tác Công – Tư được thiết lập: </w:t>
            </w:r>
            <w:r w:rsidRPr="006C3FF8">
              <w:rPr>
                <w:rFonts w:ascii="Arial" w:hAnsi="Arial"/>
                <w:bCs/>
                <w:color w:val="auto"/>
                <w:sz w:val="20"/>
                <w:szCs w:val="20"/>
                <w:lang w:val="en-GB"/>
              </w:rPr>
              <w:t>Thống kê số lượng quan hệ đối tác chính thức giữa cơ quan nhà nước và doanh nghiệp tư nhân nhằm triển khai các giải pháp blockchain.</w:t>
            </w:r>
          </w:p>
          <w:p w14:paraId="6D596395" w14:textId="084F9AE5" w:rsidR="00C235CA" w:rsidRPr="00516087" w:rsidRDefault="006C3FF8" w:rsidP="006C3FF8">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6C3FF8">
              <w:rPr>
                <w:rFonts w:ascii="Arial" w:hAnsi="Arial"/>
                <w:b/>
                <w:color w:val="auto"/>
                <w:sz w:val="20"/>
                <w:szCs w:val="20"/>
                <w:lang w:val="en-GB"/>
              </w:rPr>
              <w:t xml:space="preserve">Đầu tư vào Hạ tầng Blockchain: </w:t>
            </w:r>
            <w:r w:rsidRPr="006C3FF8">
              <w:rPr>
                <w:rFonts w:ascii="Arial" w:hAnsi="Arial"/>
                <w:bCs/>
                <w:color w:val="auto"/>
                <w:sz w:val="20"/>
                <w:szCs w:val="20"/>
                <w:lang w:val="en-GB"/>
              </w:rPr>
              <w:t>Theo dõi mức đầu tư dành cho việc nâng cấp và mở rộng hạ tầng blockchain trong ASEAN, tập trung vào khả năng mở rộng và khả năng tương tác</w:t>
            </w:r>
            <w:r w:rsidR="00074C4C" w:rsidRPr="006C3FF8">
              <w:rPr>
                <w:rFonts w:ascii="Arial" w:hAnsi="Arial"/>
                <w:bCs/>
                <w:color w:val="auto"/>
                <w:sz w:val="20"/>
                <w:szCs w:val="20"/>
                <w:lang w:val="en-GB"/>
              </w:rPr>
              <w:t>.</w:t>
            </w:r>
          </w:p>
        </w:tc>
      </w:tr>
    </w:tbl>
    <w:p w14:paraId="5277E905" w14:textId="77777777" w:rsidR="00341DF4" w:rsidRPr="004F1D15" w:rsidRDefault="00341DF4" w:rsidP="007664A3">
      <w:pPr>
        <w:rPr>
          <w:sz w:val="20"/>
          <w:szCs w:val="20"/>
        </w:rPr>
      </w:pPr>
    </w:p>
    <w:p w14:paraId="5D333D3B" w14:textId="5B06F7B2" w:rsidR="00341DF4" w:rsidRPr="004F1D15" w:rsidRDefault="001D54BE" w:rsidP="00341DF4">
      <w:pPr>
        <w:pStyle w:val="Heading3"/>
        <w:rPr>
          <w:sz w:val="20"/>
          <w:szCs w:val="20"/>
          <w:lang w:val="en-GB"/>
        </w:rPr>
      </w:pPr>
      <w:r>
        <w:rPr>
          <w:sz w:val="20"/>
          <w:szCs w:val="20"/>
          <w:lang w:val="en-GB"/>
        </w:rPr>
        <w:t>Tiểu</w:t>
      </w:r>
      <w:r>
        <w:rPr>
          <w:sz w:val="20"/>
          <w:szCs w:val="20"/>
          <w:lang w:val="vi-VN"/>
        </w:rPr>
        <w:t xml:space="preserve"> lĩnh vực</w:t>
      </w:r>
      <w:r w:rsidR="00341DF4" w:rsidRPr="004F1D15">
        <w:rPr>
          <w:sz w:val="20"/>
          <w:szCs w:val="20"/>
          <w:lang w:val="en-GB"/>
        </w:rPr>
        <w:t xml:space="preserve">: </w:t>
      </w:r>
      <w:r>
        <w:rPr>
          <w:sz w:val="20"/>
          <w:szCs w:val="20"/>
          <w:lang w:val="en-GB"/>
        </w:rPr>
        <w:t>Điện</w:t>
      </w:r>
      <w:r>
        <w:rPr>
          <w:sz w:val="20"/>
          <w:szCs w:val="20"/>
          <w:lang w:val="vi-VN"/>
        </w:rPr>
        <w:t xml:space="preserve"> toán đám mây</w:t>
      </w:r>
    </w:p>
    <w:p w14:paraId="3D0C9DB7" w14:textId="6C0CA0BC" w:rsidR="00341DF4" w:rsidRPr="004F1D15" w:rsidRDefault="001D54BE" w:rsidP="00C82E40">
      <w:pPr>
        <w:pStyle w:val="Heading4"/>
        <w:rPr>
          <w:sz w:val="20"/>
          <w:lang w:val="en-GB"/>
        </w:rPr>
      </w:pPr>
      <w:r>
        <w:rPr>
          <w:sz w:val="20"/>
          <w:lang w:val="en-GB"/>
        </w:rPr>
        <w:t>Danh</w:t>
      </w:r>
      <w:r>
        <w:rPr>
          <w:sz w:val="20"/>
          <w:lang w:val="vi-VN"/>
        </w:rPr>
        <w:t xml:space="preserve"> mục</w:t>
      </w:r>
      <w:r w:rsidR="00CC6EE0" w:rsidRPr="004F1D15">
        <w:rPr>
          <w:sz w:val="20"/>
          <w:lang w:val="en-GB"/>
        </w:rPr>
        <w:t xml:space="preserve"> </w:t>
      </w:r>
      <w:r w:rsidR="00341DF4" w:rsidRPr="004F1D15">
        <w:rPr>
          <w:sz w:val="20"/>
          <w:lang w:val="en-GB"/>
        </w:rPr>
        <w:t xml:space="preserve">1: </w:t>
      </w:r>
      <w:r>
        <w:rPr>
          <w:sz w:val="20"/>
          <w:lang w:val="en-GB"/>
        </w:rPr>
        <w:t>Điều</w:t>
      </w:r>
      <w:r>
        <w:rPr>
          <w:sz w:val="20"/>
          <w:lang w:val="vi-VN"/>
        </w:rPr>
        <w:t xml:space="preserve"> phối và Điều chỉnh chính sách</w:t>
      </w:r>
    </w:p>
    <w:tbl>
      <w:tblPr>
        <w:tblStyle w:val="ListTable3-Accent11"/>
        <w:tblW w:w="15314" w:type="dxa"/>
        <w:tblLook w:val="04A0" w:firstRow="1" w:lastRow="0" w:firstColumn="1" w:lastColumn="0" w:noHBand="0" w:noVBand="1"/>
      </w:tblPr>
      <w:tblGrid>
        <w:gridCol w:w="1694"/>
        <w:gridCol w:w="3764"/>
        <w:gridCol w:w="7"/>
        <w:gridCol w:w="3757"/>
        <w:gridCol w:w="15"/>
        <w:gridCol w:w="2303"/>
        <w:gridCol w:w="14"/>
        <w:gridCol w:w="3760"/>
      </w:tblGrid>
      <w:tr w:rsidR="00C235CA" w:rsidRPr="004F1D15" w14:paraId="717A3059" w14:textId="77777777" w:rsidTr="00B120A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4" w:type="dxa"/>
            <w:tcBorders>
              <w:bottom w:val="single" w:sz="4" w:space="0" w:color="156082"/>
            </w:tcBorders>
            <w:shd w:val="clear" w:color="auto" w:fill="002060"/>
          </w:tcPr>
          <w:p w14:paraId="136D208F" w14:textId="4099D1A9" w:rsidR="00C235CA" w:rsidRPr="004F1D15" w:rsidRDefault="001D54BE" w:rsidP="00B120AA">
            <w:pPr>
              <w:jc w:val="center"/>
              <w:rPr>
                <w:sz w:val="20"/>
                <w:szCs w:val="20"/>
              </w:rPr>
            </w:pPr>
            <w:r w:rsidRPr="001D54BE">
              <w:rPr>
                <w:sz w:val="20"/>
                <w:szCs w:val="20"/>
              </w:rPr>
              <w:t>Khu vực hành động</w:t>
            </w:r>
          </w:p>
        </w:tc>
        <w:tc>
          <w:tcPr>
            <w:tcW w:w="3771" w:type="dxa"/>
            <w:gridSpan w:val="2"/>
            <w:shd w:val="clear" w:color="auto" w:fill="002060"/>
          </w:tcPr>
          <w:p w14:paraId="5C86C59F" w14:textId="0CB69DC6" w:rsidR="00C235CA" w:rsidRPr="004F1D15" w:rsidRDefault="001D54BE" w:rsidP="00B120AA">
            <w:pPr>
              <w:jc w:val="center"/>
              <w:cnfStyle w:val="100000000000" w:firstRow="1" w:lastRow="0" w:firstColumn="0" w:lastColumn="0" w:oddVBand="0" w:evenVBand="0" w:oddHBand="0" w:evenHBand="0" w:firstRowFirstColumn="0" w:firstRowLastColumn="0" w:lastRowFirstColumn="0" w:lastRowLastColumn="0"/>
              <w:rPr>
                <w:sz w:val="20"/>
                <w:szCs w:val="20"/>
              </w:rPr>
            </w:pPr>
            <w:r w:rsidRPr="001D54BE">
              <w:rPr>
                <w:sz w:val="20"/>
                <w:szCs w:val="20"/>
              </w:rPr>
              <w:t>Lĩnh vực trọng tâm</w:t>
            </w:r>
          </w:p>
        </w:tc>
        <w:tc>
          <w:tcPr>
            <w:tcW w:w="3772" w:type="dxa"/>
            <w:gridSpan w:val="2"/>
            <w:shd w:val="clear" w:color="auto" w:fill="002060"/>
          </w:tcPr>
          <w:p w14:paraId="39583D07" w14:textId="0CF5D959" w:rsidR="00C235CA" w:rsidRPr="004F1D15" w:rsidRDefault="001D54BE" w:rsidP="00B120AA">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1D54BE">
              <w:rPr>
                <w:sz w:val="20"/>
                <w:szCs w:val="20"/>
              </w:rPr>
              <w:t>Các mốc dự kiến và khung thời gian tạm tính</w:t>
            </w:r>
            <w:r w:rsidR="00C235CA" w:rsidRPr="004F1D15">
              <w:rPr>
                <w:sz w:val="20"/>
                <w:szCs w:val="20"/>
                <w:vertAlign w:val="superscript"/>
              </w:rPr>
              <w:footnoteReference w:id="366"/>
            </w:r>
          </w:p>
        </w:tc>
        <w:tc>
          <w:tcPr>
            <w:tcW w:w="2317" w:type="dxa"/>
            <w:gridSpan w:val="2"/>
            <w:shd w:val="clear" w:color="auto" w:fill="002060"/>
          </w:tcPr>
          <w:p w14:paraId="092A0E56" w14:textId="76668CBF" w:rsidR="00C235CA" w:rsidRPr="004F1D15" w:rsidRDefault="001D54BE" w:rsidP="00B120AA">
            <w:pPr>
              <w:jc w:val="center"/>
              <w:cnfStyle w:val="100000000000" w:firstRow="1" w:lastRow="0" w:firstColumn="0" w:lastColumn="0" w:oddVBand="0" w:evenVBand="0" w:oddHBand="0" w:evenHBand="0" w:firstRowFirstColumn="0" w:firstRowLastColumn="0" w:lastRowFirstColumn="0" w:lastRowLastColumn="0"/>
              <w:rPr>
                <w:sz w:val="20"/>
                <w:szCs w:val="20"/>
              </w:rPr>
            </w:pPr>
            <w:r w:rsidRPr="001D54BE">
              <w:rPr>
                <w:sz w:val="20"/>
                <w:szCs w:val="20"/>
              </w:rPr>
              <w:t>Các bên chịu trách nhiệm chính</w:t>
            </w:r>
          </w:p>
        </w:tc>
        <w:tc>
          <w:tcPr>
            <w:tcW w:w="3760" w:type="dxa"/>
            <w:shd w:val="clear" w:color="auto" w:fill="002060"/>
          </w:tcPr>
          <w:p w14:paraId="2D74B616" w14:textId="4E2EFECC" w:rsidR="00C235CA" w:rsidRPr="004F1D15" w:rsidRDefault="001D54BE" w:rsidP="00B120AA">
            <w:pPr>
              <w:jc w:val="center"/>
              <w:cnfStyle w:val="100000000000" w:firstRow="1" w:lastRow="0" w:firstColumn="0" w:lastColumn="0" w:oddVBand="0" w:evenVBand="0" w:oddHBand="0" w:evenHBand="0" w:firstRowFirstColumn="0" w:firstRowLastColumn="0" w:lastRowFirstColumn="0" w:lastRowLastColumn="0"/>
              <w:rPr>
                <w:sz w:val="20"/>
                <w:szCs w:val="20"/>
              </w:rPr>
            </w:pPr>
            <w:r w:rsidRPr="001D54BE">
              <w:rPr>
                <w:sz w:val="20"/>
                <w:szCs w:val="20"/>
              </w:rPr>
              <w:t>Thước đo tiến độ</w:t>
            </w:r>
          </w:p>
        </w:tc>
      </w:tr>
      <w:tr w:rsidR="00C235CA" w:rsidRPr="004F1D15" w14:paraId="1DA241DC" w14:textId="77777777" w:rsidTr="00B12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shd w:val="clear" w:color="auto" w:fill="00B0F0"/>
          </w:tcPr>
          <w:p w14:paraId="779DB5AC" w14:textId="662ADA44" w:rsidR="00C235CA" w:rsidRPr="004F1D15" w:rsidRDefault="001D54BE">
            <w:pPr>
              <w:rPr>
                <w:sz w:val="20"/>
                <w:szCs w:val="20"/>
              </w:rPr>
            </w:pPr>
            <w:r w:rsidRPr="001D54BE">
              <w:rPr>
                <w:sz w:val="20"/>
                <w:szCs w:val="20"/>
              </w:rPr>
              <w:t>Khu vực hành động chính</w:t>
            </w:r>
          </w:p>
        </w:tc>
        <w:tc>
          <w:tcPr>
            <w:tcW w:w="13620" w:type="dxa"/>
            <w:gridSpan w:val="7"/>
            <w:tcBorders>
              <w:left w:val="single" w:sz="4" w:space="0" w:color="156082"/>
            </w:tcBorders>
            <w:shd w:val="clear" w:color="auto" w:fill="00B0F0"/>
          </w:tcPr>
          <w:p w14:paraId="784F84B0" w14:textId="67B12AE1" w:rsidR="00C235CA" w:rsidRPr="004F1D15" w:rsidRDefault="00AF024D">
            <w:pPr>
              <w:cnfStyle w:val="000000100000" w:firstRow="0" w:lastRow="0" w:firstColumn="0" w:lastColumn="0" w:oddVBand="0" w:evenVBand="0" w:oddHBand="1" w:evenHBand="0" w:firstRowFirstColumn="0" w:firstRowLastColumn="0" w:lastRowFirstColumn="0" w:lastRowLastColumn="0"/>
              <w:rPr>
                <w:rFonts w:eastAsiaTheme="minorEastAsia"/>
                <w:b/>
                <w:bCs/>
                <w:sz w:val="20"/>
                <w:szCs w:val="20"/>
              </w:rPr>
            </w:pPr>
            <w:r>
              <w:rPr>
                <w:b/>
                <w:bCs/>
                <w:sz w:val="20"/>
                <w:szCs w:val="20"/>
              </w:rPr>
              <w:t>6.2.13.1</w:t>
            </w:r>
            <w:r w:rsidR="00074C4C" w:rsidRPr="004F1D15">
              <w:rPr>
                <w:b/>
                <w:sz w:val="20"/>
                <w:szCs w:val="20"/>
              </w:rPr>
              <w:t xml:space="preserve"> </w:t>
            </w:r>
            <w:r w:rsidR="00BA68DB" w:rsidRPr="00BA68DB">
              <w:rPr>
                <w:b/>
                <w:sz w:val="20"/>
                <w:szCs w:val="20"/>
              </w:rPr>
              <w:t>Xây dựng Khung Điện toán Đám mây ASEAN</w:t>
            </w:r>
          </w:p>
        </w:tc>
      </w:tr>
      <w:tr w:rsidR="00C235CA" w:rsidRPr="004F1D15" w14:paraId="0F4AF8DF" w14:textId="77777777" w:rsidTr="00B120AA">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156082"/>
              <w:bottom w:val="single" w:sz="4" w:space="0" w:color="156082"/>
              <w:right w:val="single" w:sz="4" w:space="0" w:color="156082"/>
            </w:tcBorders>
            <w:shd w:val="clear" w:color="auto" w:fill="BDD6EE" w:themeFill="accent5" w:themeFillTint="66"/>
          </w:tcPr>
          <w:p w14:paraId="74C55A61" w14:textId="3CAC64F7" w:rsidR="00C235CA" w:rsidRPr="00825700" w:rsidRDefault="00825700">
            <w:pPr>
              <w:rPr>
                <w:sz w:val="20"/>
                <w:szCs w:val="20"/>
                <w:lang w:val="vi-VN"/>
              </w:rPr>
            </w:pPr>
            <w:r>
              <w:rPr>
                <w:sz w:val="20"/>
                <w:szCs w:val="20"/>
                <w:lang w:val="vi-VN"/>
              </w:rPr>
              <w:t>Mục tiêu</w:t>
            </w:r>
          </w:p>
        </w:tc>
        <w:tc>
          <w:tcPr>
            <w:tcW w:w="13620" w:type="dxa"/>
            <w:gridSpan w:val="7"/>
            <w:tcBorders>
              <w:left w:val="single" w:sz="4" w:space="0" w:color="156082"/>
            </w:tcBorders>
            <w:shd w:val="clear" w:color="auto" w:fill="BDD6EE" w:themeFill="accent5" w:themeFillTint="66"/>
          </w:tcPr>
          <w:p w14:paraId="21864937" w14:textId="58A2A0F0" w:rsidR="00074C4C" w:rsidRPr="00516087" w:rsidRDefault="007C4EAA"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DengXian" w:hAnsi="Arial"/>
                <w:sz w:val="20"/>
                <w:szCs w:val="20"/>
                <w:lang w:val="en-GB"/>
              </w:rPr>
            </w:pPr>
            <w:r w:rsidRPr="007C4EAA">
              <w:rPr>
                <w:rFonts w:ascii="Arial" w:eastAsia="DengXian" w:hAnsi="Arial"/>
                <w:b/>
                <w:sz w:val="20"/>
                <w:szCs w:val="20"/>
                <w:lang w:val="en-GB"/>
              </w:rPr>
              <w:t xml:space="preserve">Hội tụ quy </w:t>
            </w:r>
            <w:r w:rsidR="00336BC0">
              <w:rPr>
                <w:rFonts w:ascii="Arial" w:eastAsia="DengXian" w:hAnsi="Arial"/>
                <w:b/>
                <w:sz w:val="20"/>
                <w:szCs w:val="20"/>
                <w:lang w:val="en-GB"/>
              </w:rPr>
              <w:t>định</w:t>
            </w:r>
            <w:r w:rsidR="00336BC0">
              <w:rPr>
                <w:rFonts w:ascii="Arial" w:eastAsia="DengXian" w:hAnsi="Arial"/>
                <w:b/>
                <w:sz w:val="20"/>
                <w:szCs w:val="20"/>
                <w:lang w:val="vi-VN"/>
              </w:rPr>
              <w:t xml:space="preserve">: </w:t>
            </w:r>
            <w:r w:rsidRPr="007C4EAA">
              <w:rPr>
                <w:rFonts w:ascii="Arial" w:eastAsia="DengXian" w:hAnsi="Arial"/>
                <w:bCs/>
                <w:sz w:val="20"/>
                <w:szCs w:val="20"/>
                <w:lang w:val="en-GB"/>
              </w:rPr>
              <w:t>Thiết lập một khuôn khổ thống nhất về điện toán đám mây trong ASEAN nhằm thúc đẩy hội tụ chính sách, đảm bảo sự nhất quán trong quy định và thực tiễn, tạo điều kiện cho đổi mới đồng thời xử lý các thách thức điều tiết giữa các quốc gia thành viên.</w:t>
            </w:r>
          </w:p>
          <w:p w14:paraId="522923B0" w14:textId="6C0427D7" w:rsidR="00C235CA" w:rsidRPr="00516087" w:rsidRDefault="007C4EAA"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hAnsi="Arial"/>
                <w:color w:val="auto"/>
                <w:sz w:val="20"/>
                <w:szCs w:val="20"/>
                <w:lang w:val="en-GB"/>
              </w:rPr>
            </w:pPr>
            <w:r w:rsidRPr="007C4EAA">
              <w:rPr>
                <w:rFonts w:ascii="Arial" w:eastAsia="DengXian" w:hAnsi="Arial"/>
                <w:b/>
                <w:sz w:val="20"/>
                <w:szCs w:val="20"/>
                <w:lang w:val="en-GB"/>
              </w:rPr>
              <w:t xml:space="preserve">Hài hòa với tiêu chuẩn quốc tế: </w:t>
            </w:r>
            <w:r w:rsidRPr="007C4EAA">
              <w:rPr>
                <w:rFonts w:ascii="Arial" w:eastAsia="DengXian" w:hAnsi="Arial"/>
                <w:bCs/>
                <w:sz w:val="20"/>
                <w:szCs w:val="20"/>
                <w:lang w:val="en-GB"/>
              </w:rPr>
              <w:t>Điều chỉnh quy định và tiêu chuẩn điện toán đám mây của ASEAN theo các chuẩn mực quốc tế để tăng cường khả năng tương tác, bảo mật và lòng tin đối với các dịch vụ đám mây trong khu vực, qua đó tạo điều kiện cho sự hội nhập liền mạch vào nền kinh tế số toàn cầu.</w:t>
            </w:r>
          </w:p>
        </w:tc>
      </w:tr>
      <w:tr w:rsidR="00C235CA" w:rsidRPr="004F1D15" w14:paraId="64B9C351" w14:textId="77777777" w:rsidTr="6BB67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tcPr>
          <w:p w14:paraId="4A3A45FF" w14:textId="02A90D69" w:rsidR="00C235CA" w:rsidRPr="004F1D15" w:rsidRDefault="00AF024D">
            <w:pPr>
              <w:rPr>
                <w:sz w:val="20"/>
                <w:szCs w:val="20"/>
              </w:rPr>
            </w:pPr>
            <w:r>
              <w:rPr>
                <w:sz w:val="20"/>
                <w:szCs w:val="20"/>
              </w:rPr>
              <w:lastRenderedPageBreak/>
              <w:t>6.2.13.1</w:t>
            </w:r>
            <w:r w:rsidR="00074C4C" w:rsidRPr="004F1D15">
              <w:rPr>
                <w:sz w:val="20"/>
                <w:szCs w:val="20"/>
              </w:rPr>
              <w:t xml:space="preserve"> </w:t>
            </w:r>
            <w:r w:rsidR="00BA68DB" w:rsidRPr="00BA68DB">
              <w:rPr>
                <w:sz w:val="20"/>
                <w:szCs w:val="20"/>
              </w:rPr>
              <w:t>Xây dựng Khung Điện toán Đám mây ASEAN</w:t>
            </w:r>
            <w:r w:rsidR="00074C4C" w:rsidRPr="004F1D15">
              <w:rPr>
                <w:sz w:val="20"/>
                <w:szCs w:val="20"/>
              </w:rPr>
              <w:t xml:space="preserve"> </w:t>
            </w:r>
          </w:p>
        </w:tc>
        <w:tc>
          <w:tcPr>
            <w:tcW w:w="3764" w:type="dxa"/>
            <w:tcBorders>
              <w:left w:val="single" w:sz="4" w:space="0" w:color="156082"/>
              <w:right w:val="single" w:sz="4" w:space="0" w:color="156082"/>
            </w:tcBorders>
          </w:tcPr>
          <w:p w14:paraId="7C80D142" w14:textId="4D95F68E" w:rsidR="00074C4C" w:rsidRPr="00516087" w:rsidRDefault="007C4EAA" w:rsidP="00C82E40">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olor w:val="auto"/>
                <w:sz w:val="20"/>
                <w:szCs w:val="20"/>
                <w:lang w:val="en-GB"/>
              </w:rPr>
            </w:pPr>
            <w:r w:rsidRPr="007C4EAA">
              <w:rPr>
                <w:rFonts w:ascii="Arial" w:hAnsi="Arial"/>
                <w:b/>
                <w:color w:val="auto"/>
                <w:sz w:val="20"/>
                <w:szCs w:val="20"/>
                <w:lang w:val="en-GB"/>
              </w:rPr>
              <w:t xml:space="preserve">Xây dựng Khung Khu vực: </w:t>
            </w:r>
            <w:r w:rsidRPr="007C4EAA">
              <w:rPr>
                <w:rFonts w:ascii="Arial" w:hAnsi="Arial"/>
                <w:bCs/>
                <w:color w:val="auto"/>
                <w:sz w:val="20"/>
                <w:szCs w:val="20"/>
                <w:lang w:val="en-GB"/>
              </w:rPr>
              <w:t>Xây dựng một khuôn khổ ASEAN nêu rõ các khái niệm, nguyên tắc và tiêu chuẩn tối thiểu cho điện toán đám mây áp dụng cho toàn bộ 10 quốc gia thành viên ASEAN. Khung này cần tính đến các yêu cầu đặc thù của điện toán đám mây như bảo vệ dữ liệu, an ninh mạng và quyền sở hữu trí tuệ, đồng thời tham chiếu tài liệu ISO/IEC TR 22678:2019</w:t>
            </w:r>
            <w:r>
              <w:rPr>
                <w:rFonts w:ascii="Arial" w:hAnsi="Arial"/>
                <w:b/>
                <w:color w:val="auto"/>
                <w:sz w:val="20"/>
                <w:szCs w:val="20"/>
                <w:lang w:val="vi-VN"/>
              </w:rPr>
              <w:t xml:space="preserve"> </w:t>
            </w:r>
            <w:r w:rsidR="00813004" w:rsidRPr="00813004">
              <w:rPr>
                <w:rFonts w:ascii="Arial" w:hAnsi="Arial"/>
                <w:color w:val="auto"/>
                <w:sz w:val="20"/>
                <w:szCs w:val="20"/>
                <w:lang w:val="en-GB"/>
              </w:rPr>
              <w:t>Information technology - Cloud computing - Guidance for policy development</w:t>
            </w:r>
            <w:r w:rsidR="00813004">
              <w:rPr>
                <w:rFonts w:ascii="Arial" w:hAnsi="Arial"/>
                <w:color w:val="auto"/>
                <w:sz w:val="20"/>
                <w:szCs w:val="20"/>
                <w:lang w:val="en-GB"/>
              </w:rPr>
              <w:t xml:space="preserve"> for guidance</w:t>
            </w:r>
            <w:r w:rsidR="00592640">
              <w:rPr>
                <w:rFonts w:ascii="Arial" w:hAnsi="Arial"/>
                <w:color w:val="auto"/>
                <w:sz w:val="20"/>
                <w:szCs w:val="20"/>
                <w:lang w:val="en-GB"/>
              </w:rPr>
              <w:t>.</w:t>
            </w:r>
            <w:r w:rsidR="0024717D">
              <w:rPr>
                <w:rStyle w:val="FootnoteReference"/>
                <w:rFonts w:ascii="Arial" w:hAnsi="Arial"/>
                <w:color w:val="auto"/>
                <w:sz w:val="20"/>
                <w:szCs w:val="20"/>
                <w:lang w:val="en-GB"/>
              </w:rPr>
              <w:footnoteReference w:id="367"/>
            </w:r>
            <w:r w:rsidR="00074C4C" w:rsidRPr="00516087">
              <w:rPr>
                <w:rFonts w:ascii="Arial" w:hAnsi="Arial"/>
                <w:color w:val="auto"/>
                <w:sz w:val="20"/>
                <w:szCs w:val="20"/>
                <w:lang w:val="en-GB"/>
              </w:rPr>
              <w:t>.</w:t>
            </w:r>
          </w:p>
          <w:p w14:paraId="74E8C81C" w14:textId="074538C2" w:rsidR="00074C4C" w:rsidRPr="004F1D15" w:rsidRDefault="005536B3" w:rsidP="00C82E40">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color w:val="auto"/>
                <w:sz w:val="20"/>
                <w:szCs w:val="20"/>
                <w:lang w:val="en-GB"/>
              </w:rPr>
            </w:pPr>
            <w:r w:rsidRPr="005536B3">
              <w:rPr>
                <w:rFonts w:ascii="Arial" w:hAnsi="Arial"/>
                <w:b/>
                <w:color w:val="auto"/>
                <w:sz w:val="20"/>
                <w:szCs w:val="20"/>
                <w:lang w:val="en-GB"/>
              </w:rPr>
              <w:t xml:space="preserve">Tương tác với các bên liên quan: </w:t>
            </w:r>
            <w:r w:rsidRPr="005536B3">
              <w:rPr>
                <w:rFonts w:ascii="Arial" w:hAnsi="Arial"/>
                <w:bCs/>
                <w:color w:val="auto"/>
                <w:sz w:val="20"/>
                <w:szCs w:val="20"/>
                <w:lang w:val="en-GB"/>
              </w:rPr>
              <w:t>Tham vấn các bên liên quan chủ chốt, gồm: nhà hoạch định chính sách, lãnh đạo doanh nghiệp, MSME, giới học thuật và đại diện xã hội dân sự nhằm hỗ trợ quá trình xây dựng khung khu vực</w:t>
            </w:r>
            <w:r w:rsidR="00074C4C" w:rsidRPr="005536B3">
              <w:rPr>
                <w:rFonts w:ascii="Arial" w:hAnsi="Arial"/>
                <w:bCs/>
                <w:color w:val="auto"/>
                <w:sz w:val="20"/>
                <w:szCs w:val="20"/>
                <w:lang w:val="en-GB"/>
              </w:rPr>
              <w:t>.</w:t>
            </w:r>
          </w:p>
          <w:p w14:paraId="5AF63D62" w14:textId="3488BB29" w:rsidR="00C235CA" w:rsidRPr="004F1D15" w:rsidRDefault="00C235CA">
            <w:pPr>
              <w:cnfStyle w:val="000000100000" w:firstRow="0" w:lastRow="0" w:firstColumn="0" w:lastColumn="0" w:oddVBand="0" w:evenVBand="0" w:oddHBand="1" w:evenHBand="0" w:firstRowFirstColumn="0" w:firstRowLastColumn="0" w:lastRowFirstColumn="0" w:lastRowLastColumn="0"/>
              <w:rPr>
                <w:sz w:val="20"/>
                <w:szCs w:val="20"/>
              </w:rPr>
            </w:pPr>
          </w:p>
        </w:tc>
        <w:tc>
          <w:tcPr>
            <w:tcW w:w="3764" w:type="dxa"/>
            <w:gridSpan w:val="2"/>
            <w:tcBorders>
              <w:left w:val="single" w:sz="4" w:space="0" w:color="156082"/>
              <w:right w:val="single" w:sz="4" w:space="0" w:color="156082"/>
            </w:tcBorders>
          </w:tcPr>
          <w:p w14:paraId="339DCE04" w14:textId="57BA4F80" w:rsidR="00C235CA" w:rsidRPr="004F1D15" w:rsidRDefault="005536B3">
            <w:pPr>
              <w:cnfStyle w:val="000000100000" w:firstRow="0" w:lastRow="0" w:firstColumn="0" w:lastColumn="0" w:oddVBand="0" w:evenVBand="0" w:oddHBand="1" w:evenHBand="0" w:firstRowFirstColumn="0" w:firstRowLastColumn="0" w:lastRowFirstColumn="0" w:lastRowLastColumn="0"/>
              <w:rPr>
                <w:sz w:val="20"/>
                <w:szCs w:val="20"/>
              </w:rPr>
            </w:pPr>
            <w:r w:rsidRPr="005536B3">
              <w:rPr>
                <w:sz w:val="20"/>
                <w:szCs w:val="20"/>
              </w:rPr>
              <w:t>Ngắn hạn</w:t>
            </w:r>
            <w:r w:rsidR="00C235CA" w:rsidRPr="004F1D15">
              <w:rPr>
                <w:sz w:val="20"/>
                <w:szCs w:val="20"/>
              </w:rPr>
              <w:t>:</w:t>
            </w:r>
          </w:p>
          <w:p w14:paraId="7649A41D" w14:textId="77777777" w:rsidR="005536B3" w:rsidRPr="005536B3" w:rsidRDefault="005536B3" w:rsidP="005536B3">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5536B3">
              <w:rPr>
                <w:rFonts w:ascii="Arial" w:eastAsia="DengXian" w:hAnsi="Arial"/>
                <w:color w:val="auto"/>
                <w:sz w:val="20"/>
                <w:szCs w:val="20"/>
                <w:lang w:val="en-GB"/>
              </w:rPr>
              <w:t>Thành lập lực lượng đặc nhiệm khu vực (regional taskforce) gồm đại diện chính phủ các nước ASEAN, doanh nghiệp, học thuật và xã hội dân sự.</w:t>
            </w:r>
          </w:p>
          <w:p w14:paraId="1CB6C87B" w14:textId="1BFABC8F" w:rsidR="005536B3" w:rsidRPr="005536B3" w:rsidRDefault="005536B3" w:rsidP="005536B3">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5536B3">
              <w:rPr>
                <w:rFonts w:ascii="Arial" w:eastAsia="DengXian" w:hAnsi="Arial"/>
                <w:color w:val="auto"/>
                <w:sz w:val="20"/>
                <w:szCs w:val="20"/>
                <w:lang w:val="en-GB"/>
              </w:rPr>
              <w:t>Tiến hành rà soát toàn diện các văn bản pháp luật hiện hành và sắp ban hành, các sáng kiến quản lý và tiêu chuẩn tại các quốc gia thành viên ASEAN nhằm xác định các khoảng trống và cơ hội hội tụ chính sách – pháp lý.</w:t>
            </w:r>
          </w:p>
          <w:p w14:paraId="4DF1DD85" w14:textId="17C806C7" w:rsidR="005536B3" w:rsidRPr="005536B3" w:rsidRDefault="005536B3" w:rsidP="005536B3">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5536B3">
              <w:rPr>
                <w:rFonts w:ascii="Arial" w:eastAsia="DengXian" w:hAnsi="Arial"/>
                <w:color w:val="auto"/>
                <w:sz w:val="20"/>
                <w:szCs w:val="20"/>
                <w:lang w:val="en-GB"/>
              </w:rPr>
              <w:t>Thực hiện nghiên cứu chuyên sâu để xác định yêu cầu kỹ thuật, vận hành và pháp lý cần thiết cho một khung điện toán đám mây khu vực.</w:t>
            </w:r>
          </w:p>
          <w:p w14:paraId="7AC3714D" w14:textId="4D257B4D" w:rsidR="005536B3" w:rsidRPr="005536B3" w:rsidRDefault="005536B3" w:rsidP="005536B3">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5536B3">
              <w:rPr>
                <w:rFonts w:ascii="Arial" w:eastAsia="DengXian" w:hAnsi="Arial"/>
                <w:color w:val="auto"/>
                <w:sz w:val="20"/>
                <w:szCs w:val="20"/>
                <w:lang w:val="en-GB"/>
              </w:rPr>
              <w:t>Thiết lập bộ khái niệm, nguyên tắc, tiêu chuẩn và thực tiễn chung cho một khung điện toán đám mây khu vực.</w:t>
            </w:r>
          </w:p>
          <w:p w14:paraId="02BD8FB4" w14:textId="183A9391" w:rsidR="00074C4C" w:rsidRPr="004F1D15" w:rsidRDefault="005536B3" w:rsidP="005536B3">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5536B3">
              <w:rPr>
                <w:rFonts w:ascii="Arial" w:eastAsia="DengXian" w:hAnsi="Arial"/>
                <w:color w:val="auto"/>
                <w:sz w:val="20"/>
                <w:szCs w:val="20"/>
                <w:lang w:val="en-GB"/>
              </w:rPr>
              <w:t>Tổ chức tham vấn các bên liên quan để thu thập phản hồi và xây dựng đồng thuận</w:t>
            </w:r>
            <w:r w:rsidR="00074C4C" w:rsidRPr="004F1D15">
              <w:rPr>
                <w:rFonts w:ascii="Arial" w:eastAsia="DengXian" w:hAnsi="Arial"/>
                <w:color w:val="auto"/>
                <w:sz w:val="20"/>
                <w:szCs w:val="20"/>
                <w:lang w:val="en-GB"/>
              </w:rPr>
              <w:t>.</w:t>
            </w:r>
            <w:r w:rsidR="00806668">
              <w:rPr>
                <w:rFonts w:ascii="Arial" w:eastAsia="DengXian" w:hAnsi="Arial"/>
                <w:color w:val="auto"/>
                <w:sz w:val="20"/>
                <w:szCs w:val="20"/>
                <w:lang w:val="en-GB"/>
              </w:rPr>
              <w:br/>
            </w:r>
          </w:p>
          <w:p w14:paraId="28804A6D" w14:textId="5765251D" w:rsidR="00C235CA" w:rsidRPr="004F1D15" w:rsidRDefault="00223D7D">
            <w:pPr>
              <w:cnfStyle w:val="000000100000" w:firstRow="0" w:lastRow="0" w:firstColumn="0" w:lastColumn="0" w:oddVBand="0" w:evenVBand="0" w:oddHBand="1" w:evenHBand="0" w:firstRowFirstColumn="0" w:firstRowLastColumn="0" w:lastRowFirstColumn="0" w:lastRowLastColumn="0"/>
              <w:rPr>
                <w:sz w:val="20"/>
                <w:szCs w:val="20"/>
              </w:rPr>
            </w:pPr>
            <w:r w:rsidRPr="00223D7D">
              <w:rPr>
                <w:sz w:val="20"/>
                <w:szCs w:val="20"/>
              </w:rPr>
              <w:t>Trung hạn</w:t>
            </w:r>
            <w:r w:rsidR="00C235CA" w:rsidRPr="004F1D15">
              <w:rPr>
                <w:sz w:val="20"/>
                <w:szCs w:val="20"/>
              </w:rPr>
              <w:t>:</w:t>
            </w:r>
          </w:p>
          <w:p w14:paraId="136426E9" w14:textId="77777777" w:rsidR="00223D7D" w:rsidRPr="00223D7D" w:rsidRDefault="00223D7D" w:rsidP="00223D7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223D7D">
              <w:rPr>
                <w:rFonts w:ascii="Arial" w:eastAsia="DengXian" w:hAnsi="Arial"/>
                <w:color w:val="auto"/>
                <w:sz w:val="20"/>
                <w:szCs w:val="20"/>
                <w:lang w:val="en-GB"/>
              </w:rPr>
              <w:t xml:space="preserve">Soạn thảo và phê duyệt khung điện toán đám mây khu vực, nêu rõ các mốc tiến độ, hoạt động, thời gian và nguồn lực cần thiết ở cả cấp quốc gia và khu vực; đồng thời tích hợp </w:t>
            </w:r>
            <w:r w:rsidRPr="00223D7D">
              <w:rPr>
                <w:rFonts w:ascii="Arial" w:eastAsia="DengXian" w:hAnsi="Arial"/>
                <w:color w:val="auto"/>
                <w:sz w:val="20"/>
                <w:szCs w:val="20"/>
                <w:lang w:val="en-GB"/>
              </w:rPr>
              <w:lastRenderedPageBreak/>
              <w:t>phản hồi từ chuyên gia ngành. Bảo đảm khung khu vực phù hợp với tiêu chuẩn, thông lệ và chuẩn mực quốc tế.</w:t>
            </w:r>
          </w:p>
          <w:p w14:paraId="140B2A33" w14:textId="32EF979D" w:rsidR="00223D7D" w:rsidRPr="00223D7D" w:rsidRDefault="00223D7D" w:rsidP="00223D7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223D7D">
              <w:rPr>
                <w:rFonts w:ascii="Arial" w:eastAsia="DengXian" w:hAnsi="Arial"/>
                <w:color w:val="auto"/>
                <w:sz w:val="20"/>
                <w:szCs w:val="20"/>
                <w:lang w:val="en-GB"/>
              </w:rPr>
              <w:t>Xây dựng hướng dẫn nhằm hỗ trợ triển khai khung điện toán đám mây khu vực và các tiêu chuẩn liên quan.</w:t>
            </w:r>
          </w:p>
          <w:p w14:paraId="48244014" w14:textId="63C4958F" w:rsidR="00223D7D" w:rsidRPr="00223D7D" w:rsidRDefault="00223D7D" w:rsidP="00223D7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223D7D">
              <w:rPr>
                <w:rFonts w:ascii="Arial" w:eastAsia="DengXian" w:hAnsi="Arial"/>
                <w:color w:val="auto"/>
                <w:sz w:val="20"/>
                <w:szCs w:val="20"/>
                <w:lang w:val="en-GB"/>
              </w:rPr>
              <w:t>Khởi động quá trình hội tụ chính sách, pháp luật quốc gia giữa các nước ASEAN trong lĩnh vực điện toán đám mây.</w:t>
            </w:r>
          </w:p>
          <w:p w14:paraId="0E3DDC42" w14:textId="78F3AE3C" w:rsidR="00074C4C" w:rsidRPr="004F1D15" w:rsidRDefault="00223D7D" w:rsidP="00223D7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223D7D">
              <w:rPr>
                <w:rFonts w:ascii="Arial" w:eastAsia="DengXian" w:hAnsi="Arial"/>
                <w:color w:val="auto"/>
                <w:sz w:val="20"/>
                <w:szCs w:val="20"/>
                <w:lang w:val="en-GB"/>
              </w:rPr>
              <w:t>Tiếp tục tương tác với các bên liên quan để đánh giá mức độ thành công của khung khu vực</w:t>
            </w:r>
            <w:r w:rsidR="00074C4C" w:rsidRPr="004F1D15">
              <w:rPr>
                <w:rFonts w:ascii="Arial" w:eastAsia="DengXian" w:hAnsi="Arial"/>
                <w:color w:val="auto"/>
                <w:sz w:val="20"/>
                <w:szCs w:val="20"/>
                <w:lang w:val="en-GB"/>
              </w:rPr>
              <w:t>.</w:t>
            </w:r>
            <w:r w:rsidR="00AC6966">
              <w:rPr>
                <w:rFonts w:ascii="Arial" w:eastAsia="DengXian" w:hAnsi="Arial"/>
                <w:color w:val="auto"/>
                <w:sz w:val="20"/>
                <w:szCs w:val="20"/>
                <w:lang w:val="en-GB"/>
              </w:rPr>
              <w:br/>
            </w:r>
          </w:p>
          <w:p w14:paraId="02335131" w14:textId="4B8FD14A" w:rsidR="00C235CA" w:rsidRPr="004F1D15" w:rsidRDefault="00223D7D">
            <w:pPr>
              <w:cnfStyle w:val="000000100000" w:firstRow="0" w:lastRow="0" w:firstColumn="0" w:lastColumn="0" w:oddVBand="0" w:evenVBand="0" w:oddHBand="1" w:evenHBand="0" w:firstRowFirstColumn="0" w:firstRowLastColumn="0" w:lastRowFirstColumn="0" w:lastRowLastColumn="0"/>
              <w:rPr>
                <w:sz w:val="20"/>
                <w:szCs w:val="20"/>
              </w:rPr>
            </w:pPr>
            <w:r w:rsidRPr="00223D7D">
              <w:rPr>
                <w:sz w:val="20"/>
                <w:szCs w:val="20"/>
              </w:rPr>
              <w:t>Dài hạn</w:t>
            </w:r>
            <w:r w:rsidR="00C235CA" w:rsidRPr="004F1D15">
              <w:rPr>
                <w:sz w:val="20"/>
                <w:szCs w:val="20"/>
              </w:rPr>
              <w:t>:</w:t>
            </w:r>
          </w:p>
          <w:p w14:paraId="43107ACB" w14:textId="77777777" w:rsidR="00223D7D" w:rsidRPr="00223D7D" w:rsidRDefault="00223D7D" w:rsidP="00223D7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223D7D">
              <w:rPr>
                <w:rFonts w:ascii="Arial" w:eastAsia="DengXian" w:hAnsi="Arial"/>
                <w:color w:val="auto"/>
                <w:sz w:val="20"/>
                <w:szCs w:val="20"/>
                <w:lang w:val="en-GB"/>
              </w:rPr>
              <w:t>Đạt được hội tụ toàn diện về chính sách và pháp luật giữa các quốc gia ASEAN trong lĩnh vực điện toán đám mây.</w:t>
            </w:r>
          </w:p>
          <w:p w14:paraId="77F94360" w14:textId="1647251D" w:rsidR="00C235CA" w:rsidRPr="00516087" w:rsidRDefault="00223D7D" w:rsidP="00223D7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223D7D">
              <w:rPr>
                <w:rFonts w:ascii="Arial" w:eastAsia="DengXian" w:hAnsi="Arial"/>
                <w:color w:val="auto"/>
                <w:sz w:val="20"/>
                <w:szCs w:val="20"/>
                <w:lang w:val="en-GB"/>
              </w:rPr>
              <w:t>Liên tục giám sát, cập nhật và nâng cấp khung điện toán đám mây khu vực dựa trên phản hồi và tiến bộ công nghệ</w:t>
            </w:r>
            <w:r w:rsidR="00074C4C" w:rsidRPr="00516087">
              <w:rPr>
                <w:rFonts w:ascii="Arial" w:eastAsia="DengXian" w:hAnsi="Arial"/>
                <w:color w:val="auto"/>
                <w:sz w:val="20"/>
                <w:szCs w:val="20"/>
                <w:lang w:val="en-GB"/>
              </w:rPr>
              <w:t>.</w:t>
            </w:r>
          </w:p>
        </w:tc>
        <w:tc>
          <w:tcPr>
            <w:tcW w:w="2318" w:type="dxa"/>
            <w:gridSpan w:val="2"/>
            <w:tcBorders>
              <w:left w:val="single" w:sz="4" w:space="0" w:color="156082"/>
              <w:right w:val="single" w:sz="4" w:space="0" w:color="156082"/>
            </w:tcBorders>
          </w:tcPr>
          <w:p w14:paraId="309AC216" w14:textId="580EA60A" w:rsidR="00C235CA" w:rsidRPr="004F1D15" w:rsidRDefault="00223D7D">
            <w:pPr>
              <w:cnfStyle w:val="000000100000" w:firstRow="0" w:lastRow="0" w:firstColumn="0" w:lastColumn="0" w:oddVBand="0" w:evenVBand="0" w:oddHBand="1" w:evenHBand="0" w:firstRowFirstColumn="0" w:firstRowLastColumn="0" w:lastRowFirstColumn="0" w:lastRowLastColumn="0"/>
              <w:rPr>
                <w:sz w:val="20"/>
                <w:szCs w:val="20"/>
              </w:rPr>
            </w:pPr>
            <w:r w:rsidRPr="00223D7D">
              <w:rPr>
                <w:sz w:val="20"/>
                <w:szCs w:val="20"/>
              </w:rPr>
              <w:lastRenderedPageBreak/>
              <w:t>Cơ quan đầu mối</w:t>
            </w:r>
            <w:r w:rsidR="1009E553" w:rsidRPr="004F1D15">
              <w:rPr>
                <w:sz w:val="20"/>
                <w:szCs w:val="20"/>
              </w:rPr>
              <w:t>:</w:t>
            </w:r>
          </w:p>
          <w:p w14:paraId="7E951B63" w14:textId="4C3F1D38" w:rsidR="00C235CA" w:rsidRPr="0059724A" w:rsidRDefault="00223D7D" w:rsidP="000A00DE">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223D7D">
              <w:rPr>
                <w:rFonts w:ascii="Arial" w:eastAsia="DengXian" w:hAnsi="Arial"/>
                <w:sz w:val="20"/>
                <w:szCs w:val="20"/>
                <w:lang w:val="en-GB"/>
              </w:rPr>
              <w:t xml:space="preserve">Ủy ban Khoa học, Công nghệ và Đổi mới </w:t>
            </w:r>
            <w:r w:rsidR="00AF024D" w:rsidRPr="00AF024D">
              <w:rPr>
                <w:rFonts w:ascii="Arial" w:eastAsia="DengXian" w:hAnsi="Arial"/>
                <w:sz w:val="20"/>
                <w:szCs w:val="20"/>
                <w:lang w:val="en-GB"/>
              </w:rPr>
              <w:t>(COSTI)</w:t>
            </w:r>
          </w:p>
          <w:p w14:paraId="4F6F95F5" w14:textId="77777777" w:rsidR="0059724A" w:rsidRDefault="0059724A" w:rsidP="0059724A">
            <w:pPr>
              <w:cnfStyle w:val="000000100000" w:firstRow="0" w:lastRow="0" w:firstColumn="0" w:lastColumn="0" w:oddVBand="0" w:evenVBand="0" w:oddHBand="1" w:evenHBand="0" w:firstRowFirstColumn="0" w:firstRowLastColumn="0" w:lastRowFirstColumn="0" w:lastRowLastColumn="0"/>
              <w:rPr>
                <w:sz w:val="20"/>
                <w:szCs w:val="20"/>
              </w:rPr>
            </w:pPr>
          </w:p>
          <w:p w14:paraId="4871E3CC" w14:textId="10AE44DB" w:rsidR="0059724A" w:rsidRDefault="00223D7D" w:rsidP="0059724A">
            <w:pPr>
              <w:cnfStyle w:val="000000100000" w:firstRow="0" w:lastRow="0" w:firstColumn="0" w:lastColumn="0" w:oddVBand="0" w:evenVBand="0" w:oddHBand="1" w:evenHBand="0" w:firstRowFirstColumn="0" w:firstRowLastColumn="0" w:lastRowFirstColumn="0" w:lastRowLastColumn="0"/>
              <w:rPr>
                <w:sz w:val="20"/>
                <w:szCs w:val="20"/>
              </w:rPr>
            </w:pPr>
            <w:r w:rsidRPr="00223D7D">
              <w:rPr>
                <w:sz w:val="20"/>
                <w:szCs w:val="20"/>
              </w:rPr>
              <w:t>Cơ quan hỗ trợ</w:t>
            </w:r>
            <w:r w:rsidR="0059724A">
              <w:rPr>
                <w:sz w:val="20"/>
                <w:szCs w:val="20"/>
              </w:rPr>
              <w:t xml:space="preserve">: </w:t>
            </w:r>
          </w:p>
          <w:p w14:paraId="55C12A30" w14:textId="34E41DCA" w:rsidR="0059724A" w:rsidRPr="00AF024D" w:rsidRDefault="008E547B" w:rsidP="0059724A">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8E547B">
              <w:rPr>
                <w:rFonts w:ascii="Arial" w:eastAsia="DengXian" w:hAnsi="Arial"/>
                <w:sz w:val="20"/>
                <w:szCs w:val="20"/>
                <w:lang w:val="en-GB"/>
              </w:rPr>
              <w:t xml:space="preserve">Ủy ban Điều phối ASEAN về Doanh nghiệp Vừa, Nhỏ và Siêu nhỏ </w:t>
            </w:r>
            <w:r w:rsidR="0059724A" w:rsidRPr="004F1D15">
              <w:rPr>
                <w:rFonts w:ascii="Arial" w:eastAsia="DengXian" w:hAnsi="Arial"/>
                <w:sz w:val="20"/>
                <w:szCs w:val="20"/>
                <w:lang w:val="en-GB"/>
              </w:rPr>
              <w:t>(ACCMSME)</w:t>
            </w:r>
          </w:p>
          <w:p w14:paraId="3C14993D" w14:textId="20313B54" w:rsidR="00C235CA" w:rsidRPr="0059724A" w:rsidRDefault="00C235CA" w:rsidP="0059724A">
            <w:pPr>
              <w:cnfStyle w:val="000000100000" w:firstRow="0" w:lastRow="0" w:firstColumn="0" w:lastColumn="0" w:oddVBand="0" w:evenVBand="0" w:oddHBand="1" w:evenHBand="0" w:firstRowFirstColumn="0" w:firstRowLastColumn="0" w:lastRowFirstColumn="0" w:lastRowLastColumn="0"/>
              <w:rPr>
                <w:sz w:val="20"/>
                <w:szCs w:val="20"/>
              </w:rPr>
            </w:pPr>
          </w:p>
        </w:tc>
        <w:tc>
          <w:tcPr>
            <w:tcW w:w="3774" w:type="dxa"/>
            <w:gridSpan w:val="2"/>
            <w:tcBorders>
              <w:left w:val="single" w:sz="4" w:space="0" w:color="156082"/>
            </w:tcBorders>
          </w:tcPr>
          <w:p w14:paraId="7D478B6E" w14:textId="2A8282CE" w:rsidR="00C235CA" w:rsidRPr="004F1D15" w:rsidRDefault="008E547B">
            <w:pPr>
              <w:cnfStyle w:val="000000100000" w:firstRow="0" w:lastRow="0" w:firstColumn="0" w:lastColumn="0" w:oddVBand="0" w:evenVBand="0" w:oddHBand="1" w:evenHBand="0" w:firstRowFirstColumn="0" w:firstRowLastColumn="0" w:lastRowFirstColumn="0" w:lastRowLastColumn="0"/>
              <w:rPr>
                <w:sz w:val="20"/>
                <w:szCs w:val="20"/>
              </w:rPr>
            </w:pPr>
            <w:r w:rsidRPr="008E547B">
              <w:rPr>
                <w:sz w:val="20"/>
                <w:szCs w:val="20"/>
              </w:rPr>
              <w:t>Các thước đo tiến độ chung</w:t>
            </w:r>
            <w:r w:rsidR="00C235CA" w:rsidRPr="004F1D15">
              <w:rPr>
                <w:sz w:val="20"/>
                <w:szCs w:val="20"/>
              </w:rPr>
              <w:t>:</w:t>
            </w:r>
          </w:p>
          <w:p w14:paraId="14815D24" w14:textId="77777777" w:rsidR="008E547B" w:rsidRPr="008E547B" w:rsidRDefault="008E547B" w:rsidP="008E547B">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bCs/>
                <w:color w:val="auto"/>
                <w:sz w:val="20"/>
                <w:szCs w:val="20"/>
                <w:lang w:val="en-GB"/>
              </w:rPr>
            </w:pPr>
            <w:r w:rsidRPr="008E547B">
              <w:rPr>
                <w:rFonts w:ascii="Arial" w:hAnsi="Arial"/>
                <w:b/>
                <w:color w:val="auto"/>
                <w:sz w:val="20"/>
                <w:szCs w:val="20"/>
                <w:lang w:val="en-GB"/>
              </w:rPr>
              <w:t xml:space="preserve">Soạn thảo và Hoàn thiện Khung ASEAN: </w:t>
            </w:r>
            <w:r w:rsidRPr="008E547B">
              <w:rPr>
                <w:rFonts w:ascii="Arial" w:hAnsi="Arial"/>
                <w:bCs/>
                <w:color w:val="auto"/>
                <w:sz w:val="20"/>
                <w:szCs w:val="20"/>
                <w:lang w:val="en-GB"/>
              </w:rPr>
              <w:t>Hoàn thành soạn thảo khung điện toán đám mây ASEAN, bao gồm khái niệm, nguyên tắc và tiêu chuẩn tối thiểu, thông qua làm việc nhóm và tham vấn với các quốc gia thành viên ASEAN; hoàn thiện khung bằng cách đạt được đồng thuận và phê duyệt chính thức, bảo đảm phù hợp với ưu tiên khu vực và thông lệ quốc tế.</w:t>
            </w:r>
          </w:p>
          <w:p w14:paraId="1D9420DD" w14:textId="373470E7" w:rsidR="008E547B" w:rsidRPr="008E547B" w:rsidRDefault="008E547B" w:rsidP="008E547B">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b/>
                <w:color w:val="auto"/>
                <w:sz w:val="20"/>
                <w:szCs w:val="20"/>
                <w:lang w:val="en-GB"/>
              </w:rPr>
            </w:pPr>
            <w:r w:rsidRPr="008E547B">
              <w:rPr>
                <w:rFonts w:ascii="Arial" w:hAnsi="Arial"/>
                <w:b/>
                <w:color w:val="auto"/>
                <w:sz w:val="20"/>
                <w:szCs w:val="20"/>
                <w:lang w:val="en-GB"/>
              </w:rPr>
              <w:t xml:space="preserve">Mức độ Áp dụng bởi các Quốc gia Thành viên (AMS): </w:t>
            </w:r>
            <w:r w:rsidRPr="008E547B">
              <w:rPr>
                <w:rFonts w:ascii="Arial" w:hAnsi="Arial"/>
                <w:bCs/>
                <w:color w:val="auto"/>
                <w:sz w:val="20"/>
                <w:szCs w:val="20"/>
                <w:lang w:val="en-GB"/>
              </w:rPr>
              <w:t>Đạt được việc áp dụng chính thức khung ASEAN bởi cả 10 quốc gia, thông qua phê chuẩn trong các thỏa thuận khu vực hoặc tích hợp vào pháp luật và chính sách quốc gia</w:t>
            </w:r>
            <w:r w:rsidRPr="008E547B">
              <w:rPr>
                <w:rFonts w:ascii="Arial" w:hAnsi="Arial"/>
                <w:b/>
                <w:color w:val="auto"/>
                <w:sz w:val="20"/>
                <w:szCs w:val="20"/>
                <w:lang w:val="en-GB"/>
              </w:rPr>
              <w:t>.</w:t>
            </w:r>
          </w:p>
          <w:p w14:paraId="70D3A9DD" w14:textId="1BFAE273" w:rsidR="00074C4C" w:rsidRPr="008E547B" w:rsidRDefault="008E547B" w:rsidP="008E547B">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bCs/>
                <w:color w:val="auto"/>
                <w:sz w:val="20"/>
                <w:szCs w:val="20"/>
                <w:lang w:val="en-GB"/>
              </w:rPr>
            </w:pPr>
            <w:r w:rsidRPr="008E547B">
              <w:rPr>
                <w:rFonts w:ascii="Arial" w:hAnsi="Arial"/>
                <w:b/>
                <w:color w:val="auto"/>
                <w:sz w:val="20"/>
                <w:szCs w:val="20"/>
                <w:lang w:val="en-GB"/>
              </w:rPr>
              <w:t xml:space="preserve">Mức độ Hài hòa với Tiêu chuẩn Quốc tế: </w:t>
            </w:r>
            <w:r w:rsidRPr="008E547B">
              <w:rPr>
                <w:rFonts w:ascii="Arial" w:hAnsi="Arial"/>
                <w:bCs/>
                <w:color w:val="auto"/>
                <w:sz w:val="20"/>
                <w:szCs w:val="20"/>
                <w:lang w:val="en-GB"/>
              </w:rPr>
              <w:t>Đánh giá mức độ phù hợp giữa khung ASEAN và các tiêu chuẩn, thông lệ tốt nhất về điện toán đám mây trên thế giới</w:t>
            </w:r>
            <w:r w:rsidR="00074C4C" w:rsidRPr="008E547B">
              <w:rPr>
                <w:rFonts w:ascii="Arial" w:hAnsi="Arial"/>
                <w:bCs/>
                <w:color w:val="auto"/>
                <w:sz w:val="20"/>
                <w:szCs w:val="20"/>
                <w:lang w:val="en-GB"/>
              </w:rPr>
              <w:t>.</w:t>
            </w:r>
          </w:p>
          <w:p w14:paraId="0F5255FF" w14:textId="77777777" w:rsidR="00C235CA" w:rsidRPr="004F1D15" w:rsidRDefault="00C235CA">
            <w:pPr>
              <w:cnfStyle w:val="000000100000" w:firstRow="0" w:lastRow="0" w:firstColumn="0" w:lastColumn="0" w:oddVBand="0" w:evenVBand="0" w:oddHBand="1" w:evenHBand="0" w:firstRowFirstColumn="0" w:firstRowLastColumn="0" w:lastRowFirstColumn="0" w:lastRowLastColumn="0"/>
              <w:rPr>
                <w:sz w:val="20"/>
                <w:szCs w:val="20"/>
              </w:rPr>
            </w:pPr>
          </w:p>
        </w:tc>
      </w:tr>
    </w:tbl>
    <w:p w14:paraId="4F373C2B" w14:textId="77777777" w:rsidR="00341DF4" w:rsidRPr="004F1D15" w:rsidRDefault="00341DF4" w:rsidP="007664A3">
      <w:pPr>
        <w:rPr>
          <w:sz w:val="20"/>
          <w:szCs w:val="20"/>
        </w:rPr>
      </w:pPr>
    </w:p>
    <w:p w14:paraId="33F8A686" w14:textId="77777777" w:rsidR="000452BE" w:rsidRDefault="000452BE">
      <w:pPr>
        <w:spacing w:line="259" w:lineRule="auto"/>
        <w:jc w:val="left"/>
        <w:rPr>
          <w:rFonts w:eastAsia="Arial"/>
          <w:i/>
          <w:color w:val="657C9C" w:themeColor="text2" w:themeTint="BF"/>
          <w:sz w:val="20"/>
          <w:szCs w:val="20"/>
        </w:rPr>
      </w:pPr>
      <w:r>
        <w:rPr>
          <w:sz w:val="20"/>
        </w:rPr>
        <w:br w:type="page"/>
      </w:r>
    </w:p>
    <w:p w14:paraId="150C16E7" w14:textId="04F2514B" w:rsidR="00341DF4" w:rsidRPr="004F1D15" w:rsidRDefault="008E547B" w:rsidP="00C82E40">
      <w:pPr>
        <w:pStyle w:val="Heading4"/>
        <w:rPr>
          <w:sz w:val="20"/>
          <w:lang w:val="en-GB"/>
        </w:rPr>
      </w:pPr>
      <w:r>
        <w:rPr>
          <w:sz w:val="20"/>
          <w:lang w:val="en-GB"/>
        </w:rPr>
        <w:lastRenderedPageBreak/>
        <w:t>Danh</w:t>
      </w:r>
      <w:r>
        <w:rPr>
          <w:sz w:val="20"/>
          <w:lang w:val="vi-VN"/>
        </w:rPr>
        <w:t xml:space="preserve"> mục</w:t>
      </w:r>
      <w:r w:rsidR="00CC6EE0" w:rsidRPr="004F1D15">
        <w:rPr>
          <w:sz w:val="20"/>
          <w:lang w:val="en-GB"/>
        </w:rPr>
        <w:t xml:space="preserve"> </w:t>
      </w:r>
      <w:r w:rsidR="00341DF4" w:rsidRPr="004F1D15">
        <w:rPr>
          <w:sz w:val="20"/>
          <w:lang w:val="en-GB"/>
        </w:rPr>
        <w:t xml:space="preserve">2: </w:t>
      </w:r>
      <w:r w:rsidRPr="008E547B">
        <w:rPr>
          <w:sz w:val="20"/>
          <w:lang w:val="vi-VN"/>
        </w:rPr>
        <w:t>Tăng cường Năng lực và Hỗ trợ Kỹ thuật</w:t>
      </w:r>
    </w:p>
    <w:tbl>
      <w:tblPr>
        <w:tblStyle w:val="ListTable3-Accent11"/>
        <w:tblW w:w="15314" w:type="dxa"/>
        <w:tblLook w:val="04A0" w:firstRow="1" w:lastRow="0" w:firstColumn="1" w:lastColumn="0" w:noHBand="0" w:noVBand="1"/>
      </w:tblPr>
      <w:tblGrid>
        <w:gridCol w:w="1694"/>
        <w:gridCol w:w="3764"/>
        <w:gridCol w:w="7"/>
        <w:gridCol w:w="3757"/>
        <w:gridCol w:w="15"/>
        <w:gridCol w:w="2303"/>
        <w:gridCol w:w="14"/>
        <w:gridCol w:w="3760"/>
      </w:tblGrid>
      <w:tr w:rsidR="00C235CA" w:rsidRPr="004F1D15" w14:paraId="3296C0B0" w14:textId="77777777" w:rsidTr="00B120A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4" w:type="dxa"/>
            <w:tcBorders>
              <w:bottom w:val="single" w:sz="4" w:space="0" w:color="156082"/>
            </w:tcBorders>
            <w:shd w:val="clear" w:color="auto" w:fill="002060"/>
          </w:tcPr>
          <w:p w14:paraId="58B0E77E" w14:textId="06F80FBB" w:rsidR="00C235CA" w:rsidRPr="004F1D15" w:rsidRDefault="008E547B" w:rsidP="00B120AA">
            <w:pPr>
              <w:jc w:val="center"/>
              <w:rPr>
                <w:sz w:val="20"/>
                <w:szCs w:val="20"/>
              </w:rPr>
            </w:pPr>
            <w:r w:rsidRPr="008E547B">
              <w:rPr>
                <w:sz w:val="20"/>
                <w:szCs w:val="20"/>
              </w:rPr>
              <w:t>Khu vực hành động</w:t>
            </w:r>
          </w:p>
        </w:tc>
        <w:tc>
          <w:tcPr>
            <w:tcW w:w="3771" w:type="dxa"/>
            <w:gridSpan w:val="2"/>
            <w:shd w:val="clear" w:color="auto" w:fill="002060"/>
          </w:tcPr>
          <w:p w14:paraId="15ADA2B8" w14:textId="1F1B6D1B" w:rsidR="00C235CA" w:rsidRPr="004F1D15" w:rsidRDefault="008E547B" w:rsidP="00B120AA">
            <w:pPr>
              <w:jc w:val="center"/>
              <w:cnfStyle w:val="100000000000" w:firstRow="1" w:lastRow="0" w:firstColumn="0" w:lastColumn="0" w:oddVBand="0" w:evenVBand="0" w:oddHBand="0" w:evenHBand="0" w:firstRowFirstColumn="0" w:firstRowLastColumn="0" w:lastRowFirstColumn="0" w:lastRowLastColumn="0"/>
              <w:rPr>
                <w:sz w:val="20"/>
                <w:szCs w:val="20"/>
              </w:rPr>
            </w:pPr>
            <w:r w:rsidRPr="008E547B">
              <w:rPr>
                <w:sz w:val="20"/>
                <w:szCs w:val="20"/>
              </w:rPr>
              <w:t>Lĩnh vực trọng tâm</w:t>
            </w:r>
          </w:p>
        </w:tc>
        <w:tc>
          <w:tcPr>
            <w:tcW w:w="3772" w:type="dxa"/>
            <w:gridSpan w:val="2"/>
            <w:shd w:val="clear" w:color="auto" w:fill="002060"/>
          </w:tcPr>
          <w:p w14:paraId="41482D6F" w14:textId="3896C76D" w:rsidR="00C235CA" w:rsidRPr="004F1D15" w:rsidRDefault="008E547B" w:rsidP="00B120AA">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8E547B">
              <w:rPr>
                <w:sz w:val="20"/>
                <w:szCs w:val="20"/>
              </w:rPr>
              <w:t>Các mốc dự kiến và khung thời gian tạm tính</w:t>
            </w:r>
            <w:r w:rsidR="00C235CA" w:rsidRPr="004F1D15">
              <w:rPr>
                <w:sz w:val="20"/>
                <w:szCs w:val="20"/>
                <w:vertAlign w:val="superscript"/>
              </w:rPr>
              <w:footnoteReference w:id="368"/>
            </w:r>
          </w:p>
        </w:tc>
        <w:tc>
          <w:tcPr>
            <w:tcW w:w="2317" w:type="dxa"/>
            <w:gridSpan w:val="2"/>
            <w:shd w:val="clear" w:color="auto" w:fill="002060"/>
          </w:tcPr>
          <w:p w14:paraId="0903C4D5" w14:textId="7BB6EA6D" w:rsidR="00C235CA" w:rsidRPr="004F1D15" w:rsidRDefault="008E547B" w:rsidP="00B120AA">
            <w:pPr>
              <w:jc w:val="center"/>
              <w:cnfStyle w:val="100000000000" w:firstRow="1" w:lastRow="0" w:firstColumn="0" w:lastColumn="0" w:oddVBand="0" w:evenVBand="0" w:oddHBand="0" w:evenHBand="0" w:firstRowFirstColumn="0" w:firstRowLastColumn="0" w:lastRowFirstColumn="0" w:lastRowLastColumn="0"/>
              <w:rPr>
                <w:sz w:val="20"/>
                <w:szCs w:val="20"/>
              </w:rPr>
            </w:pPr>
            <w:r w:rsidRPr="008E547B">
              <w:rPr>
                <w:sz w:val="20"/>
                <w:szCs w:val="20"/>
              </w:rPr>
              <w:t>Các bên chịu trách nhiệm chính</w:t>
            </w:r>
          </w:p>
        </w:tc>
        <w:tc>
          <w:tcPr>
            <w:tcW w:w="3760" w:type="dxa"/>
            <w:shd w:val="clear" w:color="auto" w:fill="002060"/>
          </w:tcPr>
          <w:p w14:paraId="70A2DA1F" w14:textId="4A6867F5" w:rsidR="00C235CA" w:rsidRPr="004F1D15" w:rsidRDefault="008E547B" w:rsidP="00B120AA">
            <w:pPr>
              <w:jc w:val="center"/>
              <w:cnfStyle w:val="100000000000" w:firstRow="1" w:lastRow="0" w:firstColumn="0" w:lastColumn="0" w:oddVBand="0" w:evenVBand="0" w:oddHBand="0" w:evenHBand="0" w:firstRowFirstColumn="0" w:firstRowLastColumn="0" w:lastRowFirstColumn="0" w:lastRowLastColumn="0"/>
              <w:rPr>
                <w:sz w:val="20"/>
                <w:szCs w:val="20"/>
              </w:rPr>
            </w:pPr>
            <w:r w:rsidRPr="008E547B">
              <w:rPr>
                <w:sz w:val="20"/>
                <w:szCs w:val="20"/>
              </w:rPr>
              <w:t>Thước đo tiến độ</w:t>
            </w:r>
          </w:p>
        </w:tc>
      </w:tr>
      <w:tr w:rsidR="00C235CA" w:rsidRPr="004F1D15" w14:paraId="5A30952C" w14:textId="77777777" w:rsidTr="00B12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shd w:val="clear" w:color="auto" w:fill="00B0F0"/>
          </w:tcPr>
          <w:p w14:paraId="5C6AE94A" w14:textId="3659AEAA" w:rsidR="00C235CA" w:rsidRPr="004F1D15" w:rsidRDefault="008E547B">
            <w:pPr>
              <w:rPr>
                <w:sz w:val="20"/>
                <w:szCs w:val="20"/>
              </w:rPr>
            </w:pPr>
            <w:r w:rsidRPr="008E547B">
              <w:rPr>
                <w:sz w:val="20"/>
                <w:szCs w:val="20"/>
              </w:rPr>
              <w:t>Khu vực hành động chính</w:t>
            </w:r>
          </w:p>
        </w:tc>
        <w:tc>
          <w:tcPr>
            <w:tcW w:w="13620" w:type="dxa"/>
            <w:gridSpan w:val="7"/>
            <w:tcBorders>
              <w:left w:val="single" w:sz="4" w:space="0" w:color="156082"/>
            </w:tcBorders>
            <w:shd w:val="clear" w:color="auto" w:fill="00B0F0"/>
          </w:tcPr>
          <w:p w14:paraId="0C84B56C" w14:textId="35C6FCDE" w:rsidR="00C235CA" w:rsidRPr="004F1D15" w:rsidRDefault="00AF024D">
            <w:pPr>
              <w:cnfStyle w:val="000000100000" w:firstRow="0" w:lastRow="0" w:firstColumn="0" w:lastColumn="0" w:oddVBand="0" w:evenVBand="0" w:oddHBand="1" w:evenHBand="0" w:firstRowFirstColumn="0" w:firstRowLastColumn="0" w:lastRowFirstColumn="0" w:lastRowLastColumn="0"/>
              <w:rPr>
                <w:rFonts w:eastAsiaTheme="minorEastAsia"/>
                <w:b/>
                <w:bCs/>
                <w:sz w:val="20"/>
                <w:szCs w:val="20"/>
              </w:rPr>
            </w:pPr>
            <w:r>
              <w:rPr>
                <w:b/>
                <w:sz w:val="20"/>
                <w:szCs w:val="20"/>
              </w:rPr>
              <w:t>6.2.13.2</w:t>
            </w:r>
            <w:r w:rsidR="00074C4C" w:rsidRPr="004F1D15">
              <w:rPr>
                <w:b/>
                <w:sz w:val="20"/>
                <w:szCs w:val="20"/>
              </w:rPr>
              <w:t xml:space="preserve"> </w:t>
            </w:r>
            <w:r w:rsidR="00BC7B87" w:rsidRPr="00BC7B87">
              <w:rPr>
                <w:b/>
                <w:sz w:val="20"/>
                <w:szCs w:val="20"/>
              </w:rPr>
              <w:t>Tăng cường Kỹ năng và Năng lực liên quan đến Điện toán Đám mây</w:t>
            </w:r>
          </w:p>
        </w:tc>
      </w:tr>
      <w:tr w:rsidR="00C235CA" w:rsidRPr="004F1D15" w14:paraId="1033D6D2" w14:textId="77777777" w:rsidTr="00B120AA">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156082"/>
              <w:bottom w:val="single" w:sz="4" w:space="0" w:color="156082"/>
              <w:right w:val="single" w:sz="4" w:space="0" w:color="156082"/>
            </w:tcBorders>
            <w:shd w:val="clear" w:color="auto" w:fill="BDD6EE" w:themeFill="accent5" w:themeFillTint="66"/>
          </w:tcPr>
          <w:p w14:paraId="14D7A7E2" w14:textId="4A73B149" w:rsidR="00C235CA" w:rsidRPr="008E547B" w:rsidRDefault="008E547B">
            <w:pPr>
              <w:rPr>
                <w:sz w:val="20"/>
                <w:szCs w:val="20"/>
                <w:lang w:val="vi-VN"/>
              </w:rPr>
            </w:pPr>
            <w:r>
              <w:rPr>
                <w:sz w:val="20"/>
                <w:szCs w:val="20"/>
                <w:lang w:val="vi-VN"/>
              </w:rPr>
              <w:t>Mục tiêu</w:t>
            </w:r>
          </w:p>
        </w:tc>
        <w:tc>
          <w:tcPr>
            <w:tcW w:w="13620" w:type="dxa"/>
            <w:gridSpan w:val="7"/>
            <w:tcBorders>
              <w:left w:val="single" w:sz="4" w:space="0" w:color="156082"/>
            </w:tcBorders>
            <w:shd w:val="clear" w:color="auto" w:fill="BDD6EE" w:themeFill="accent5" w:themeFillTint="66"/>
          </w:tcPr>
          <w:p w14:paraId="38CF58DE" w14:textId="5247E9E5" w:rsidR="00074C4C" w:rsidRPr="00BC7B87" w:rsidRDefault="00BC7B87" w:rsidP="00AF024D">
            <w:pPr>
              <w:pStyle w:val="ListParagraph"/>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DengXian" w:hAnsi="Arial"/>
                <w:bCs/>
                <w:sz w:val="20"/>
                <w:szCs w:val="20"/>
                <w:lang w:val="en-GB"/>
              </w:rPr>
            </w:pPr>
            <w:r w:rsidRPr="00BC7B87">
              <w:rPr>
                <w:rFonts w:ascii="Arial" w:eastAsia="DengXian" w:hAnsi="Arial"/>
                <w:b/>
                <w:sz w:val="20"/>
                <w:szCs w:val="20"/>
                <w:lang w:val="en-GB"/>
              </w:rPr>
              <w:t xml:space="preserve">Nâng cao kỹ năng số chuyên biệt về điện toán đám mây: </w:t>
            </w:r>
            <w:r w:rsidRPr="00BC7B87">
              <w:rPr>
                <w:rFonts w:ascii="Arial" w:eastAsia="DengXian" w:hAnsi="Arial"/>
                <w:bCs/>
                <w:sz w:val="20"/>
                <w:szCs w:val="20"/>
                <w:lang w:val="en-GB"/>
              </w:rPr>
              <w:t>Cung cấp các chương trình đào tạo và phát triển mục tiêu nhằm nâng cao chuyên môn và kỹ năng số liên quan đến điện toán đám mây trong toàn dân.</w:t>
            </w:r>
          </w:p>
          <w:p w14:paraId="05911E6F" w14:textId="0BA68879" w:rsidR="00074C4C" w:rsidRPr="00BC7B87" w:rsidRDefault="00BC7B87"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DengXian" w:hAnsi="Arial"/>
                <w:bCs/>
                <w:sz w:val="20"/>
                <w:szCs w:val="20"/>
                <w:lang w:val="en-GB"/>
              </w:rPr>
            </w:pPr>
            <w:r w:rsidRPr="00BC7B87">
              <w:rPr>
                <w:rFonts w:ascii="Arial" w:eastAsia="DengXian" w:hAnsi="Arial"/>
                <w:b/>
                <w:sz w:val="20"/>
                <w:szCs w:val="20"/>
                <w:lang w:val="en-GB"/>
              </w:rPr>
              <w:t xml:space="preserve">Thúc đẩy chia sẻ tri thức: </w:t>
            </w:r>
            <w:r w:rsidRPr="00BC7B87">
              <w:rPr>
                <w:rFonts w:ascii="Arial" w:eastAsia="DengXian" w:hAnsi="Arial"/>
                <w:bCs/>
                <w:sz w:val="20"/>
                <w:szCs w:val="20"/>
                <w:lang w:val="en-GB"/>
              </w:rPr>
              <w:t>Tổ chức các chương trình trao đổi và hội thảo giúp các quốc gia thành viên ASEAN (AMS) tìm hiểu về lợi ích và thông lệ tốt trong điện toán đám mây</w:t>
            </w:r>
            <w:r w:rsidR="00074C4C" w:rsidRPr="00BC7B87">
              <w:rPr>
                <w:rFonts w:ascii="Arial" w:eastAsia="DengXian" w:hAnsi="Arial"/>
                <w:bCs/>
                <w:sz w:val="20"/>
                <w:szCs w:val="20"/>
                <w:lang w:val="en-GB"/>
              </w:rPr>
              <w:t>.</w:t>
            </w:r>
          </w:p>
          <w:p w14:paraId="2B493D60" w14:textId="49B989F7" w:rsidR="00074C4C" w:rsidRPr="00BC7B87" w:rsidRDefault="00BC7B87"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DengXian" w:hAnsi="Arial"/>
                <w:bCs/>
                <w:sz w:val="20"/>
                <w:szCs w:val="20"/>
                <w:lang w:val="en-GB"/>
              </w:rPr>
            </w:pPr>
            <w:r>
              <w:rPr>
                <w:rFonts w:ascii="Arial" w:eastAsia="DengXian" w:hAnsi="Arial"/>
                <w:b/>
                <w:sz w:val="20"/>
                <w:szCs w:val="20"/>
                <w:lang w:val="en-GB"/>
              </w:rPr>
              <w:t>N</w:t>
            </w:r>
            <w:r w:rsidRPr="00BC7B87">
              <w:rPr>
                <w:rFonts w:ascii="Arial" w:eastAsia="DengXian" w:hAnsi="Arial"/>
                <w:b/>
                <w:sz w:val="20"/>
                <w:szCs w:val="20"/>
                <w:lang w:val="en-GB"/>
              </w:rPr>
              <w:t xml:space="preserve">âng cao nhận thức: </w:t>
            </w:r>
            <w:r w:rsidRPr="00BC7B87">
              <w:rPr>
                <w:rFonts w:ascii="Arial" w:eastAsia="DengXian" w:hAnsi="Arial"/>
                <w:bCs/>
                <w:sz w:val="20"/>
                <w:szCs w:val="20"/>
                <w:lang w:val="en-GB"/>
              </w:rPr>
              <w:t>Tăng cường nhận thức và hiểu biết về lợi ích và ứng dụng của điện toán đám mây.</w:t>
            </w:r>
          </w:p>
          <w:p w14:paraId="305035FC" w14:textId="08DABAE8" w:rsidR="00C235CA" w:rsidRPr="004F1D15" w:rsidRDefault="00BC7B87"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hAnsi="Arial"/>
                <w:color w:val="auto"/>
                <w:sz w:val="20"/>
                <w:szCs w:val="20"/>
                <w:lang w:val="en-GB"/>
              </w:rPr>
            </w:pPr>
            <w:r w:rsidRPr="00BC7B87">
              <w:rPr>
                <w:rFonts w:ascii="Arial" w:eastAsia="DengXian" w:hAnsi="Arial"/>
                <w:b/>
                <w:sz w:val="20"/>
                <w:szCs w:val="20"/>
                <w:lang w:val="en-GB"/>
              </w:rPr>
              <w:t>Thúc đẩy áp dụng công nghệ đám mây</w:t>
            </w:r>
            <w:r w:rsidRPr="00C5054D">
              <w:rPr>
                <w:rFonts w:ascii="Arial" w:eastAsia="DengXian" w:hAnsi="Arial"/>
                <w:bCs/>
                <w:sz w:val="20"/>
                <w:szCs w:val="20"/>
                <w:lang w:val="en-GB"/>
              </w:rPr>
              <w:t>: Hỗ trợ doanh nghiệp, đặc biệt là MSME, áp dụng công nghệ đám mây thông qua bộ công cụ, hướng dẫn và thông lệ tốt</w:t>
            </w:r>
            <w:r w:rsidR="00074C4C" w:rsidRPr="00C5054D">
              <w:rPr>
                <w:rFonts w:ascii="Arial" w:eastAsia="DengXian" w:hAnsi="Arial"/>
                <w:bCs/>
                <w:sz w:val="20"/>
                <w:szCs w:val="20"/>
                <w:lang w:val="en-GB"/>
              </w:rPr>
              <w:t>.</w:t>
            </w:r>
          </w:p>
        </w:tc>
      </w:tr>
      <w:tr w:rsidR="00C235CA" w:rsidRPr="004F1D15" w14:paraId="3F318B46" w14:textId="77777777" w:rsidTr="6BB67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tcPr>
          <w:p w14:paraId="2FC4FAB3" w14:textId="408BDEE2" w:rsidR="00C235CA" w:rsidRPr="004F1D15" w:rsidRDefault="00AF024D">
            <w:pPr>
              <w:rPr>
                <w:sz w:val="20"/>
                <w:szCs w:val="20"/>
              </w:rPr>
            </w:pPr>
            <w:r>
              <w:rPr>
                <w:sz w:val="20"/>
                <w:szCs w:val="20"/>
              </w:rPr>
              <w:t>6.2.13.2</w:t>
            </w:r>
            <w:r w:rsidR="00074C4C" w:rsidRPr="004F1D15">
              <w:rPr>
                <w:sz w:val="20"/>
                <w:szCs w:val="20"/>
              </w:rPr>
              <w:t xml:space="preserve"> </w:t>
            </w:r>
            <w:r w:rsidR="00BC7B87" w:rsidRPr="00BC7B87">
              <w:rPr>
                <w:sz w:val="20"/>
                <w:szCs w:val="20"/>
              </w:rPr>
              <w:t>Tăng cường Kỹ năng và Năng lực liên quan đến Điện toán Đám mây</w:t>
            </w:r>
            <w:r w:rsidR="00074C4C" w:rsidRPr="004F1D15">
              <w:rPr>
                <w:sz w:val="20"/>
                <w:szCs w:val="20"/>
              </w:rPr>
              <w:t>ing</w:t>
            </w:r>
          </w:p>
        </w:tc>
        <w:tc>
          <w:tcPr>
            <w:tcW w:w="3764" w:type="dxa"/>
            <w:tcBorders>
              <w:left w:val="single" w:sz="4" w:space="0" w:color="156082"/>
              <w:right w:val="single" w:sz="4" w:space="0" w:color="156082"/>
            </w:tcBorders>
          </w:tcPr>
          <w:p w14:paraId="3A2A3808" w14:textId="77777777" w:rsidR="00C5054D" w:rsidRPr="00C5054D" w:rsidRDefault="00C5054D" w:rsidP="00C5054D">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bCs/>
                <w:color w:val="auto"/>
                <w:sz w:val="20"/>
                <w:szCs w:val="20"/>
                <w:lang w:val="en-GB"/>
              </w:rPr>
            </w:pPr>
            <w:r w:rsidRPr="00C5054D">
              <w:rPr>
                <w:rFonts w:ascii="Arial" w:hAnsi="Arial"/>
                <w:b/>
                <w:color w:val="auto"/>
                <w:sz w:val="20"/>
                <w:szCs w:val="20"/>
                <w:lang w:val="en-GB"/>
              </w:rPr>
              <w:t xml:space="preserve">Chương trình đào tạo: </w:t>
            </w:r>
            <w:r w:rsidRPr="00C5054D">
              <w:rPr>
                <w:rFonts w:ascii="Arial" w:hAnsi="Arial"/>
                <w:bCs/>
                <w:color w:val="auto"/>
                <w:sz w:val="20"/>
                <w:szCs w:val="20"/>
                <w:lang w:val="en-GB"/>
              </w:rPr>
              <w:t>Xây dựng và triển khai các chương trình nâng cao năng lực số và các mô-đun đào tạo toàn diện cho công chức, chuyên gia CNTT và sinh viên về các trường hợp ứng dụng, mục đích và lợi ích của điện toán đám mây.</w:t>
            </w:r>
          </w:p>
          <w:p w14:paraId="00B4522B" w14:textId="3D6C0045" w:rsidR="00C5054D" w:rsidRPr="00C5054D" w:rsidRDefault="00C5054D" w:rsidP="00C5054D">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ascii="Arial" w:hAnsi="Arial"/>
                <w:b/>
                <w:color w:val="auto"/>
                <w:sz w:val="20"/>
                <w:szCs w:val="20"/>
                <w:lang w:val="en-GB"/>
              </w:rPr>
            </w:pPr>
            <w:r w:rsidRPr="00C5054D">
              <w:rPr>
                <w:rFonts w:ascii="Arial" w:hAnsi="Arial"/>
                <w:b/>
                <w:color w:val="auto"/>
                <w:sz w:val="20"/>
                <w:szCs w:val="20"/>
                <w:lang w:val="en-GB"/>
              </w:rPr>
              <w:t xml:space="preserve">Chiến dịch nâng cao nhận thức: </w:t>
            </w:r>
            <w:r w:rsidRPr="00C5054D">
              <w:rPr>
                <w:rFonts w:ascii="Arial" w:hAnsi="Arial"/>
                <w:bCs/>
                <w:color w:val="auto"/>
                <w:sz w:val="20"/>
                <w:szCs w:val="20"/>
                <w:lang w:val="en-GB"/>
              </w:rPr>
              <w:t>Xây dựng và triển khai các chiến dịch truyền thông nhằm thúc đẩy việc áp dụng điện toán đám mây</w:t>
            </w:r>
            <w:r w:rsidRPr="00C5054D">
              <w:rPr>
                <w:rFonts w:ascii="Arial" w:hAnsi="Arial"/>
                <w:b/>
                <w:color w:val="auto"/>
                <w:sz w:val="20"/>
                <w:szCs w:val="20"/>
                <w:lang w:val="en-GB"/>
              </w:rPr>
              <w:t>.</w:t>
            </w:r>
          </w:p>
          <w:p w14:paraId="4F6B470E" w14:textId="58AEFFAE" w:rsidR="00C235CA" w:rsidRPr="004F1D15" w:rsidRDefault="00C5054D" w:rsidP="00C5054D">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C5054D">
              <w:rPr>
                <w:rFonts w:ascii="Arial" w:hAnsi="Arial"/>
                <w:b/>
                <w:color w:val="auto"/>
                <w:sz w:val="20"/>
                <w:szCs w:val="20"/>
                <w:lang w:val="en-GB"/>
              </w:rPr>
              <w:t xml:space="preserve">Phát triển tài nguyên: </w:t>
            </w:r>
            <w:r w:rsidRPr="00C5054D">
              <w:rPr>
                <w:rFonts w:ascii="Arial" w:hAnsi="Arial"/>
                <w:bCs/>
                <w:color w:val="auto"/>
                <w:sz w:val="20"/>
                <w:szCs w:val="20"/>
                <w:lang w:val="en-GB"/>
              </w:rPr>
              <w:t>Xây dựng tài nguyên dễ tiếp cận như bộ công cụ và hướng dẫn để hỗ trợ doanh nghiệp, đặc biệt MSME, áp dụng điện toán đám mây theo thông lệ tốt</w:t>
            </w:r>
            <w:r w:rsidR="00074C4C" w:rsidRPr="00C5054D">
              <w:rPr>
                <w:rFonts w:ascii="Arial" w:hAnsi="Arial"/>
                <w:bCs/>
                <w:color w:val="auto"/>
                <w:sz w:val="20"/>
                <w:szCs w:val="20"/>
                <w:lang w:val="en-GB"/>
              </w:rPr>
              <w:t>.</w:t>
            </w:r>
          </w:p>
        </w:tc>
        <w:tc>
          <w:tcPr>
            <w:tcW w:w="3764" w:type="dxa"/>
            <w:gridSpan w:val="2"/>
            <w:tcBorders>
              <w:left w:val="single" w:sz="4" w:space="0" w:color="156082"/>
              <w:right w:val="single" w:sz="4" w:space="0" w:color="156082"/>
            </w:tcBorders>
          </w:tcPr>
          <w:p w14:paraId="6191BA40" w14:textId="1C8F90C1" w:rsidR="00C235CA" w:rsidRPr="004F1D15" w:rsidRDefault="00C5054D">
            <w:pPr>
              <w:cnfStyle w:val="000000100000" w:firstRow="0" w:lastRow="0" w:firstColumn="0" w:lastColumn="0" w:oddVBand="0" w:evenVBand="0" w:oddHBand="1" w:evenHBand="0" w:firstRowFirstColumn="0" w:firstRowLastColumn="0" w:lastRowFirstColumn="0" w:lastRowLastColumn="0"/>
              <w:rPr>
                <w:sz w:val="20"/>
                <w:szCs w:val="20"/>
              </w:rPr>
            </w:pPr>
            <w:r w:rsidRPr="00C5054D">
              <w:rPr>
                <w:sz w:val="20"/>
                <w:szCs w:val="20"/>
              </w:rPr>
              <w:t>Ngắn hạn</w:t>
            </w:r>
            <w:r w:rsidR="00C235CA" w:rsidRPr="004F1D15">
              <w:rPr>
                <w:sz w:val="20"/>
                <w:szCs w:val="20"/>
              </w:rPr>
              <w:t>:</w:t>
            </w:r>
          </w:p>
          <w:p w14:paraId="7C05C8A2" w14:textId="77777777" w:rsidR="00C5054D" w:rsidRPr="00C5054D" w:rsidRDefault="00C5054D" w:rsidP="00C5054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C5054D">
              <w:rPr>
                <w:rFonts w:ascii="Arial" w:eastAsia="DengXian" w:hAnsi="Arial"/>
                <w:color w:val="auto"/>
                <w:sz w:val="20"/>
                <w:szCs w:val="20"/>
                <w:lang w:val="en-GB"/>
              </w:rPr>
              <w:t>Đánh giá nhu cầu đào tạo và khoảng trống kỹ năng liên quan đến điện toán đám mây trong toàn ASEAN.</w:t>
            </w:r>
          </w:p>
          <w:p w14:paraId="04EEDFD9" w14:textId="40C95339" w:rsidR="00C5054D" w:rsidRPr="00C5054D" w:rsidRDefault="00C5054D" w:rsidP="00C5054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C5054D">
              <w:rPr>
                <w:rFonts w:ascii="Arial" w:eastAsia="DengXian" w:hAnsi="Arial"/>
                <w:color w:val="auto"/>
                <w:sz w:val="20"/>
                <w:szCs w:val="20"/>
                <w:lang w:val="en-GB"/>
              </w:rPr>
              <w:t>Triển khai các chương trình đào tạo thí điểm tại một số quốc gia thành viên, tập trung vào kỹ năng và năng lực thiết yếu.</w:t>
            </w:r>
          </w:p>
          <w:p w14:paraId="146EFC97" w14:textId="0A356143" w:rsidR="00074C4C" w:rsidRPr="004F1D15" w:rsidRDefault="00C5054D" w:rsidP="00C5054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b/>
                <w:color w:val="auto"/>
                <w:sz w:val="20"/>
                <w:szCs w:val="20"/>
                <w:lang w:val="en-GB"/>
              </w:rPr>
            </w:pPr>
            <w:r w:rsidRPr="00C5054D">
              <w:rPr>
                <w:rFonts w:ascii="Arial" w:eastAsia="DengXian" w:hAnsi="Arial"/>
                <w:color w:val="auto"/>
                <w:sz w:val="20"/>
                <w:szCs w:val="20"/>
                <w:lang w:val="en-GB"/>
              </w:rPr>
              <w:t>Triển khai các chiến dịch nâng cao nhận thức về điện toán đám mây trong ASEAN</w:t>
            </w:r>
            <w:r w:rsidR="00074C4C" w:rsidRPr="004F1D15">
              <w:rPr>
                <w:rFonts w:ascii="Arial" w:eastAsia="DengXian" w:hAnsi="Arial"/>
                <w:color w:val="auto"/>
                <w:sz w:val="20"/>
                <w:szCs w:val="20"/>
                <w:lang w:val="en-GB"/>
              </w:rPr>
              <w:t>.</w:t>
            </w:r>
            <w:r w:rsidR="00AC6966">
              <w:rPr>
                <w:rFonts w:ascii="Arial" w:eastAsia="DengXian" w:hAnsi="Arial"/>
                <w:color w:val="auto"/>
                <w:sz w:val="20"/>
                <w:szCs w:val="20"/>
                <w:lang w:val="en-GB"/>
              </w:rPr>
              <w:br/>
            </w:r>
          </w:p>
          <w:p w14:paraId="00DCDC24" w14:textId="5DE5AD13" w:rsidR="00074C4C" w:rsidRPr="004F1D15" w:rsidRDefault="00C5054D" w:rsidP="00074C4C">
            <w:pPr>
              <w:cnfStyle w:val="000000100000" w:firstRow="0" w:lastRow="0" w:firstColumn="0" w:lastColumn="0" w:oddVBand="0" w:evenVBand="0" w:oddHBand="1" w:evenHBand="0" w:firstRowFirstColumn="0" w:firstRowLastColumn="0" w:lastRowFirstColumn="0" w:lastRowLastColumn="0"/>
              <w:rPr>
                <w:sz w:val="20"/>
                <w:szCs w:val="20"/>
              </w:rPr>
            </w:pPr>
            <w:r w:rsidRPr="00C5054D">
              <w:rPr>
                <w:sz w:val="20"/>
                <w:szCs w:val="20"/>
              </w:rPr>
              <w:t>Trung hạn</w:t>
            </w:r>
            <w:r w:rsidR="00074C4C" w:rsidRPr="004F1D15">
              <w:rPr>
                <w:sz w:val="20"/>
                <w:szCs w:val="20"/>
              </w:rPr>
              <w:t>:</w:t>
            </w:r>
          </w:p>
          <w:p w14:paraId="23B0D778" w14:textId="77777777" w:rsidR="00C5054D" w:rsidRPr="00C5054D" w:rsidRDefault="00C5054D" w:rsidP="00C5054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C5054D">
              <w:rPr>
                <w:rFonts w:ascii="Arial" w:eastAsia="DengXian" w:hAnsi="Arial"/>
                <w:color w:val="auto"/>
                <w:sz w:val="20"/>
                <w:szCs w:val="20"/>
                <w:lang w:val="en-GB"/>
              </w:rPr>
              <w:t>Đánh giá hiệu quả của các chương trình thí điểm và mở rộng đào tạo dựa trên phản hồi.</w:t>
            </w:r>
          </w:p>
          <w:p w14:paraId="5246D53C" w14:textId="76450FE6" w:rsidR="00C5054D" w:rsidRPr="00C5054D" w:rsidRDefault="00C5054D" w:rsidP="00C5054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C5054D">
              <w:rPr>
                <w:rFonts w:ascii="Arial" w:eastAsia="DengXian" w:hAnsi="Arial"/>
                <w:color w:val="auto"/>
                <w:sz w:val="20"/>
                <w:szCs w:val="20"/>
                <w:lang w:val="en-GB"/>
              </w:rPr>
              <w:lastRenderedPageBreak/>
              <w:t>Xây dựng quan hệ đối tác với các cơ sở giáo dục và hiệp hội ngành để thúc đẩy cơ hội học tập liên tục.</w:t>
            </w:r>
          </w:p>
          <w:p w14:paraId="026F32F2" w14:textId="6DCA3773" w:rsidR="00C5054D" w:rsidRPr="00C5054D" w:rsidRDefault="00C5054D" w:rsidP="00C5054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C5054D">
              <w:rPr>
                <w:rFonts w:ascii="Arial" w:eastAsia="DengXian" w:hAnsi="Arial"/>
                <w:color w:val="auto"/>
                <w:sz w:val="20"/>
                <w:szCs w:val="20"/>
                <w:lang w:val="en-GB"/>
              </w:rPr>
              <w:t>Duy trì nỗ lực nâng cao nhận thức thông qua truyền thông và giáo dục liên tục.</w:t>
            </w:r>
          </w:p>
          <w:p w14:paraId="6E93C69D" w14:textId="1E49F661" w:rsidR="00074C4C" w:rsidRPr="004F1D15" w:rsidRDefault="00C5054D" w:rsidP="00C5054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C5054D">
              <w:rPr>
                <w:rFonts w:ascii="Arial" w:eastAsia="DengXian" w:hAnsi="Arial"/>
                <w:color w:val="auto"/>
                <w:sz w:val="20"/>
                <w:szCs w:val="20"/>
                <w:lang w:val="en-GB"/>
              </w:rPr>
              <w:t>Triển khai dịch vụ tư vấn toàn diện và chương trình khuyến khích nhằm hỗ trợ MSME áp dụng đám mây.</w:t>
            </w:r>
            <w:r w:rsidR="00AC6966">
              <w:rPr>
                <w:rFonts w:ascii="Arial" w:eastAsia="DengXian" w:hAnsi="Arial"/>
                <w:color w:val="auto"/>
                <w:sz w:val="20"/>
                <w:szCs w:val="20"/>
                <w:lang w:val="en-GB"/>
              </w:rPr>
              <w:br/>
            </w:r>
          </w:p>
          <w:p w14:paraId="21460700" w14:textId="5816CEC2" w:rsidR="00C235CA" w:rsidRPr="004F1D15" w:rsidRDefault="00C5054D">
            <w:pPr>
              <w:cnfStyle w:val="000000100000" w:firstRow="0" w:lastRow="0" w:firstColumn="0" w:lastColumn="0" w:oddVBand="0" w:evenVBand="0" w:oddHBand="1" w:evenHBand="0" w:firstRowFirstColumn="0" w:firstRowLastColumn="0" w:lastRowFirstColumn="0" w:lastRowLastColumn="0"/>
              <w:rPr>
                <w:sz w:val="20"/>
                <w:szCs w:val="20"/>
              </w:rPr>
            </w:pPr>
            <w:r w:rsidRPr="00C5054D">
              <w:rPr>
                <w:sz w:val="20"/>
                <w:szCs w:val="20"/>
              </w:rPr>
              <w:t>Dài hạn</w:t>
            </w:r>
            <w:r w:rsidR="00C235CA" w:rsidRPr="004F1D15">
              <w:rPr>
                <w:sz w:val="20"/>
                <w:szCs w:val="20"/>
              </w:rPr>
              <w:t>:</w:t>
            </w:r>
          </w:p>
          <w:p w14:paraId="636190C2" w14:textId="77777777" w:rsidR="00C5054D" w:rsidRPr="00C5054D" w:rsidRDefault="00C5054D" w:rsidP="00C5054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C5054D">
              <w:rPr>
                <w:rFonts w:ascii="Arial" w:eastAsia="DengXian" w:hAnsi="Arial"/>
                <w:color w:val="auto"/>
                <w:sz w:val="20"/>
                <w:szCs w:val="20"/>
                <w:lang w:val="en-GB"/>
              </w:rPr>
              <w:t>Thiết lập chương trình chứng nhận khu vực cho chuyên gia điện toán đám mây.</w:t>
            </w:r>
          </w:p>
          <w:p w14:paraId="30FB4EE6" w14:textId="1817A93B" w:rsidR="00C5054D" w:rsidRPr="00C5054D" w:rsidRDefault="00C5054D" w:rsidP="00C5054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C5054D">
              <w:rPr>
                <w:rFonts w:ascii="Arial" w:eastAsia="DengXian" w:hAnsi="Arial"/>
                <w:color w:val="auto"/>
                <w:sz w:val="20"/>
                <w:szCs w:val="20"/>
                <w:lang w:val="en-GB"/>
              </w:rPr>
              <w:t>Cập nhật nội dung đào tạo thường xuyên theo tiến bộ công nghệ và thay đổi của thị trường.</w:t>
            </w:r>
          </w:p>
          <w:p w14:paraId="340EA107" w14:textId="338CE276" w:rsidR="00C5054D" w:rsidRPr="00C5054D" w:rsidRDefault="00C5054D" w:rsidP="00C5054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C5054D">
              <w:rPr>
                <w:rFonts w:ascii="Arial" w:eastAsia="DengXian" w:hAnsi="Arial"/>
                <w:color w:val="auto"/>
                <w:sz w:val="20"/>
                <w:szCs w:val="20"/>
                <w:lang w:val="en-GB"/>
              </w:rPr>
              <w:t>Thể chế hóa các chương trình phát triển nghề nghiệp liên tục.</w:t>
            </w:r>
          </w:p>
          <w:p w14:paraId="6200CB9D" w14:textId="6925C756" w:rsidR="00C235CA" w:rsidRPr="004F1D15" w:rsidRDefault="00C5054D" w:rsidP="00C5054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C5054D">
              <w:rPr>
                <w:rFonts w:ascii="Arial" w:eastAsia="DengXian" w:hAnsi="Arial"/>
                <w:color w:val="auto"/>
                <w:sz w:val="20"/>
                <w:szCs w:val="20"/>
                <w:lang w:val="en-GB"/>
              </w:rPr>
              <w:t>Đẩy mạnh hợp tác với đối tác toàn cầu để cập nhật thông lệ tốt về điện toán đám mây.</w:t>
            </w:r>
          </w:p>
        </w:tc>
        <w:tc>
          <w:tcPr>
            <w:tcW w:w="2318" w:type="dxa"/>
            <w:gridSpan w:val="2"/>
            <w:tcBorders>
              <w:left w:val="single" w:sz="4" w:space="0" w:color="156082"/>
              <w:right w:val="single" w:sz="4" w:space="0" w:color="156082"/>
            </w:tcBorders>
          </w:tcPr>
          <w:p w14:paraId="53903261" w14:textId="23DEF2A7" w:rsidR="00C235CA" w:rsidRPr="004F1D15" w:rsidRDefault="00C5054D">
            <w:pPr>
              <w:cnfStyle w:val="000000100000" w:firstRow="0" w:lastRow="0" w:firstColumn="0" w:lastColumn="0" w:oddVBand="0" w:evenVBand="0" w:oddHBand="1" w:evenHBand="0" w:firstRowFirstColumn="0" w:firstRowLastColumn="0" w:lastRowFirstColumn="0" w:lastRowLastColumn="0"/>
              <w:rPr>
                <w:sz w:val="20"/>
                <w:szCs w:val="20"/>
              </w:rPr>
            </w:pPr>
            <w:r w:rsidRPr="00C5054D">
              <w:rPr>
                <w:sz w:val="20"/>
                <w:szCs w:val="20"/>
              </w:rPr>
              <w:lastRenderedPageBreak/>
              <w:t>Cơ quan Chủ trì</w:t>
            </w:r>
            <w:r w:rsidR="1009E553" w:rsidRPr="004F1D15">
              <w:rPr>
                <w:sz w:val="20"/>
                <w:szCs w:val="20"/>
              </w:rPr>
              <w:t>:</w:t>
            </w:r>
          </w:p>
          <w:p w14:paraId="7D9B48C2" w14:textId="3E306302" w:rsidR="00C235CA" w:rsidRPr="005F224D" w:rsidRDefault="00C5054D" w:rsidP="0046731B">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C5054D">
              <w:rPr>
                <w:rFonts w:ascii="Arial" w:eastAsia="DengXian" w:hAnsi="Arial"/>
                <w:sz w:val="20"/>
                <w:szCs w:val="20"/>
                <w:lang w:val="en-GB"/>
              </w:rPr>
              <w:t xml:space="preserve">Ủy ban Khoa học, Công nghệ và Đổi mới ASEAN </w:t>
            </w:r>
            <w:r w:rsidR="00AF024D" w:rsidRPr="00AF024D">
              <w:rPr>
                <w:rFonts w:ascii="Arial" w:eastAsia="DengXian" w:hAnsi="Arial"/>
                <w:sz w:val="20"/>
                <w:szCs w:val="20"/>
                <w:lang w:val="en-GB"/>
              </w:rPr>
              <w:t>(COSTI)</w:t>
            </w:r>
          </w:p>
          <w:p w14:paraId="1576EC97" w14:textId="77777777" w:rsidR="005F224D" w:rsidRDefault="005F224D" w:rsidP="005F224D">
            <w:pPr>
              <w:cnfStyle w:val="000000100000" w:firstRow="0" w:lastRow="0" w:firstColumn="0" w:lastColumn="0" w:oddVBand="0" w:evenVBand="0" w:oddHBand="1" w:evenHBand="0" w:firstRowFirstColumn="0" w:firstRowLastColumn="0" w:lastRowFirstColumn="0" w:lastRowLastColumn="0"/>
              <w:rPr>
                <w:sz w:val="20"/>
                <w:szCs w:val="20"/>
              </w:rPr>
            </w:pPr>
          </w:p>
          <w:p w14:paraId="726907F9" w14:textId="6575C0C1" w:rsidR="005F224D" w:rsidRDefault="00C5054D" w:rsidP="005F224D">
            <w:pPr>
              <w:cnfStyle w:val="000000100000" w:firstRow="0" w:lastRow="0" w:firstColumn="0" w:lastColumn="0" w:oddVBand="0" w:evenVBand="0" w:oddHBand="1" w:evenHBand="0" w:firstRowFirstColumn="0" w:firstRowLastColumn="0" w:lastRowFirstColumn="0" w:lastRowLastColumn="0"/>
              <w:rPr>
                <w:sz w:val="20"/>
                <w:szCs w:val="20"/>
              </w:rPr>
            </w:pPr>
            <w:r w:rsidRPr="00C5054D">
              <w:rPr>
                <w:sz w:val="20"/>
                <w:szCs w:val="20"/>
              </w:rPr>
              <w:t>Các cơ quan hỗ trợ</w:t>
            </w:r>
            <w:r w:rsidR="005F224D">
              <w:rPr>
                <w:sz w:val="20"/>
                <w:szCs w:val="20"/>
              </w:rPr>
              <w:t xml:space="preserve">: </w:t>
            </w:r>
          </w:p>
          <w:p w14:paraId="51698AA5" w14:textId="7B3739F4" w:rsidR="005F224D" w:rsidRPr="00AF024D" w:rsidRDefault="00C5054D" w:rsidP="005F224D">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C5054D">
              <w:rPr>
                <w:rFonts w:ascii="Arial" w:eastAsia="DengXian" w:hAnsi="Arial"/>
                <w:sz w:val="20"/>
                <w:szCs w:val="20"/>
                <w:lang w:val="en-GB"/>
              </w:rPr>
              <w:t xml:space="preserve">Ủy ban Điều phối ASEAN về Doanh nghiệp Vừa, Nhỏ và Siêu nhỏ </w:t>
            </w:r>
            <w:r w:rsidR="005F224D" w:rsidRPr="004F1D15">
              <w:rPr>
                <w:rFonts w:ascii="Arial" w:eastAsia="DengXian" w:hAnsi="Arial"/>
                <w:sz w:val="20"/>
                <w:szCs w:val="20"/>
                <w:lang w:val="en-GB"/>
              </w:rPr>
              <w:t>(ACCMSME)</w:t>
            </w:r>
          </w:p>
          <w:p w14:paraId="5DE9A61A" w14:textId="5159887D" w:rsidR="00C235CA" w:rsidRPr="005F224D" w:rsidRDefault="00C235CA" w:rsidP="005F224D">
            <w:pPr>
              <w:cnfStyle w:val="000000100000" w:firstRow="0" w:lastRow="0" w:firstColumn="0" w:lastColumn="0" w:oddVBand="0" w:evenVBand="0" w:oddHBand="1" w:evenHBand="0" w:firstRowFirstColumn="0" w:firstRowLastColumn="0" w:lastRowFirstColumn="0" w:lastRowLastColumn="0"/>
              <w:rPr>
                <w:sz w:val="20"/>
                <w:szCs w:val="20"/>
              </w:rPr>
            </w:pPr>
          </w:p>
        </w:tc>
        <w:tc>
          <w:tcPr>
            <w:tcW w:w="3774" w:type="dxa"/>
            <w:gridSpan w:val="2"/>
            <w:tcBorders>
              <w:left w:val="single" w:sz="4" w:space="0" w:color="156082"/>
            </w:tcBorders>
          </w:tcPr>
          <w:p w14:paraId="67961EBE" w14:textId="0775516A" w:rsidR="00C235CA" w:rsidRPr="004F1D15" w:rsidRDefault="00C5054D">
            <w:pPr>
              <w:cnfStyle w:val="000000100000" w:firstRow="0" w:lastRow="0" w:firstColumn="0" w:lastColumn="0" w:oddVBand="0" w:evenVBand="0" w:oddHBand="1" w:evenHBand="0" w:firstRowFirstColumn="0" w:firstRowLastColumn="0" w:lastRowFirstColumn="0" w:lastRowLastColumn="0"/>
              <w:rPr>
                <w:sz w:val="20"/>
                <w:szCs w:val="20"/>
              </w:rPr>
            </w:pPr>
            <w:r w:rsidRPr="00C5054D">
              <w:rPr>
                <w:sz w:val="20"/>
                <w:szCs w:val="20"/>
              </w:rPr>
              <w:t>Các chỉ số tiến độ chung</w:t>
            </w:r>
            <w:r w:rsidR="00C235CA" w:rsidRPr="004F1D15">
              <w:rPr>
                <w:sz w:val="20"/>
                <w:szCs w:val="20"/>
              </w:rPr>
              <w:t>:</w:t>
            </w:r>
          </w:p>
          <w:p w14:paraId="5CEE7E27" w14:textId="77777777" w:rsidR="00A5318E" w:rsidRPr="00A5318E" w:rsidRDefault="00A5318E" w:rsidP="00A5318E">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bCs/>
                <w:color w:val="auto"/>
                <w:sz w:val="20"/>
                <w:szCs w:val="20"/>
                <w:lang w:val="en-GB"/>
              </w:rPr>
            </w:pPr>
            <w:r w:rsidRPr="00A5318E">
              <w:rPr>
                <w:rFonts w:ascii="Arial" w:hAnsi="Arial"/>
                <w:b/>
                <w:color w:val="auto"/>
                <w:sz w:val="20"/>
                <w:szCs w:val="20"/>
                <w:lang w:val="en-GB"/>
              </w:rPr>
              <w:t xml:space="preserve">Tỷ lệ tham gia đào tạo: </w:t>
            </w:r>
            <w:r w:rsidRPr="00A5318E">
              <w:rPr>
                <w:rFonts w:ascii="Arial" w:hAnsi="Arial"/>
                <w:bCs/>
                <w:color w:val="auto"/>
                <w:sz w:val="20"/>
                <w:szCs w:val="20"/>
                <w:lang w:val="en-GB"/>
              </w:rPr>
              <w:t>Số lượng cá nhân được đào tạo về kỹ năng điện toán đám mây trong toàn ASEAN.</w:t>
            </w:r>
          </w:p>
          <w:p w14:paraId="446A9621" w14:textId="135A1E89" w:rsidR="00A5318E" w:rsidRPr="00A5318E" w:rsidRDefault="00A5318E" w:rsidP="00A5318E">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bCs/>
                <w:color w:val="auto"/>
                <w:sz w:val="20"/>
                <w:szCs w:val="20"/>
                <w:lang w:val="en-GB"/>
              </w:rPr>
            </w:pPr>
            <w:r w:rsidRPr="00A5318E">
              <w:rPr>
                <w:rFonts w:ascii="Arial" w:hAnsi="Arial"/>
                <w:b/>
                <w:color w:val="auto"/>
                <w:sz w:val="20"/>
                <w:szCs w:val="20"/>
                <w:lang w:val="en-GB"/>
              </w:rPr>
              <w:t xml:space="preserve">Chỉ số cải thiện kỹ năng: </w:t>
            </w:r>
            <w:r w:rsidRPr="00A5318E">
              <w:rPr>
                <w:rFonts w:ascii="Arial" w:hAnsi="Arial"/>
                <w:bCs/>
                <w:color w:val="auto"/>
                <w:sz w:val="20"/>
                <w:szCs w:val="20"/>
                <w:lang w:val="en-GB"/>
              </w:rPr>
              <w:t>Mức độ cải thiện kỹ năng của học viên thông qua đánh giá trước và sau đào tạo.</w:t>
            </w:r>
          </w:p>
          <w:p w14:paraId="761C8544" w14:textId="6B5B48AA" w:rsidR="00C235CA" w:rsidRPr="004F1D15" w:rsidRDefault="00A5318E" w:rsidP="00A5318E">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A5318E">
              <w:rPr>
                <w:rFonts w:ascii="Arial" w:hAnsi="Arial"/>
                <w:b/>
                <w:color w:val="auto"/>
                <w:sz w:val="20"/>
                <w:szCs w:val="20"/>
                <w:lang w:val="en-GB"/>
              </w:rPr>
              <w:t xml:space="preserve">Tỷ lệ áp dụng điện toán đám mây của MSME: </w:t>
            </w:r>
            <w:r w:rsidRPr="00A5318E">
              <w:rPr>
                <w:rFonts w:ascii="Arial" w:hAnsi="Arial"/>
                <w:bCs/>
                <w:color w:val="auto"/>
                <w:sz w:val="20"/>
                <w:szCs w:val="20"/>
                <w:lang w:val="en-GB"/>
              </w:rPr>
              <w:t>Mức tăng cường áp dụng công nghệ đám mây trong MSME dựa trên các sáng kiến hỗ trợ của chính phủ</w:t>
            </w:r>
            <w:r w:rsidR="00074C4C" w:rsidRPr="00A5318E">
              <w:rPr>
                <w:rFonts w:ascii="Arial" w:hAnsi="Arial"/>
                <w:bCs/>
                <w:color w:val="auto"/>
                <w:sz w:val="20"/>
                <w:szCs w:val="20"/>
                <w:lang w:val="en-GB"/>
              </w:rPr>
              <w:t>.</w:t>
            </w:r>
          </w:p>
        </w:tc>
      </w:tr>
    </w:tbl>
    <w:p w14:paraId="1FBB720C" w14:textId="77777777" w:rsidR="00C235CA" w:rsidRPr="004F1D15" w:rsidRDefault="00C235CA" w:rsidP="00C235CA"/>
    <w:p w14:paraId="73BDF019" w14:textId="77777777" w:rsidR="00C235CA" w:rsidRPr="004F1D15" w:rsidRDefault="00C235CA" w:rsidP="00C235CA"/>
    <w:p w14:paraId="6FFA1D9E" w14:textId="77777777" w:rsidR="000452BE" w:rsidRDefault="000452BE">
      <w:pPr>
        <w:spacing w:line="259" w:lineRule="auto"/>
        <w:jc w:val="left"/>
        <w:rPr>
          <w:rFonts w:eastAsia="Arial"/>
          <w:i/>
          <w:color w:val="657C9C" w:themeColor="text2" w:themeTint="BF"/>
          <w:sz w:val="20"/>
          <w:szCs w:val="20"/>
        </w:rPr>
      </w:pPr>
      <w:r>
        <w:rPr>
          <w:sz w:val="20"/>
        </w:rPr>
        <w:br w:type="page"/>
      </w:r>
    </w:p>
    <w:p w14:paraId="2C76C85A" w14:textId="4B4000D4" w:rsidR="00341DF4" w:rsidRPr="004F1D15" w:rsidRDefault="00A5318E" w:rsidP="00C82E40">
      <w:pPr>
        <w:pStyle w:val="Heading4"/>
        <w:rPr>
          <w:sz w:val="20"/>
          <w:lang w:val="en-GB"/>
        </w:rPr>
      </w:pPr>
      <w:r w:rsidRPr="00A5318E">
        <w:rPr>
          <w:sz w:val="20"/>
          <w:lang w:val="en-GB"/>
        </w:rPr>
        <w:lastRenderedPageBreak/>
        <w:t>Danh mục 3: Phát triển Hạ tầng Số</w:t>
      </w:r>
    </w:p>
    <w:tbl>
      <w:tblPr>
        <w:tblStyle w:val="ListTable3-Accent11"/>
        <w:tblW w:w="15314" w:type="dxa"/>
        <w:tblLook w:val="04A0" w:firstRow="1" w:lastRow="0" w:firstColumn="1" w:lastColumn="0" w:noHBand="0" w:noVBand="1"/>
      </w:tblPr>
      <w:tblGrid>
        <w:gridCol w:w="1694"/>
        <w:gridCol w:w="3764"/>
        <w:gridCol w:w="7"/>
        <w:gridCol w:w="3757"/>
        <w:gridCol w:w="15"/>
        <w:gridCol w:w="2303"/>
        <w:gridCol w:w="14"/>
        <w:gridCol w:w="3760"/>
      </w:tblGrid>
      <w:tr w:rsidR="00C235CA" w:rsidRPr="004F1D15" w14:paraId="5C0D1FA4" w14:textId="77777777" w:rsidTr="00B120A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4" w:type="dxa"/>
            <w:tcBorders>
              <w:bottom w:val="single" w:sz="4" w:space="0" w:color="156082"/>
            </w:tcBorders>
            <w:shd w:val="clear" w:color="auto" w:fill="002060"/>
          </w:tcPr>
          <w:p w14:paraId="13A7FE36" w14:textId="034DB66C" w:rsidR="00C235CA" w:rsidRPr="004F1D15" w:rsidRDefault="00A5318E" w:rsidP="00B120AA">
            <w:pPr>
              <w:jc w:val="center"/>
              <w:rPr>
                <w:sz w:val="20"/>
                <w:szCs w:val="20"/>
              </w:rPr>
            </w:pPr>
            <w:r w:rsidRPr="00A5318E">
              <w:rPr>
                <w:sz w:val="20"/>
                <w:szCs w:val="20"/>
              </w:rPr>
              <w:t>Khu vực hành động</w:t>
            </w:r>
          </w:p>
        </w:tc>
        <w:tc>
          <w:tcPr>
            <w:tcW w:w="3771" w:type="dxa"/>
            <w:gridSpan w:val="2"/>
            <w:shd w:val="clear" w:color="auto" w:fill="002060"/>
          </w:tcPr>
          <w:p w14:paraId="2ED00807" w14:textId="30CB3E25" w:rsidR="00C235CA" w:rsidRPr="004F1D15" w:rsidRDefault="00A5318E" w:rsidP="00B120AA">
            <w:pPr>
              <w:jc w:val="center"/>
              <w:cnfStyle w:val="100000000000" w:firstRow="1" w:lastRow="0" w:firstColumn="0" w:lastColumn="0" w:oddVBand="0" w:evenVBand="0" w:oddHBand="0" w:evenHBand="0" w:firstRowFirstColumn="0" w:firstRowLastColumn="0" w:lastRowFirstColumn="0" w:lastRowLastColumn="0"/>
              <w:rPr>
                <w:sz w:val="20"/>
                <w:szCs w:val="20"/>
              </w:rPr>
            </w:pPr>
            <w:r w:rsidRPr="00A5318E">
              <w:rPr>
                <w:sz w:val="20"/>
                <w:szCs w:val="20"/>
              </w:rPr>
              <w:t>Lĩnh vực trọng tâm</w:t>
            </w:r>
          </w:p>
        </w:tc>
        <w:tc>
          <w:tcPr>
            <w:tcW w:w="3772" w:type="dxa"/>
            <w:gridSpan w:val="2"/>
            <w:shd w:val="clear" w:color="auto" w:fill="002060"/>
          </w:tcPr>
          <w:p w14:paraId="7DD0C709" w14:textId="6684798A" w:rsidR="00C235CA" w:rsidRPr="004F1D15" w:rsidRDefault="00A5318E" w:rsidP="00B120AA">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A5318E">
              <w:rPr>
                <w:sz w:val="20"/>
                <w:szCs w:val="20"/>
              </w:rPr>
              <w:t>Các mốc dự kiến và khung thời gian tạm tính</w:t>
            </w:r>
            <w:r w:rsidR="00C235CA" w:rsidRPr="004F1D15">
              <w:rPr>
                <w:sz w:val="20"/>
                <w:szCs w:val="20"/>
                <w:vertAlign w:val="superscript"/>
              </w:rPr>
              <w:footnoteReference w:id="369"/>
            </w:r>
          </w:p>
        </w:tc>
        <w:tc>
          <w:tcPr>
            <w:tcW w:w="2317" w:type="dxa"/>
            <w:gridSpan w:val="2"/>
            <w:shd w:val="clear" w:color="auto" w:fill="002060"/>
          </w:tcPr>
          <w:p w14:paraId="4D70A3F2" w14:textId="67A504F6" w:rsidR="00C235CA" w:rsidRPr="004F1D15" w:rsidRDefault="00A5318E" w:rsidP="00B120AA">
            <w:pPr>
              <w:jc w:val="center"/>
              <w:cnfStyle w:val="100000000000" w:firstRow="1" w:lastRow="0" w:firstColumn="0" w:lastColumn="0" w:oddVBand="0" w:evenVBand="0" w:oddHBand="0" w:evenHBand="0" w:firstRowFirstColumn="0" w:firstRowLastColumn="0" w:lastRowFirstColumn="0" w:lastRowLastColumn="0"/>
              <w:rPr>
                <w:sz w:val="20"/>
                <w:szCs w:val="20"/>
              </w:rPr>
            </w:pPr>
            <w:r w:rsidRPr="00A5318E">
              <w:rPr>
                <w:sz w:val="20"/>
                <w:szCs w:val="20"/>
              </w:rPr>
              <w:t>Các bên chịu trách nhiệm chính</w:t>
            </w:r>
          </w:p>
        </w:tc>
        <w:tc>
          <w:tcPr>
            <w:tcW w:w="3760" w:type="dxa"/>
            <w:shd w:val="clear" w:color="auto" w:fill="002060"/>
          </w:tcPr>
          <w:p w14:paraId="754E6888" w14:textId="02EEA9BB" w:rsidR="00C235CA" w:rsidRPr="004F1D15" w:rsidRDefault="00A5318E" w:rsidP="00B120AA">
            <w:pPr>
              <w:jc w:val="center"/>
              <w:cnfStyle w:val="100000000000" w:firstRow="1" w:lastRow="0" w:firstColumn="0" w:lastColumn="0" w:oddVBand="0" w:evenVBand="0" w:oddHBand="0" w:evenHBand="0" w:firstRowFirstColumn="0" w:firstRowLastColumn="0" w:lastRowFirstColumn="0" w:lastRowLastColumn="0"/>
              <w:rPr>
                <w:sz w:val="20"/>
                <w:szCs w:val="20"/>
              </w:rPr>
            </w:pPr>
            <w:r w:rsidRPr="00A5318E">
              <w:rPr>
                <w:sz w:val="20"/>
                <w:szCs w:val="20"/>
              </w:rPr>
              <w:t>Thước đo tiến độ</w:t>
            </w:r>
          </w:p>
        </w:tc>
      </w:tr>
      <w:tr w:rsidR="00C235CA" w:rsidRPr="004F1D15" w14:paraId="2C6C149D" w14:textId="77777777" w:rsidTr="00B12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shd w:val="clear" w:color="auto" w:fill="00B0F0"/>
          </w:tcPr>
          <w:p w14:paraId="7E83C8B1" w14:textId="6120EB1C" w:rsidR="00C235CA" w:rsidRPr="004F1D15" w:rsidRDefault="00A5318E">
            <w:pPr>
              <w:rPr>
                <w:sz w:val="20"/>
                <w:szCs w:val="20"/>
              </w:rPr>
            </w:pPr>
            <w:r w:rsidRPr="00A5318E">
              <w:rPr>
                <w:sz w:val="20"/>
                <w:szCs w:val="20"/>
              </w:rPr>
              <w:t>Khu vực hành động chính</w:t>
            </w:r>
          </w:p>
        </w:tc>
        <w:tc>
          <w:tcPr>
            <w:tcW w:w="13620" w:type="dxa"/>
            <w:gridSpan w:val="7"/>
            <w:tcBorders>
              <w:left w:val="single" w:sz="4" w:space="0" w:color="156082"/>
            </w:tcBorders>
            <w:shd w:val="clear" w:color="auto" w:fill="00B0F0"/>
          </w:tcPr>
          <w:p w14:paraId="20B720A5" w14:textId="51415E16" w:rsidR="00C235CA" w:rsidRPr="004F1D15" w:rsidRDefault="00AF024D">
            <w:pPr>
              <w:cnfStyle w:val="000000100000" w:firstRow="0" w:lastRow="0" w:firstColumn="0" w:lastColumn="0" w:oddVBand="0" w:evenVBand="0" w:oddHBand="1" w:evenHBand="0" w:firstRowFirstColumn="0" w:firstRowLastColumn="0" w:lastRowFirstColumn="0" w:lastRowLastColumn="0"/>
              <w:rPr>
                <w:rFonts w:eastAsiaTheme="minorEastAsia"/>
                <w:b/>
                <w:bCs/>
                <w:sz w:val="20"/>
                <w:szCs w:val="20"/>
              </w:rPr>
            </w:pPr>
            <w:r>
              <w:rPr>
                <w:b/>
                <w:bCs/>
                <w:sz w:val="20"/>
                <w:szCs w:val="20"/>
              </w:rPr>
              <w:t xml:space="preserve">6.2.13.3 </w:t>
            </w:r>
            <w:r w:rsidR="007E4923" w:rsidRPr="007E4923">
              <w:rPr>
                <w:b/>
                <w:bCs/>
                <w:sz w:val="20"/>
                <w:szCs w:val="20"/>
              </w:rPr>
              <w:t>Phát triển Hạ tầng Điện toán Đám mây phù hợp với các Ưu tiên Khu vực</w:t>
            </w:r>
          </w:p>
        </w:tc>
      </w:tr>
      <w:tr w:rsidR="00C235CA" w:rsidRPr="004F1D15" w14:paraId="6E942A27" w14:textId="77777777" w:rsidTr="00B120AA">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156082"/>
              <w:bottom w:val="single" w:sz="4" w:space="0" w:color="156082"/>
              <w:right w:val="single" w:sz="4" w:space="0" w:color="156082"/>
            </w:tcBorders>
            <w:shd w:val="clear" w:color="auto" w:fill="BDD6EE" w:themeFill="accent5" w:themeFillTint="66"/>
          </w:tcPr>
          <w:p w14:paraId="495F8721" w14:textId="51C1A588" w:rsidR="00C235CA" w:rsidRPr="00A5318E" w:rsidRDefault="00A5318E">
            <w:pPr>
              <w:rPr>
                <w:sz w:val="20"/>
                <w:szCs w:val="20"/>
                <w:lang w:val="vi-VN"/>
              </w:rPr>
            </w:pPr>
            <w:r>
              <w:rPr>
                <w:sz w:val="20"/>
                <w:szCs w:val="20"/>
              </w:rPr>
              <w:t>Mục</w:t>
            </w:r>
            <w:r>
              <w:rPr>
                <w:sz w:val="20"/>
                <w:szCs w:val="20"/>
                <w:lang w:val="vi-VN"/>
              </w:rPr>
              <w:t xml:space="preserve"> tiêu</w:t>
            </w:r>
          </w:p>
        </w:tc>
        <w:tc>
          <w:tcPr>
            <w:tcW w:w="13620" w:type="dxa"/>
            <w:gridSpan w:val="7"/>
            <w:tcBorders>
              <w:left w:val="single" w:sz="4" w:space="0" w:color="156082"/>
            </w:tcBorders>
            <w:shd w:val="clear" w:color="auto" w:fill="BDD6EE" w:themeFill="accent5" w:themeFillTint="66"/>
          </w:tcPr>
          <w:p w14:paraId="10053E62" w14:textId="7340658D" w:rsidR="00074C4C" w:rsidRPr="007E4923" w:rsidRDefault="007E4923"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eastAsia="DengXian" w:hAnsi="Arial"/>
                <w:bCs/>
                <w:sz w:val="20"/>
                <w:szCs w:val="20"/>
                <w:lang w:val="en-GB"/>
              </w:rPr>
            </w:pPr>
            <w:r w:rsidRPr="007E4923">
              <w:rPr>
                <w:rFonts w:ascii="Arial" w:eastAsia="DengXian" w:hAnsi="Arial"/>
                <w:b/>
                <w:sz w:val="20"/>
                <w:szCs w:val="20"/>
                <w:lang w:val="en-GB"/>
              </w:rPr>
              <w:t xml:space="preserve">Phù hợp với các ưu tiên và tiêu chuẩn quốc tế và khu vực: </w:t>
            </w:r>
            <w:r w:rsidRPr="007E4923">
              <w:rPr>
                <w:rFonts w:ascii="Arial" w:eastAsia="DengXian" w:hAnsi="Arial"/>
                <w:bCs/>
                <w:sz w:val="20"/>
                <w:szCs w:val="20"/>
                <w:lang w:val="en-GB"/>
              </w:rPr>
              <w:t>Đảm bảo các công nghệ đám mây hiện tại và tương lai phù hợp với tiêu chuẩn khu vực và quốc tế</w:t>
            </w:r>
            <w:r w:rsidR="00074C4C" w:rsidRPr="007E4923">
              <w:rPr>
                <w:rFonts w:ascii="Arial" w:eastAsia="DengXian" w:hAnsi="Arial"/>
                <w:bCs/>
                <w:sz w:val="20"/>
                <w:szCs w:val="20"/>
                <w:lang w:val="en-GB"/>
              </w:rPr>
              <w:t>.</w:t>
            </w:r>
          </w:p>
          <w:p w14:paraId="70CFCA63" w14:textId="4B33E114" w:rsidR="00C235CA" w:rsidRPr="004F1D15" w:rsidRDefault="007E4923" w:rsidP="00FF6387">
            <w:pPr>
              <w:pStyle w:val="ListParagraph"/>
              <w:numPr>
                <w:ilvl w:val="0"/>
                <w:numId w:val="40"/>
              </w:numPr>
              <w:spacing w:after="0"/>
              <w:ind w:left="357" w:hanging="357"/>
              <w:cnfStyle w:val="000000000000" w:firstRow="0" w:lastRow="0" w:firstColumn="0" w:lastColumn="0" w:oddVBand="0" w:evenVBand="0" w:oddHBand="0" w:evenHBand="0" w:firstRowFirstColumn="0" w:firstRowLastColumn="0" w:lastRowFirstColumn="0" w:lastRowLastColumn="0"/>
              <w:rPr>
                <w:rFonts w:ascii="Arial" w:hAnsi="Arial"/>
                <w:color w:val="auto"/>
                <w:sz w:val="20"/>
                <w:szCs w:val="20"/>
                <w:lang w:val="en-GB"/>
              </w:rPr>
            </w:pPr>
            <w:r w:rsidRPr="007E4923">
              <w:rPr>
                <w:rFonts w:ascii="Arial" w:eastAsia="DengXian" w:hAnsi="Arial"/>
                <w:b/>
                <w:sz w:val="20"/>
                <w:szCs w:val="20"/>
                <w:lang w:val="en-GB"/>
              </w:rPr>
              <w:t xml:space="preserve">Tăng cường áp dụng công nghệ đám mây: </w:t>
            </w:r>
            <w:r w:rsidRPr="007E4923">
              <w:rPr>
                <w:rFonts w:ascii="Arial" w:eastAsia="DengXian" w:hAnsi="Arial"/>
                <w:bCs/>
                <w:sz w:val="20"/>
                <w:szCs w:val="20"/>
                <w:lang w:val="en-GB"/>
              </w:rPr>
              <w:t>Thúc đẩy cơ hội đầu tư cho thử nghiệm và áp dụng các công nghệ đám mây an toàn</w:t>
            </w:r>
            <w:r w:rsidR="00074C4C" w:rsidRPr="00516087">
              <w:rPr>
                <w:rFonts w:ascii="Arial" w:eastAsia="DengXian" w:hAnsi="Arial"/>
                <w:sz w:val="20"/>
                <w:szCs w:val="20"/>
                <w:lang w:val="en-GB"/>
              </w:rPr>
              <w:t>.</w:t>
            </w:r>
          </w:p>
        </w:tc>
      </w:tr>
      <w:tr w:rsidR="00C235CA" w:rsidRPr="004F1D15" w14:paraId="2AF83D27" w14:textId="77777777" w:rsidTr="6BB67A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dxa"/>
            <w:tcBorders>
              <w:right w:val="single" w:sz="4" w:space="0" w:color="156082"/>
            </w:tcBorders>
          </w:tcPr>
          <w:p w14:paraId="4522137A" w14:textId="57B6A6B7" w:rsidR="00C235CA" w:rsidRPr="004F1D15" w:rsidRDefault="00AF024D">
            <w:pPr>
              <w:rPr>
                <w:sz w:val="20"/>
                <w:szCs w:val="20"/>
              </w:rPr>
            </w:pPr>
            <w:r>
              <w:rPr>
                <w:sz w:val="20"/>
                <w:szCs w:val="20"/>
              </w:rPr>
              <w:t>6.2.13.3</w:t>
            </w:r>
            <w:r w:rsidR="003D656C" w:rsidRPr="004F1D15">
              <w:rPr>
                <w:sz w:val="20"/>
                <w:szCs w:val="20"/>
              </w:rPr>
              <w:t xml:space="preserve"> </w:t>
            </w:r>
            <w:r w:rsidR="007E4923" w:rsidRPr="007E4923">
              <w:rPr>
                <w:sz w:val="20"/>
                <w:szCs w:val="20"/>
              </w:rPr>
              <w:t>Phát triển Hạ tầng Điện toán Đám mây phù hợp với các Ưu tiên Khu vực</w:t>
            </w:r>
          </w:p>
        </w:tc>
        <w:tc>
          <w:tcPr>
            <w:tcW w:w="3764" w:type="dxa"/>
            <w:tcBorders>
              <w:left w:val="single" w:sz="4" w:space="0" w:color="156082"/>
              <w:right w:val="single" w:sz="4" w:space="0" w:color="156082"/>
            </w:tcBorders>
          </w:tcPr>
          <w:p w14:paraId="3B8DE7E3" w14:textId="77777777" w:rsidR="007E4923" w:rsidRPr="007E4923" w:rsidRDefault="007E4923" w:rsidP="007E4923">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bCs/>
                <w:color w:val="auto"/>
                <w:sz w:val="20"/>
                <w:szCs w:val="20"/>
                <w:lang w:val="en-GB"/>
              </w:rPr>
            </w:pPr>
            <w:r w:rsidRPr="007E4923">
              <w:rPr>
                <w:rFonts w:ascii="Arial" w:hAnsi="Arial"/>
                <w:b/>
                <w:color w:val="auto"/>
                <w:sz w:val="20"/>
                <w:szCs w:val="20"/>
                <w:lang w:val="en-GB"/>
              </w:rPr>
              <w:t xml:space="preserve">Tăng cường kết nối số: </w:t>
            </w:r>
            <w:r w:rsidRPr="007E4923">
              <w:rPr>
                <w:rFonts w:ascii="Arial" w:hAnsi="Arial"/>
                <w:bCs/>
                <w:color w:val="auto"/>
                <w:sz w:val="20"/>
                <w:szCs w:val="20"/>
                <w:lang w:val="en-GB"/>
              </w:rPr>
              <w:t>Ưu tiên đầu tư vào hạ tầng băng thông rộng tốc độ cao để bảo đảm khả năng truy cập internet rộng khắp và ổn định.</w:t>
            </w:r>
          </w:p>
          <w:p w14:paraId="4E05BA51" w14:textId="1A23C795" w:rsidR="007E4923" w:rsidRPr="007E4923" w:rsidRDefault="007E4923" w:rsidP="007E4923">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b/>
                <w:color w:val="auto"/>
                <w:sz w:val="20"/>
                <w:szCs w:val="20"/>
                <w:lang w:val="en-GB"/>
              </w:rPr>
            </w:pPr>
            <w:r w:rsidRPr="007E4923">
              <w:rPr>
                <w:rFonts w:ascii="Arial" w:hAnsi="Arial"/>
                <w:b/>
                <w:color w:val="auto"/>
                <w:sz w:val="20"/>
                <w:szCs w:val="20"/>
                <w:lang w:val="en-GB"/>
              </w:rPr>
              <w:t xml:space="preserve">Trung tâm đổi mới &amp; sandbox thử nghiệm: </w:t>
            </w:r>
            <w:r w:rsidRPr="007E4923">
              <w:rPr>
                <w:rFonts w:ascii="Arial" w:hAnsi="Arial"/>
                <w:bCs/>
                <w:color w:val="auto"/>
                <w:sz w:val="20"/>
                <w:szCs w:val="20"/>
                <w:lang w:val="en-GB"/>
              </w:rPr>
              <w:t>Thúc đẩy và hỗ trợ các sáng kiến R&amp;D trong công nghệ điện toán đám mây thông qua vườn ươm công nghệ, sandbox điều tiết và các dự án thí điểm để thử nghiệm công nghệ đám mây và mô hình kinh doanh mới</w:t>
            </w:r>
            <w:r w:rsidRPr="007E4923">
              <w:rPr>
                <w:rFonts w:ascii="Arial" w:hAnsi="Arial"/>
                <w:b/>
                <w:color w:val="auto"/>
                <w:sz w:val="20"/>
                <w:szCs w:val="20"/>
                <w:lang w:val="en-GB"/>
              </w:rPr>
              <w:t>.</w:t>
            </w:r>
          </w:p>
          <w:p w14:paraId="09A4128A" w14:textId="1342F1F9" w:rsidR="00074C4C" w:rsidRPr="007E4923" w:rsidRDefault="007E4923" w:rsidP="007E4923">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hAnsi="Arial"/>
                <w:bCs/>
                <w:color w:val="auto"/>
                <w:sz w:val="20"/>
                <w:szCs w:val="20"/>
                <w:lang w:val="en-GB"/>
              </w:rPr>
            </w:pPr>
            <w:r w:rsidRPr="007E4923">
              <w:rPr>
                <w:rFonts w:ascii="Arial" w:hAnsi="Arial"/>
                <w:b/>
                <w:color w:val="auto"/>
                <w:sz w:val="20"/>
                <w:szCs w:val="20"/>
                <w:lang w:val="en-GB"/>
              </w:rPr>
              <w:t>Đầu tư hạ tầng dài hạn</w:t>
            </w:r>
            <w:r w:rsidRPr="007E4923">
              <w:rPr>
                <w:rFonts w:ascii="Arial" w:hAnsi="Arial"/>
                <w:bCs/>
                <w:color w:val="auto"/>
                <w:sz w:val="20"/>
                <w:szCs w:val="20"/>
                <w:lang w:val="en-GB"/>
              </w:rPr>
              <w:t>: Đầu tư phát triển dài hạn vào hạ tầng điện toán đám mây và trung tâm dữ liệu phù hợp với tiêu chuẩn quốc tế nhằm hỗ trợ khả năng mở rộng và bảo đảm tương thích trong tương lai trước các tiến bộ công nghệ</w:t>
            </w:r>
            <w:r w:rsidR="00074C4C" w:rsidRPr="007E4923">
              <w:rPr>
                <w:rFonts w:ascii="Arial" w:hAnsi="Arial"/>
                <w:bCs/>
                <w:color w:val="auto"/>
                <w:sz w:val="20"/>
                <w:szCs w:val="20"/>
                <w:lang w:val="en-GB"/>
              </w:rPr>
              <w:t>.</w:t>
            </w:r>
          </w:p>
          <w:p w14:paraId="31A93665" w14:textId="03D26024" w:rsidR="00C235CA" w:rsidRPr="004F1D15" w:rsidRDefault="00C235CA">
            <w:pPr>
              <w:cnfStyle w:val="000000100000" w:firstRow="0" w:lastRow="0" w:firstColumn="0" w:lastColumn="0" w:oddVBand="0" w:evenVBand="0" w:oddHBand="1" w:evenHBand="0" w:firstRowFirstColumn="0" w:firstRowLastColumn="0" w:lastRowFirstColumn="0" w:lastRowLastColumn="0"/>
              <w:rPr>
                <w:sz w:val="20"/>
                <w:szCs w:val="20"/>
              </w:rPr>
            </w:pPr>
          </w:p>
        </w:tc>
        <w:tc>
          <w:tcPr>
            <w:tcW w:w="3764" w:type="dxa"/>
            <w:gridSpan w:val="2"/>
            <w:tcBorders>
              <w:left w:val="single" w:sz="4" w:space="0" w:color="156082"/>
              <w:right w:val="single" w:sz="4" w:space="0" w:color="156082"/>
            </w:tcBorders>
          </w:tcPr>
          <w:p w14:paraId="43988EB1" w14:textId="0DFFD42E" w:rsidR="00C235CA" w:rsidRPr="004F1D15" w:rsidRDefault="007E4923">
            <w:pPr>
              <w:cnfStyle w:val="000000100000" w:firstRow="0" w:lastRow="0" w:firstColumn="0" w:lastColumn="0" w:oddVBand="0" w:evenVBand="0" w:oddHBand="1" w:evenHBand="0" w:firstRowFirstColumn="0" w:firstRowLastColumn="0" w:lastRowFirstColumn="0" w:lastRowLastColumn="0"/>
              <w:rPr>
                <w:sz w:val="20"/>
                <w:szCs w:val="20"/>
              </w:rPr>
            </w:pPr>
            <w:r w:rsidRPr="007E4923">
              <w:rPr>
                <w:sz w:val="20"/>
                <w:szCs w:val="20"/>
              </w:rPr>
              <w:t>Ngắn hạn</w:t>
            </w:r>
            <w:r w:rsidR="00C235CA" w:rsidRPr="004F1D15">
              <w:rPr>
                <w:sz w:val="20"/>
                <w:szCs w:val="20"/>
              </w:rPr>
              <w:t>:</w:t>
            </w:r>
          </w:p>
          <w:p w14:paraId="49D3301E" w14:textId="77777777" w:rsidR="007E4923" w:rsidRPr="007E4923" w:rsidRDefault="007E4923" w:rsidP="007E4923">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7E4923">
              <w:rPr>
                <w:rFonts w:ascii="Arial" w:eastAsia="DengXian" w:hAnsi="Arial"/>
                <w:color w:val="auto"/>
                <w:sz w:val="20"/>
                <w:szCs w:val="20"/>
                <w:lang w:val="en-GB"/>
              </w:rPr>
              <w:t>Thực hiện đánh giá toàn diện nhu cầu hạ tầng số của các quốc gia thành viên ASEAN (AMS).</w:t>
            </w:r>
          </w:p>
          <w:p w14:paraId="45E9C524" w14:textId="33ECDA4A" w:rsidR="007E4923" w:rsidRPr="007E4923" w:rsidRDefault="007E4923" w:rsidP="007E4923">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7E4923">
              <w:rPr>
                <w:rFonts w:ascii="Arial" w:eastAsia="DengXian" w:hAnsi="Arial"/>
                <w:color w:val="auto"/>
                <w:sz w:val="20"/>
                <w:szCs w:val="20"/>
                <w:lang w:val="en-GB"/>
              </w:rPr>
              <w:t>Khởi động các quan hệ đối tác công – tư để xây dựng trung tâm đổi mới và sandbox ở cấp khu vực.</w:t>
            </w:r>
          </w:p>
          <w:p w14:paraId="0D2964FE" w14:textId="450E2B4A" w:rsidR="00074C4C" w:rsidRPr="004F1D15" w:rsidRDefault="007E4923" w:rsidP="007E4923">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7E4923">
              <w:rPr>
                <w:rFonts w:ascii="Arial" w:eastAsia="DengXian" w:hAnsi="Arial"/>
                <w:color w:val="auto"/>
                <w:sz w:val="20"/>
                <w:szCs w:val="20"/>
                <w:lang w:val="en-GB"/>
              </w:rPr>
              <w:t>Thực hiện các dự án mở rộng ban đầu nhằm cải thiện kết nối số tại các khu vực chưa được đầu tư đầy đủ</w:t>
            </w:r>
            <w:r w:rsidR="00074C4C" w:rsidRPr="004F1D15">
              <w:rPr>
                <w:rFonts w:ascii="Arial" w:eastAsia="DengXian" w:hAnsi="Arial"/>
                <w:color w:val="auto"/>
                <w:sz w:val="20"/>
                <w:szCs w:val="20"/>
                <w:lang w:val="en-GB"/>
              </w:rPr>
              <w:t>.</w:t>
            </w:r>
            <w:r w:rsidR="00C16B1B">
              <w:rPr>
                <w:rFonts w:ascii="Arial" w:eastAsia="DengXian" w:hAnsi="Arial"/>
                <w:color w:val="auto"/>
                <w:sz w:val="20"/>
                <w:szCs w:val="20"/>
                <w:lang w:val="en-GB"/>
              </w:rPr>
              <w:br/>
            </w:r>
          </w:p>
          <w:p w14:paraId="15E10039" w14:textId="47DF31CC" w:rsidR="00C235CA" w:rsidRPr="00034CD6" w:rsidRDefault="00034CD6">
            <w:pPr>
              <w:cnfStyle w:val="000000100000" w:firstRow="0" w:lastRow="0" w:firstColumn="0" w:lastColumn="0" w:oddVBand="0" w:evenVBand="0" w:oddHBand="1" w:evenHBand="0" w:firstRowFirstColumn="0" w:firstRowLastColumn="0" w:lastRowFirstColumn="0" w:lastRowLastColumn="0"/>
              <w:rPr>
                <w:sz w:val="20"/>
                <w:szCs w:val="20"/>
                <w:lang w:val="vi-VN"/>
              </w:rPr>
            </w:pPr>
            <w:r w:rsidRPr="00034CD6">
              <w:rPr>
                <w:sz w:val="20"/>
                <w:szCs w:val="20"/>
              </w:rPr>
              <w:t xml:space="preserve">Trung </w:t>
            </w:r>
            <w:r>
              <w:rPr>
                <w:sz w:val="20"/>
                <w:szCs w:val="20"/>
              </w:rPr>
              <w:t>hạn</w:t>
            </w:r>
            <w:r>
              <w:rPr>
                <w:sz w:val="20"/>
                <w:szCs w:val="20"/>
                <w:lang w:val="vi-VN"/>
              </w:rPr>
              <w:t>:</w:t>
            </w:r>
          </w:p>
          <w:p w14:paraId="03586AB0" w14:textId="77777777" w:rsidR="00034CD6" w:rsidRPr="00034CD6" w:rsidRDefault="00034CD6" w:rsidP="00034CD6">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hAnsi="Arial"/>
                <w:color w:val="auto"/>
                <w:sz w:val="20"/>
                <w:szCs w:val="20"/>
                <w:lang w:val="en-GB"/>
              </w:rPr>
            </w:pPr>
            <w:r w:rsidRPr="00034CD6">
              <w:rPr>
                <w:rFonts w:ascii="Arial" w:hAnsi="Arial"/>
                <w:color w:val="auto"/>
                <w:sz w:val="20"/>
                <w:szCs w:val="20"/>
                <w:lang w:val="en-GB"/>
              </w:rPr>
              <w:t>Vận hành các trung tâm đổi mới và sandbox điều tiết để thử nghiệm công nghệ hiện có và mới, đáp ứng tiêu chuẩn quốc tế và/hoặc khu vực.</w:t>
            </w:r>
          </w:p>
          <w:p w14:paraId="72018BF8" w14:textId="65D2EFBE" w:rsidR="00034CD6" w:rsidRPr="00034CD6" w:rsidRDefault="00034CD6" w:rsidP="00034CD6">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hAnsi="Arial"/>
                <w:color w:val="auto"/>
                <w:sz w:val="20"/>
                <w:szCs w:val="20"/>
                <w:lang w:val="en-GB"/>
              </w:rPr>
            </w:pPr>
            <w:r w:rsidRPr="00034CD6">
              <w:rPr>
                <w:rFonts w:ascii="Arial" w:hAnsi="Arial"/>
                <w:color w:val="auto"/>
                <w:sz w:val="20"/>
                <w:szCs w:val="20"/>
                <w:lang w:val="en-GB"/>
              </w:rPr>
              <w:t>Triển khai nâng cấp hạ tầng băng thông rộng và internet di động tại các khu vực ưu tiên cao.</w:t>
            </w:r>
          </w:p>
          <w:p w14:paraId="13B26FE2" w14:textId="1B3C2C23" w:rsidR="00074C4C" w:rsidRPr="004F1D15" w:rsidRDefault="00034CD6" w:rsidP="00034CD6">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034CD6">
              <w:rPr>
                <w:rFonts w:ascii="Arial" w:hAnsi="Arial"/>
                <w:color w:val="auto"/>
                <w:sz w:val="20"/>
                <w:szCs w:val="20"/>
                <w:lang w:val="en-GB"/>
              </w:rPr>
              <w:lastRenderedPageBreak/>
              <w:t>Theo dõi tác động của kết nối số được cải thiện đối với việc áp dụng và sử dụng công nghệ đám mây</w:t>
            </w:r>
            <w:r w:rsidR="00074C4C" w:rsidRPr="004F1D15">
              <w:rPr>
                <w:rFonts w:ascii="Arial" w:eastAsia="DengXian" w:hAnsi="Arial"/>
                <w:color w:val="auto"/>
                <w:sz w:val="20"/>
                <w:szCs w:val="20"/>
                <w:lang w:val="en-GB"/>
              </w:rPr>
              <w:t>.</w:t>
            </w:r>
            <w:r w:rsidR="00C16B1B">
              <w:rPr>
                <w:rFonts w:ascii="Arial" w:eastAsia="DengXian" w:hAnsi="Arial"/>
                <w:color w:val="auto"/>
                <w:sz w:val="20"/>
                <w:szCs w:val="20"/>
                <w:lang w:val="en-GB"/>
              </w:rPr>
              <w:br/>
            </w:r>
          </w:p>
          <w:p w14:paraId="6477596F" w14:textId="1E750DB1" w:rsidR="00C235CA" w:rsidRPr="004F1D15" w:rsidRDefault="00034CD6">
            <w:pPr>
              <w:cnfStyle w:val="000000100000" w:firstRow="0" w:lastRow="0" w:firstColumn="0" w:lastColumn="0" w:oddVBand="0" w:evenVBand="0" w:oddHBand="1" w:evenHBand="0" w:firstRowFirstColumn="0" w:firstRowLastColumn="0" w:lastRowFirstColumn="0" w:lastRowLastColumn="0"/>
              <w:rPr>
                <w:sz w:val="20"/>
                <w:szCs w:val="20"/>
              </w:rPr>
            </w:pPr>
            <w:r w:rsidRPr="00034CD6">
              <w:rPr>
                <w:sz w:val="20"/>
                <w:szCs w:val="20"/>
              </w:rPr>
              <w:t>Dài hạn</w:t>
            </w:r>
            <w:r w:rsidR="00C235CA" w:rsidRPr="004F1D15">
              <w:rPr>
                <w:sz w:val="20"/>
                <w:szCs w:val="20"/>
              </w:rPr>
              <w:t>:</w:t>
            </w:r>
          </w:p>
          <w:p w14:paraId="55FCBAC6" w14:textId="77777777" w:rsidR="00034CD6" w:rsidRPr="00034CD6" w:rsidRDefault="00034CD6" w:rsidP="00034CD6">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034CD6">
              <w:rPr>
                <w:rFonts w:ascii="Arial" w:eastAsia="DengXian" w:hAnsi="Arial"/>
                <w:color w:val="auto"/>
                <w:sz w:val="20"/>
                <w:szCs w:val="20"/>
                <w:lang w:val="en-GB"/>
              </w:rPr>
              <w:t>Lập kế hoạch cho các nâng cấp và mở rộng hạ tầng điện toán đám mây và trung tâm dữ liệu trong tương lai nhằm đáp ứng tiến bộ công nghệ.</w:t>
            </w:r>
          </w:p>
          <w:p w14:paraId="3C1678DC" w14:textId="73761E7B" w:rsidR="00C235CA" w:rsidRPr="00516087" w:rsidRDefault="00034CD6" w:rsidP="00034CD6">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034CD6">
              <w:rPr>
                <w:rFonts w:ascii="Arial" w:eastAsia="DengXian" w:hAnsi="Arial"/>
                <w:color w:val="auto"/>
                <w:sz w:val="20"/>
                <w:szCs w:val="20"/>
                <w:lang w:val="en-GB"/>
              </w:rPr>
              <w:t>Thúc đẩy đổi mới liên tục và áp dụng các công nghệ mới</w:t>
            </w:r>
            <w:r w:rsidR="00C235CA" w:rsidRPr="00516087">
              <w:rPr>
                <w:rFonts w:ascii="Arial" w:eastAsia="DengXian" w:hAnsi="Arial"/>
                <w:color w:val="auto"/>
                <w:sz w:val="20"/>
                <w:szCs w:val="20"/>
                <w:lang w:val="en-GB"/>
              </w:rPr>
              <w:t>.</w:t>
            </w:r>
            <w:r w:rsidR="00074C4C" w:rsidRPr="00516087" w:rsidDel="00F468EC">
              <w:rPr>
                <w:rFonts w:ascii="Arial" w:eastAsia="DengXian" w:hAnsi="Arial"/>
                <w:color w:val="auto"/>
                <w:sz w:val="20"/>
                <w:szCs w:val="20"/>
                <w:lang w:val="en-GB"/>
              </w:rPr>
              <w:t xml:space="preserve"> </w:t>
            </w:r>
          </w:p>
        </w:tc>
        <w:tc>
          <w:tcPr>
            <w:tcW w:w="2318" w:type="dxa"/>
            <w:gridSpan w:val="2"/>
            <w:tcBorders>
              <w:left w:val="single" w:sz="4" w:space="0" w:color="156082"/>
              <w:right w:val="single" w:sz="4" w:space="0" w:color="156082"/>
            </w:tcBorders>
          </w:tcPr>
          <w:p w14:paraId="4527626B" w14:textId="0A3C2E73" w:rsidR="00C235CA" w:rsidRPr="004F1D15" w:rsidRDefault="00034CD6">
            <w:pPr>
              <w:cnfStyle w:val="000000100000" w:firstRow="0" w:lastRow="0" w:firstColumn="0" w:lastColumn="0" w:oddVBand="0" w:evenVBand="0" w:oddHBand="1" w:evenHBand="0" w:firstRowFirstColumn="0" w:firstRowLastColumn="0" w:lastRowFirstColumn="0" w:lastRowLastColumn="0"/>
              <w:rPr>
                <w:sz w:val="20"/>
                <w:szCs w:val="20"/>
              </w:rPr>
            </w:pPr>
            <w:r w:rsidRPr="00034CD6">
              <w:rPr>
                <w:sz w:val="20"/>
                <w:szCs w:val="20"/>
              </w:rPr>
              <w:lastRenderedPageBreak/>
              <w:t>Cơ quan Chủ trì</w:t>
            </w:r>
            <w:r w:rsidR="1009E553" w:rsidRPr="004F1D15">
              <w:rPr>
                <w:sz w:val="20"/>
                <w:szCs w:val="20"/>
              </w:rPr>
              <w:t>:</w:t>
            </w:r>
          </w:p>
          <w:p w14:paraId="12F77C30" w14:textId="5742145A" w:rsidR="00C235CA" w:rsidRPr="004F1D15" w:rsidRDefault="00034CD6" w:rsidP="0046731B">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034CD6">
              <w:rPr>
                <w:rFonts w:ascii="Arial" w:eastAsia="DengXian" w:hAnsi="Arial"/>
                <w:sz w:val="20"/>
                <w:szCs w:val="20"/>
                <w:lang w:val="en-GB"/>
              </w:rPr>
              <w:t xml:space="preserve">Ủy ban Khoa học, Công nghệ và Đổi mới ASEAN </w:t>
            </w:r>
            <w:r w:rsidR="00AF024D" w:rsidRPr="00AF024D">
              <w:rPr>
                <w:rFonts w:ascii="Arial" w:eastAsia="DengXian" w:hAnsi="Arial"/>
                <w:sz w:val="20"/>
                <w:szCs w:val="20"/>
                <w:lang w:val="en-GB"/>
              </w:rPr>
              <w:t>(COSTI)</w:t>
            </w:r>
          </w:p>
        </w:tc>
        <w:tc>
          <w:tcPr>
            <w:tcW w:w="3774" w:type="dxa"/>
            <w:gridSpan w:val="2"/>
            <w:tcBorders>
              <w:left w:val="single" w:sz="4" w:space="0" w:color="156082"/>
            </w:tcBorders>
          </w:tcPr>
          <w:p w14:paraId="3B6404B2" w14:textId="63FF512D" w:rsidR="00C235CA" w:rsidRPr="004F1D15" w:rsidRDefault="00034CD6">
            <w:pPr>
              <w:cnfStyle w:val="000000100000" w:firstRow="0" w:lastRow="0" w:firstColumn="0" w:lastColumn="0" w:oddVBand="0" w:evenVBand="0" w:oddHBand="1" w:evenHBand="0" w:firstRowFirstColumn="0" w:firstRowLastColumn="0" w:lastRowFirstColumn="0" w:lastRowLastColumn="0"/>
              <w:rPr>
                <w:sz w:val="20"/>
                <w:szCs w:val="20"/>
              </w:rPr>
            </w:pPr>
            <w:r w:rsidRPr="00034CD6">
              <w:rPr>
                <w:sz w:val="20"/>
                <w:szCs w:val="20"/>
              </w:rPr>
              <w:t>Các chỉ số tiến độ chung</w:t>
            </w:r>
            <w:r w:rsidR="00C235CA" w:rsidRPr="004F1D15">
              <w:rPr>
                <w:sz w:val="20"/>
                <w:szCs w:val="20"/>
              </w:rPr>
              <w:t>:</w:t>
            </w:r>
          </w:p>
          <w:p w14:paraId="77941A4F" w14:textId="33DDD305" w:rsidR="00074C4C" w:rsidRPr="004F1D15" w:rsidRDefault="00034CD6" w:rsidP="00C82E40">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b/>
                <w:color w:val="auto"/>
                <w:sz w:val="20"/>
                <w:szCs w:val="20"/>
                <w:lang w:val="en-GB"/>
              </w:rPr>
            </w:pPr>
            <w:r w:rsidRPr="00034CD6">
              <w:rPr>
                <w:rFonts w:ascii="Arial" w:hAnsi="Arial"/>
                <w:b/>
                <w:color w:val="auto"/>
                <w:sz w:val="20"/>
                <w:szCs w:val="20"/>
                <w:lang w:val="en-GB"/>
              </w:rPr>
              <w:t xml:space="preserve">Mức độ sẵn sàng hạ tầng: </w:t>
            </w:r>
            <w:r w:rsidRPr="00034CD6">
              <w:rPr>
                <w:rFonts w:ascii="Arial" w:hAnsi="Arial"/>
                <w:bCs/>
                <w:color w:val="auto"/>
                <w:sz w:val="20"/>
                <w:szCs w:val="20"/>
                <w:lang w:val="en-GB"/>
              </w:rPr>
              <w:t>Xây dựng và theo dõi chỉ số về kết nối băng thông rộng và mức độ sẵn có của trung tâm dữ liệu trong toàn ASEAN</w:t>
            </w:r>
            <w:r w:rsidR="00074C4C" w:rsidRPr="00034CD6">
              <w:rPr>
                <w:rFonts w:ascii="Arial" w:hAnsi="Arial"/>
                <w:bCs/>
                <w:color w:val="auto"/>
                <w:sz w:val="20"/>
                <w:szCs w:val="20"/>
                <w:lang w:val="en-GB"/>
              </w:rPr>
              <w:t>.</w:t>
            </w:r>
          </w:p>
          <w:p w14:paraId="1C756A29" w14:textId="7E244810" w:rsidR="00074C4C" w:rsidRPr="00516087" w:rsidRDefault="00E338F4" w:rsidP="3A59857E">
            <w:pPr>
              <w:pStyle w:val="ListParagraph"/>
              <w:spacing w:after="0"/>
              <w:cnfStyle w:val="000000100000" w:firstRow="0" w:lastRow="0" w:firstColumn="0" w:lastColumn="0" w:oddVBand="0" w:evenVBand="0" w:oddHBand="1" w:evenHBand="0" w:firstRowFirstColumn="0" w:firstRowLastColumn="0" w:lastRowFirstColumn="0" w:lastRowLastColumn="0"/>
              <w:rPr>
                <w:rFonts w:ascii="Arial" w:eastAsia="DengXian" w:hAnsi="Arial"/>
                <w:color w:val="auto"/>
                <w:sz w:val="20"/>
                <w:szCs w:val="20"/>
                <w:lang w:val="en-GB"/>
              </w:rPr>
            </w:pPr>
            <w:r w:rsidRPr="00E338F4">
              <w:rPr>
                <w:rFonts w:ascii="Arial" w:eastAsia="DengXian" w:hAnsi="Arial"/>
                <w:b/>
                <w:color w:val="auto"/>
                <w:sz w:val="20"/>
                <w:szCs w:val="20"/>
                <w:lang w:val="en-GB"/>
              </w:rPr>
              <w:t xml:space="preserve">Đầu tư cho R&amp;D: </w:t>
            </w:r>
            <w:r w:rsidRPr="00E338F4">
              <w:rPr>
                <w:rFonts w:ascii="Arial" w:eastAsia="DengXian" w:hAnsi="Arial"/>
                <w:bCs/>
                <w:color w:val="auto"/>
                <w:sz w:val="20"/>
                <w:szCs w:val="20"/>
                <w:lang w:val="en-GB"/>
              </w:rPr>
              <w:t>Theo dõi mức đầu tư dành cho nghiên cứu và phát triển trong lĩnh vực điện toán đám mây</w:t>
            </w:r>
            <w:r w:rsidR="00074C4C" w:rsidRPr="00E338F4">
              <w:rPr>
                <w:rFonts w:ascii="Arial" w:eastAsia="DengXian" w:hAnsi="Arial"/>
                <w:bCs/>
                <w:color w:val="auto"/>
                <w:sz w:val="20"/>
                <w:szCs w:val="20"/>
                <w:lang w:val="en-GB"/>
              </w:rPr>
              <w:t>.</w:t>
            </w:r>
          </w:p>
          <w:p w14:paraId="02E875B4" w14:textId="5C076239" w:rsidR="00C235CA" w:rsidRPr="00516087" w:rsidRDefault="00E338F4" w:rsidP="000452BE">
            <w:pPr>
              <w:pStyle w:val="ListParagraph"/>
              <w:numPr>
                <w:ilvl w:val="0"/>
                <w:numId w:val="17"/>
              </w:numPr>
              <w:spacing w:after="0"/>
              <w:cnfStyle w:val="000000100000" w:firstRow="0" w:lastRow="0" w:firstColumn="0" w:lastColumn="0" w:oddVBand="0" w:evenVBand="0" w:oddHBand="1" w:evenHBand="0" w:firstRowFirstColumn="0" w:firstRowLastColumn="0" w:lastRowFirstColumn="0" w:lastRowLastColumn="0"/>
              <w:rPr>
                <w:color w:val="auto"/>
                <w:sz w:val="20"/>
                <w:szCs w:val="20"/>
                <w:lang w:val="en-GB"/>
              </w:rPr>
            </w:pPr>
            <w:r w:rsidRPr="00E338F4">
              <w:rPr>
                <w:rFonts w:ascii="Arial" w:eastAsia="DengXian" w:hAnsi="Arial"/>
                <w:b/>
                <w:color w:val="auto"/>
                <w:sz w:val="20"/>
                <w:szCs w:val="20"/>
                <w:lang w:val="en-GB"/>
              </w:rPr>
              <w:t xml:space="preserve">Kết quả từ các trung tâm đổi mới: </w:t>
            </w:r>
            <w:r w:rsidRPr="00E338F4">
              <w:rPr>
                <w:rFonts w:ascii="Arial" w:eastAsia="DengXian" w:hAnsi="Arial"/>
                <w:bCs/>
                <w:color w:val="auto"/>
                <w:sz w:val="20"/>
                <w:szCs w:val="20"/>
                <w:lang w:val="en-GB"/>
              </w:rPr>
              <w:t>Theo dõi số lượng dự án thành công và startup được hình thành từ các trung tâm đổi mới và sandbox.</w:t>
            </w:r>
          </w:p>
        </w:tc>
      </w:tr>
    </w:tbl>
    <w:p w14:paraId="4AFA1D60" w14:textId="77777777" w:rsidR="00C235CA" w:rsidRDefault="00C235CA" w:rsidP="00C235CA"/>
    <w:p w14:paraId="0344257D" w14:textId="632F576B" w:rsidR="6BB67ADE" w:rsidRDefault="6BB67ADE" w:rsidP="6BB67ADE">
      <w:pPr>
        <w:rPr>
          <w:sz w:val="20"/>
          <w:szCs w:val="20"/>
        </w:rPr>
      </w:pPr>
    </w:p>
    <w:p w14:paraId="706E8CB7" w14:textId="1DDBE6EE" w:rsidR="6BB67ADE" w:rsidRDefault="6BB67ADE" w:rsidP="6BB67ADE">
      <w:pPr>
        <w:rPr>
          <w:sz w:val="20"/>
          <w:szCs w:val="20"/>
        </w:rPr>
      </w:pPr>
    </w:p>
    <w:p w14:paraId="34333D37" w14:textId="77777777" w:rsidR="00676FFB" w:rsidRPr="00516087" w:rsidRDefault="00676FFB">
      <w:pPr>
        <w:pStyle w:val="Heading3"/>
        <w:numPr>
          <w:ilvl w:val="0"/>
          <w:numId w:val="0"/>
        </w:numPr>
        <w:rPr>
          <w:b/>
          <w:color w:val="44546A" w:themeColor="text2"/>
          <w:sz w:val="32"/>
          <w:szCs w:val="56"/>
          <w:lang w:val="en-GB"/>
        </w:rPr>
        <w:sectPr w:rsidR="00676FFB" w:rsidRPr="00516087" w:rsidSect="00F8678B">
          <w:pgSz w:w="16839" w:h="11907" w:orient="landscape" w:code="9"/>
          <w:pgMar w:top="720" w:right="720" w:bottom="720" w:left="720" w:header="0" w:footer="720" w:gutter="0"/>
          <w:cols w:space="720"/>
          <w:docGrid w:linePitch="360"/>
        </w:sectPr>
      </w:pPr>
    </w:p>
    <w:p w14:paraId="4451F1F4" w14:textId="63D40796" w:rsidR="00F91598" w:rsidRPr="00516087" w:rsidRDefault="00115F7D" w:rsidP="00F91598">
      <w:pPr>
        <w:pStyle w:val="Heading1"/>
        <w:rPr>
          <w:lang w:val="en-GB"/>
        </w:rPr>
      </w:pPr>
      <w:r>
        <w:rPr>
          <w:lang w:val="en-GB"/>
        </w:rPr>
        <w:lastRenderedPageBreak/>
        <w:t>Kết</w:t>
      </w:r>
      <w:r>
        <w:rPr>
          <w:lang w:val="vi-VN"/>
        </w:rPr>
        <w:t xml:space="preserve"> luận</w:t>
      </w:r>
    </w:p>
    <w:p w14:paraId="4F5EFC49" w14:textId="122DCF5D" w:rsidR="00A433CC" w:rsidRPr="00115F7D" w:rsidRDefault="00115F7D" w:rsidP="00596A06">
      <w:pPr>
        <w:spacing w:line="276" w:lineRule="auto"/>
        <w:rPr>
          <w:lang w:val="vi-VN"/>
        </w:rPr>
      </w:pPr>
      <w:r w:rsidRPr="00115F7D">
        <w:rPr>
          <w:lang w:val="vi-VN"/>
        </w:rPr>
        <w:t xml:space="preserve">Lộ trình </w:t>
      </w:r>
      <w:r w:rsidR="00F873B7">
        <w:rPr>
          <w:lang w:val="vi-VN"/>
        </w:rPr>
        <w:t>TCTMS</w:t>
      </w:r>
      <w:r w:rsidRPr="00115F7D">
        <w:rPr>
          <w:lang w:val="vi-VN"/>
        </w:rPr>
        <w:t xml:space="preserve"> của ASEAN ghi nhận rằng việc hài hòa hóa tiêu chuẩn đã được xác định là một ưu tiên then chốt nhằm tạo thuận lợi cho thương mại và hội nhập kinh tế trong khu vực, bao gồm trong Kế hoạch Tổng thể Cộng đồng Kinh tế ASEAN (AEC) 2025, Hiệp định Thương mại Hàng hóa ASEAN (ATIGA), Lộ trình Bandar Seri Begawan (BSB), Kế hoạch Tổng thể Số ASEAN (ADM) 2025, và Chiến lược Hợp tác An ninh mạng ASEAN 2021–2025. Dựa trên các sáng kiến trước đây về tiêu chuẩn và đánh giá sự phù hợp, đồng thời bổ trợ cho các sáng kiến số quan trọng đang triển khai trong khu vực, Lộ trình </w:t>
      </w:r>
      <w:r w:rsidR="00F873B7">
        <w:rPr>
          <w:lang w:val="vi-VN"/>
        </w:rPr>
        <w:t>TCTMS</w:t>
      </w:r>
      <w:r w:rsidRPr="00115F7D">
        <w:rPr>
          <w:lang w:val="vi-VN"/>
        </w:rPr>
        <w:t xml:space="preserve"> của ASEAN mang đến một góc nhìn tổng thể và cách tiếp cận có thứ tự ưu tiên hướng tới hài hòa hóa các tiêu chuẩn </w:t>
      </w:r>
      <w:r w:rsidR="00F873B7">
        <w:rPr>
          <w:lang w:val="vi-VN"/>
        </w:rPr>
        <w:t>TCTMS</w:t>
      </w:r>
      <w:r w:rsidRPr="00115F7D">
        <w:rPr>
          <w:lang w:val="vi-VN"/>
        </w:rPr>
        <w:t>, nhằm loại bỏ các rào cản phi thuế quan đối với thương mại, tạo thuận lợi cho thương mại số và hội nhập, và cuối cùng đóng góp vào tăng trưởng bền vững và bao trùm của ASEAN.</w:t>
      </w:r>
    </w:p>
    <w:p w14:paraId="78E18882" w14:textId="4465255C" w:rsidR="00F91598" w:rsidRDefault="00E63229" w:rsidP="00BE4D06">
      <w:pPr>
        <w:spacing w:line="276" w:lineRule="auto"/>
        <w:rPr>
          <w:rFonts w:eastAsia="Arial"/>
          <w:b/>
          <w:color w:val="44546A" w:themeColor="text2"/>
          <w:sz w:val="32"/>
          <w:szCs w:val="56"/>
        </w:rPr>
      </w:pPr>
      <w:r w:rsidRPr="00E63229">
        <w:rPr>
          <w:lang w:val="vi-VN"/>
        </w:rPr>
        <w:t xml:space="preserve">Do tính chất xuyên suốt của các tiêu chuẩn trong nhiều lĩnh vực then chốt đối với thương mại số, việc thực thi các khuyến nghị nêu trong Lộ trình </w:t>
      </w:r>
      <w:r w:rsidR="00F873B7">
        <w:rPr>
          <w:lang w:val="vi-VN"/>
        </w:rPr>
        <w:t>TCTMS</w:t>
      </w:r>
      <w:r w:rsidRPr="00E63229">
        <w:rPr>
          <w:lang w:val="vi-VN"/>
        </w:rPr>
        <w:t xml:space="preserve"> của ASEAN sẽ đòi hỏi sự hợp tác và điều phối liên tục giữa các nước AMS, các Cơ quan Ngành ASEAN, các Đối tác Đối thoại ASEAN, và khu vực doanh nghiệp. Bên cạnh đó, bối cảnh toàn cầu và khu vực liên tục thay đổi — bao gồm những tiến bộ công nghệ và vai trò của tiêu chuẩn — sẽ yêu cầu việc giám sát định kỳ, rà soát và có thể điều chỉnh khi phù hợp. Trong bối cảnh đó, các thủ tục rõ ràng và khuôn khổ thể chế nhằm tạo điều kiện hợp tác và điều phối, bao gồm với khu vực tư nhân, sẽ rất quan trọng và mang lại lợi ích đối với việc tối đa hóa và khai mở các lợi ích tiềm năng mà tiêu chuẩn </w:t>
      </w:r>
      <w:r w:rsidR="00F873B7">
        <w:rPr>
          <w:lang w:val="vi-VN"/>
        </w:rPr>
        <w:t>TCTMS</w:t>
      </w:r>
      <w:r w:rsidRPr="00E63229">
        <w:rPr>
          <w:lang w:val="vi-VN"/>
        </w:rPr>
        <w:t xml:space="preserve"> được hài hòa hóa mang lại cho khu vực.</w:t>
      </w:r>
      <w:r>
        <w:rPr>
          <w:lang w:val="vi-VN"/>
        </w:rPr>
        <w:t xml:space="preserve"> </w:t>
      </w:r>
      <w:r w:rsidRPr="00E63229">
        <w:rPr>
          <w:lang w:val="vi-VN"/>
        </w:rPr>
        <w:t>Ngược lại, sự chậm trễ trong việc áp dụng và hài hòa hóa các tiêu chuẩn một cách hiệu quả để tăng cường khả năng tương tác có thể dẫn đến những cơ hội bị bỏ lỡ cho khu vực — về giảm chi phí, tiếp cận thị trường lớn hơn, tăng cường thương mại, hỗ trợ việc làm và thúc đẩy hòa nhập.</w:t>
      </w:r>
      <w:r w:rsidR="00F91598">
        <w:br w:type="page"/>
      </w:r>
    </w:p>
    <w:p w14:paraId="4E8B0BE0" w14:textId="5E5786E0" w:rsidR="00040A55" w:rsidRPr="00E63229" w:rsidRDefault="00E63229" w:rsidP="002F2AB3">
      <w:pPr>
        <w:pStyle w:val="Heading1"/>
        <w:pageBreakBefore w:val="0"/>
        <w:numPr>
          <w:ilvl w:val="0"/>
          <w:numId w:val="0"/>
        </w:numPr>
        <w:spacing w:before="0" w:after="0"/>
        <w:rPr>
          <w:lang w:val="vi-VN"/>
        </w:rPr>
      </w:pPr>
      <w:bookmarkStart w:id="649" w:name="_Toc180743984"/>
      <w:r>
        <w:rPr>
          <w:lang w:val="en-GB"/>
        </w:rPr>
        <w:lastRenderedPageBreak/>
        <w:t>Phụ</w:t>
      </w:r>
      <w:r>
        <w:rPr>
          <w:lang w:val="vi-VN"/>
        </w:rPr>
        <w:t xml:space="preserve"> lục</w:t>
      </w:r>
      <w:r w:rsidR="00F85C7A">
        <w:rPr>
          <w:lang w:val="en-GB"/>
        </w:rPr>
        <w:t xml:space="preserve"> I</w:t>
      </w:r>
      <w:r w:rsidR="00040A55">
        <w:rPr>
          <w:lang w:val="en-GB"/>
        </w:rPr>
        <w:t xml:space="preserve">: </w:t>
      </w:r>
      <w:r>
        <w:rPr>
          <w:lang w:val="en-GB"/>
        </w:rPr>
        <w:t>Các</w:t>
      </w:r>
      <w:r>
        <w:rPr>
          <w:lang w:val="vi-VN"/>
        </w:rPr>
        <w:t xml:space="preserve"> Sáng kiến Số chủ chốt của </w:t>
      </w:r>
      <w:r w:rsidR="00040A55">
        <w:rPr>
          <w:lang w:val="en-GB"/>
        </w:rPr>
        <w:t>ASEAN</w:t>
      </w:r>
      <w:bookmarkEnd w:id="649"/>
    </w:p>
    <w:p w14:paraId="13F648E2" w14:textId="77777777" w:rsidR="008C581E" w:rsidRDefault="008C581E" w:rsidP="00CF1A4A">
      <w:pPr>
        <w:spacing w:line="276" w:lineRule="auto"/>
      </w:pPr>
    </w:p>
    <w:p w14:paraId="561AFEDE" w14:textId="63C233B9" w:rsidR="6BB67ADE" w:rsidRPr="00E63229" w:rsidRDefault="00E63229" w:rsidP="00CF1A4A">
      <w:pPr>
        <w:spacing w:line="276" w:lineRule="auto"/>
        <w:rPr>
          <w:lang w:val="vi-VN"/>
        </w:rPr>
      </w:pPr>
      <w:r w:rsidRPr="00E63229">
        <w:rPr>
          <w:lang w:val="vi-VN"/>
        </w:rPr>
        <w:t xml:space="preserve">Lộ trình </w:t>
      </w:r>
      <w:r w:rsidR="00F873B7">
        <w:rPr>
          <w:lang w:val="vi-VN"/>
        </w:rPr>
        <w:t>TCTMS</w:t>
      </w:r>
      <w:r w:rsidRPr="00E63229">
        <w:rPr>
          <w:lang w:val="vi-VN"/>
        </w:rPr>
        <w:t xml:space="preserve"> của ASEAN hướng tới việc điều chỉnh, bổ trợ và đóng góp vào việc tăng cường các sáng kiến số chủ chốt của ASEAN. Như nêu tại Chương 1.3, việc hài hòa hóa các tiêu chuẩn thương mại số đóng vai trò quan trọng trong việc tạo thuận lợi và đẩy nhanh thương mại số cũng như hội nhập trong khu vực. Bằng cách thiết lập các tiêu chuẩn kỹ thuật và pháp lý đồng nhất, ASEAN có thể thúc đẩy khả năng tương tác tốt hơn, tinh giản các quy trình thương mại số và mở rộng khả năng tiếp cận thị trường, từ đó thúc đẩy tăng trưởng bền vững, bao trùm và mang tính khu vực.</w:t>
      </w:r>
    </w:p>
    <w:p w14:paraId="0589AAC2" w14:textId="0582D3BF" w:rsidR="6BB67ADE" w:rsidRPr="00E63229" w:rsidRDefault="00E63229" w:rsidP="00B22C77">
      <w:pPr>
        <w:pStyle w:val="Heading2"/>
        <w:numPr>
          <w:ilvl w:val="0"/>
          <w:numId w:val="0"/>
        </w:numPr>
        <w:rPr>
          <w:lang w:val="vi-VN"/>
        </w:rPr>
      </w:pPr>
      <w:r w:rsidRPr="00E63229">
        <w:rPr>
          <w:lang w:val="vi-VN"/>
        </w:rPr>
        <w:t>Các Sáng kiến Số Xuyên suốt của ASEAN</w:t>
      </w:r>
    </w:p>
    <w:p w14:paraId="7918DD72" w14:textId="26DCF1A3" w:rsidR="6BB67ADE" w:rsidRPr="00F2143D" w:rsidRDefault="00F2143D" w:rsidP="00CF1A4A">
      <w:pPr>
        <w:spacing w:before="240" w:line="276" w:lineRule="auto"/>
        <w:rPr>
          <w:b/>
          <w:bCs/>
          <w:lang w:val="vi-VN"/>
        </w:rPr>
      </w:pPr>
      <w:r w:rsidRPr="00F2143D">
        <w:rPr>
          <w:b/>
          <w:bCs/>
          <w:lang w:val="vi-VN"/>
        </w:rPr>
        <w:t>Kế hoạch Tổng thể Số ASEAN 2025 (ADM 2025)</w:t>
      </w:r>
    </w:p>
    <w:p w14:paraId="17D2EC73" w14:textId="1E18E2E2" w:rsidR="6BB67ADE" w:rsidRPr="00F2143D" w:rsidRDefault="00F2143D" w:rsidP="00CF1A4A">
      <w:pPr>
        <w:spacing w:line="276" w:lineRule="auto"/>
        <w:rPr>
          <w:lang w:val="vi-VN"/>
        </w:rPr>
      </w:pPr>
      <w:r w:rsidRPr="00F2143D">
        <w:rPr>
          <w:lang w:val="vi-VN"/>
        </w:rPr>
        <w:t>Kế hoạch Tổng thể Số ASEAN 2025 (ADM 2025) là khuôn khổ chiến lược nhằm định hướng quá trình chuyển đổi số của khu vực</w:t>
      </w:r>
      <w:r w:rsidRPr="6BB67ADE">
        <w:rPr>
          <w:rStyle w:val="FootnoteReference"/>
        </w:rPr>
        <w:footnoteReference w:id="370"/>
      </w:r>
      <w:r w:rsidRPr="00F2143D">
        <w:rPr>
          <w:lang w:val="vi-VN"/>
        </w:rPr>
        <w:t>. Kế hoạch tập trung vào tăng cường hạ tầng số, thúc đẩy đổi mới sáng tạo số và phát triển kỹ năng số trên toàn các quốc gia thành viên ASEAN. Kế hoạch này đề ra các sáng kiến trọng tâm để cải thiện kết nối, an ninh mạng và khuôn khổ pháp lý, nhằm tạo ra môi trường thuận lợi cho tăng trưởng số.</w:t>
      </w:r>
    </w:p>
    <w:p w14:paraId="1E7BDF23" w14:textId="46B28E8B" w:rsidR="6BB67ADE" w:rsidRPr="00F2143D" w:rsidRDefault="00F2143D" w:rsidP="00CF1A4A">
      <w:pPr>
        <w:spacing w:line="276" w:lineRule="auto"/>
        <w:rPr>
          <w:lang w:val="vi-VN"/>
        </w:rPr>
      </w:pPr>
      <w:r w:rsidRPr="00F2143D">
        <w:rPr>
          <w:lang w:val="vi-VN"/>
        </w:rPr>
        <w:t>Động lực thúc đẩy sáng kiến này bao gồm quá trình số hóa nhanh chóng của các nền kinh tế và nhu cầu về một cách tiếp cận khu vực mang tính điều phối nhằm tối đa hóa lợi ích của kinh tế số. Kế hoạch giải quyết sự chênh lệch về mức độ sẵn sàng số giữa các quốc gia thành viên và hướng tới xây dựng hệ sinh thái số bao trùm, linh hoạt hơn. ADM 2025 hỗ trợ các mục tiêu rộng lớn hơn của ASEAN về hội nhập kinh tế, năng lực cạnh tranh và phát triển bền vững bằng cách tận dụng công nghệ số để thúc đẩy tăng trưởng và đổi mới.</w:t>
      </w:r>
    </w:p>
    <w:p w14:paraId="02E546B5" w14:textId="6ABA0505" w:rsidR="6BB67ADE" w:rsidRPr="00F2143D" w:rsidRDefault="00F2143D" w:rsidP="00CF1A4A">
      <w:pPr>
        <w:spacing w:line="276" w:lineRule="auto"/>
        <w:rPr>
          <w:lang w:val="vi-VN"/>
        </w:rPr>
      </w:pPr>
      <w:r w:rsidRPr="00F2143D">
        <w:rPr>
          <w:lang w:val="vi-VN"/>
        </w:rPr>
        <w:t>Tầm quan trọng của ADM 2025 nằm ở khả năng chuyển đổi mạnh mẽ diện mạo số của khu vực. Bằng cách ưu tiên phát triển hạ tầng, đổi mới sáng tạo và nâng cao kỹ năng, kế hoạch hướng tới thu hẹp khoảng cách số, gia tăng năng suất kinh tế và tăng cường năng lực cạnh tranh toàn cầu của khu vực. Đây là bước đi quan trọng hướng tới một ASEAN được kết nối số và hội nhập kinh tế, thúc đẩy hợp tác sâu rộng và thịnh vượng chung giữa các quốc gia thành viên.</w:t>
      </w:r>
    </w:p>
    <w:p w14:paraId="502C7A60" w14:textId="72A7F0F6" w:rsidR="6BB67ADE" w:rsidRPr="00F2143D" w:rsidRDefault="00F2143D" w:rsidP="00F2143D">
      <w:pPr>
        <w:tabs>
          <w:tab w:val="left" w:pos="3819"/>
        </w:tabs>
        <w:spacing w:line="276" w:lineRule="auto"/>
        <w:rPr>
          <w:b/>
          <w:bCs/>
          <w:lang w:val="vi-VN"/>
        </w:rPr>
      </w:pPr>
      <w:r w:rsidRPr="00F2143D">
        <w:rPr>
          <w:b/>
          <w:bCs/>
          <w:lang w:val="vi-VN"/>
        </w:rPr>
        <w:t>Kế hoạch Tổng thể ICT ASEAN 2020</w:t>
      </w:r>
      <w:r>
        <w:rPr>
          <w:b/>
          <w:bCs/>
        </w:rPr>
        <w:tab/>
      </w:r>
      <w:r>
        <w:rPr>
          <w:b/>
          <w:bCs/>
          <w:lang w:val="vi-VN"/>
        </w:rPr>
        <w:t xml:space="preserve"> </w:t>
      </w:r>
    </w:p>
    <w:p w14:paraId="78CDB93F" w14:textId="68AA95C7" w:rsidR="6BB67ADE" w:rsidRDefault="00F2143D" w:rsidP="00CF1A4A">
      <w:pPr>
        <w:spacing w:line="276" w:lineRule="auto"/>
      </w:pPr>
      <w:r w:rsidRPr="00F2143D">
        <w:rPr>
          <w:lang w:val="vi-VN"/>
        </w:rPr>
        <w:t>Kế hoạch Tổng thể ICT ASEAN 2020 đưa ra một khuôn khổ chiến lược nhằm tăng cường kết nối, thúc đẩy đổi mới trong công nghệ thông tin và truyền thông (ICT) cũng như xây dựng kỹ năng số để thúc đẩy tăng trưởng kinh tế và hội nhập khu vực.</w:t>
      </w:r>
      <w:r w:rsidR="6BB67ADE" w:rsidRPr="6BB67ADE">
        <w:rPr>
          <w:rStyle w:val="FootnoteReference"/>
        </w:rPr>
        <w:footnoteReference w:id="371"/>
      </w:r>
    </w:p>
    <w:p w14:paraId="1ADF8EA2" w14:textId="1C3B7C06" w:rsidR="6BB67ADE" w:rsidRPr="00F2143D" w:rsidRDefault="00F2143D" w:rsidP="00CF1A4A">
      <w:pPr>
        <w:spacing w:line="276" w:lineRule="auto"/>
        <w:rPr>
          <w:lang w:val="vi-VN"/>
        </w:rPr>
      </w:pPr>
      <w:r w:rsidRPr="00F2143D">
        <w:rPr>
          <w:lang w:val="vi-VN"/>
        </w:rPr>
        <w:t>Các yếu tố thúc đẩy sáng kiến này bao gồm nhu cầu cải thiện hạ tầng số, giải quyết sự chênh lệch trong phát triển ICT giữa các quốc gia thành viên và hỗ trợ nền kinh tế số. Bằng cách điều chỉnh phù hợp với các mục tiêu rộng hơn của ASEAN về hội nhập kinh tế và năng lực cạnh tranh, Kế hoạch Tổng thể này hướng tới việc xây dựng một khu vực kết nối hơn và tiến bộ hơn về công nghệ.</w:t>
      </w:r>
    </w:p>
    <w:p w14:paraId="1E5622ED" w14:textId="532B9EB3" w:rsidR="6BB67ADE" w:rsidRPr="00F2143D" w:rsidRDefault="00F2143D" w:rsidP="00CF1A4A">
      <w:pPr>
        <w:spacing w:line="276" w:lineRule="auto"/>
        <w:rPr>
          <w:lang w:val="vi-VN"/>
        </w:rPr>
      </w:pPr>
      <w:r w:rsidRPr="00F2143D">
        <w:rPr>
          <w:lang w:val="vi-VN"/>
        </w:rPr>
        <w:t xml:space="preserve">Kế hoạch ICT ASEAN 2020 đóng vai trò quan trọng trong việc định hướng tăng trưởng chuyển đổi số và thu hẹp khoảng cách số trong khu vực. Bằng cách đặt ra các ưu tiên và mục tiêu rõ ràng cho </w:t>
      </w:r>
      <w:r w:rsidRPr="00F2143D">
        <w:rPr>
          <w:lang w:val="vi-VN"/>
        </w:rPr>
        <w:lastRenderedPageBreak/>
        <w:t>phát triển ICT, kế hoạch giúp các quốc gia thành viên nâng cao năng lực số, hỗ trợ đổi mới và thúc đẩy tăng trưởng kinh tế. Sáng kiến này đóng góp vào một nền kinh tế số tích hợp và linh hoạt hơn, tạo điều kiện cho hợp tác khu vực và tăng cường năng lực cạnh tranh toàn cầu của ASEAN.</w:t>
      </w:r>
    </w:p>
    <w:p w14:paraId="711BFCAE" w14:textId="0BDFDE87" w:rsidR="6BB67ADE" w:rsidRPr="00F2143D" w:rsidRDefault="00F2143D" w:rsidP="00CF1A4A">
      <w:pPr>
        <w:spacing w:line="276" w:lineRule="auto"/>
        <w:rPr>
          <w:b/>
          <w:bCs/>
          <w:lang w:val="vi-VN"/>
        </w:rPr>
      </w:pPr>
      <w:r w:rsidRPr="00F2143D">
        <w:rPr>
          <w:b/>
          <w:bCs/>
          <w:lang w:val="vi-VN"/>
        </w:rPr>
        <w:t>Kế hoạch Tổng thể Số ASEAN 2030 (ADM 2030) – Dự kiến hoàn thiện vào năm 2025</w:t>
      </w:r>
    </w:p>
    <w:p w14:paraId="37D11AF2" w14:textId="78CB3840" w:rsidR="6BB67ADE" w:rsidRPr="00F2143D" w:rsidRDefault="00F2143D" w:rsidP="00CF1A4A">
      <w:pPr>
        <w:spacing w:line="276" w:lineRule="auto"/>
        <w:rPr>
          <w:lang w:val="vi-VN"/>
        </w:rPr>
      </w:pPr>
      <w:r w:rsidRPr="00F2143D">
        <w:rPr>
          <w:lang w:val="vi-VN"/>
        </w:rPr>
        <w:t>Kế hoạch Tổng thể Số ASEAN 2030 (ADM 2030) được thiết kế nhằm thúc đẩy nhanh quá trình chuyển đổi số trên toàn khu vực ASEAN, dựa trên các thành quả đạt được từ ADM 2025. Bằng cách tích hợp các khuyến nghị từ Nghiên cứu Đánh giá giữa kỳ ADM 2025 và đưa ra các giải pháp nhằm giải quyết những thách thức trong giai đoạn triển khai trước đó, ADM 2030 đảm bảo rằng hệ sinh thái số của ASEAN tiếp tục phát triển và hoàn thiện.</w:t>
      </w:r>
    </w:p>
    <w:p w14:paraId="7E6550B1" w14:textId="5488B664" w:rsidR="6BB67ADE" w:rsidRPr="00F2143D" w:rsidRDefault="00F2143D" w:rsidP="00CF1A4A">
      <w:pPr>
        <w:spacing w:line="276" w:lineRule="auto"/>
        <w:rPr>
          <w:lang w:val="vi-VN"/>
        </w:rPr>
      </w:pPr>
      <w:r w:rsidRPr="00F2143D">
        <w:rPr>
          <w:lang w:val="vi-VN"/>
        </w:rPr>
        <w:t>Các động lực thúc đẩy ADM 2030 bao gồm nhu cầu duy trì đà phát triển số, khắc phục các khoảng trống được xác định trong ADM 2025 và điều chỉnh nỗ lực khu vực phù hợp với các mục tiêu rộng hơn của Tầm nhìn Cộng đồng ASEAN 2045. Sáng kiến này hỗ trợ mục tiêu của ASEAN hướng tới một khu vực được số hóa, tích hợp và đổi mới bằng cách tăng cường hợp tác và tận dụng các công nghệ mới nổi.</w:t>
      </w:r>
    </w:p>
    <w:p w14:paraId="407C43D6" w14:textId="13202600" w:rsidR="6BB67ADE" w:rsidRPr="00F2143D" w:rsidRDefault="00F2143D" w:rsidP="00CF1A4A">
      <w:pPr>
        <w:spacing w:line="276" w:lineRule="auto"/>
        <w:rPr>
          <w:lang w:val="vi-VN"/>
        </w:rPr>
      </w:pPr>
      <w:r w:rsidRPr="00F2143D">
        <w:rPr>
          <w:lang w:val="vi-VN"/>
        </w:rPr>
        <w:t>Tầm quan trọng của ADM 2030 nằm ở vai trò của nó như một lộ trình cho tương lai số của ASEAN, cung cấp các chiến lược phù hợp để dẫn dắt các quốc gia thành viên trong giai đoạn tiếp theo của phát triển số. Bằng cách giải quyết các thách thức trước đây và xác định rõ mục tiêu tương lai, ADM 2030 bảo đảm rằng ASEAN tiếp tục tiến tới một nền kinh tế số kết nối, bao trùm và bền vững vào năm 2030.</w:t>
      </w:r>
    </w:p>
    <w:p w14:paraId="26BE3AF9" w14:textId="72FD60A1" w:rsidR="6BB67ADE" w:rsidRPr="00B60A13" w:rsidRDefault="00B60A13" w:rsidP="00B22C77">
      <w:pPr>
        <w:pStyle w:val="Heading2"/>
        <w:numPr>
          <w:ilvl w:val="0"/>
          <w:numId w:val="0"/>
        </w:numPr>
        <w:spacing w:line="276" w:lineRule="auto"/>
        <w:rPr>
          <w:lang w:val="vi-VN"/>
        </w:rPr>
      </w:pPr>
      <w:r w:rsidRPr="00B60A13">
        <w:rPr>
          <w:lang w:val="vi-VN"/>
        </w:rPr>
        <w:t>Các Sáng kiến Số Chủ chốt của ASEAN liên quan đến Hậu cần và Giao hàng trong Thương mại Số</w:t>
      </w:r>
    </w:p>
    <w:p w14:paraId="36D33C1F" w14:textId="65E7D8BC" w:rsidR="6BB67ADE" w:rsidRPr="00B60A13" w:rsidRDefault="00B60A13" w:rsidP="00CF1A4A">
      <w:pPr>
        <w:spacing w:before="240" w:line="276" w:lineRule="auto"/>
        <w:rPr>
          <w:b/>
          <w:bCs/>
          <w:lang w:val="vi-VN"/>
        </w:rPr>
      </w:pPr>
      <w:r w:rsidRPr="00B60A13">
        <w:rPr>
          <w:b/>
          <w:bCs/>
          <w:lang w:val="vi-VN"/>
        </w:rPr>
        <w:t>Cơ chế Một cửa ASEAN (ASEAN Single Window – ASW)</w:t>
      </w:r>
    </w:p>
    <w:p w14:paraId="4D2BCA0A" w14:textId="4A0A7584" w:rsidR="6BB67ADE" w:rsidRPr="00B60A13" w:rsidRDefault="00B60A13" w:rsidP="00CF1A4A">
      <w:pPr>
        <w:spacing w:before="240" w:line="276" w:lineRule="auto"/>
        <w:rPr>
          <w:lang w:val="vi-VN"/>
        </w:rPr>
      </w:pPr>
      <w:r w:rsidRPr="00B60A13">
        <w:rPr>
          <w:lang w:val="vi-VN"/>
        </w:rPr>
        <w:t>Cơ chế Một cửa ASEAN (ASW) là một sáng kiến khu vực nhằm đẩy nhanh và đơn giản hóa quy trình thông quan giữa các quốc gia thành viên ASEAN</w:t>
      </w:r>
      <w:r w:rsidRPr="6BB67ADE">
        <w:rPr>
          <w:rStyle w:val="FootnoteReference"/>
        </w:rPr>
        <w:footnoteReference w:id="372"/>
      </w:r>
      <w:r w:rsidRPr="00B60A13">
        <w:rPr>
          <w:lang w:val="vi-VN"/>
        </w:rPr>
        <w:t>. Cơ chế này tạo thuận lợi cho việc trao đổi điện tử các chứng từ liên quan đến thương mại, qua đó tăng tốc và cải thiện hiệu quả xử lý hàng hóa qua biên giới. ASW kết nối các Cơ chế Một cửa Quốc gia (NSW) của từng nước thành viên, cho phép chia sẻ dữ liệu thông suốt và giảm nhu cầu sử dụng chứng từ giấy.</w:t>
      </w:r>
    </w:p>
    <w:p w14:paraId="57E4BFE2" w14:textId="55E95D85" w:rsidR="6BB67ADE" w:rsidRPr="00B60A13" w:rsidRDefault="00B60A13" w:rsidP="00CF1A4A">
      <w:pPr>
        <w:spacing w:line="276" w:lineRule="auto"/>
        <w:rPr>
          <w:lang w:val="vi-VN"/>
        </w:rPr>
      </w:pPr>
      <w:r w:rsidRPr="00B60A13">
        <w:rPr>
          <w:lang w:val="vi-VN"/>
        </w:rPr>
        <w:t>Các động lực thúc đẩy sáng kiến này bao gồm nhu cầu tăng cường tạo thuận lợi thương mại, giảm chi phí logistics và cải thiện hiệu quả tổng thể của chuỗi cung ứng trong khu vực. ASW giải quyết các thách thức như thủ tục hành chính chậm trễ, quy trình hải quan không đồng nhất và chi phí giao dịch cao. Bằng cách tinh giản các quy trình này, ASW hỗ trợ mục tiêu rộng lớn hơn của ASEAN về hội nhập kinh tế và nâng cao năng lực cạnh tranh.</w:t>
      </w:r>
    </w:p>
    <w:p w14:paraId="3CB33711" w14:textId="44A436D3" w:rsidR="00C1681D" w:rsidRPr="0052439E" w:rsidRDefault="00B60A13" w:rsidP="0052439E">
      <w:pPr>
        <w:spacing w:line="276" w:lineRule="auto"/>
        <w:rPr>
          <w:lang w:val="vi-VN"/>
        </w:rPr>
      </w:pPr>
      <w:r w:rsidRPr="00B60A13">
        <w:rPr>
          <w:lang w:val="vi-VN"/>
        </w:rPr>
        <w:t xml:space="preserve">Cơ chế Một cửa ASEAN là một sáng kiến khu vực quan trọng nhằm thúc đẩy thương mại và đầu tư nội khối. Bằng việc cung cấp một hệ thống thông quan hiệu quả và minh bạch hơn, ASW giúp giảm thời gian và chi phí vận chuyển hàng hóa qua biên giới. Sáng kiến này không chỉ nâng cao môi trường kinh doanh trong ASEAN mà còn củng cố vị thế của khu vực như một trung tâm thương mại toàn cầu. ASW đóng vai trò then chốt trong thúc đẩy tăng trưởng kinh tế, củng cố hợp tác khu </w:t>
      </w:r>
      <w:r w:rsidRPr="00B60A13">
        <w:rPr>
          <w:lang w:val="vi-VN"/>
        </w:rPr>
        <w:lastRenderedPageBreak/>
        <w:t>vực và hiện thực hóa tầm nhìn của Cộng đồng Kinh tế ASEAN về một thị trường và cơ sở sản xuất thống nhất.</w:t>
      </w:r>
    </w:p>
    <w:p w14:paraId="23E89379" w14:textId="3BCDD53C" w:rsidR="6BB67ADE" w:rsidRPr="0052439E" w:rsidRDefault="0052439E" w:rsidP="00CF1A4A">
      <w:pPr>
        <w:spacing w:line="276" w:lineRule="auto"/>
        <w:rPr>
          <w:b/>
          <w:bCs/>
          <w:lang w:val="vi-VN"/>
        </w:rPr>
      </w:pPr>
      <w:r w:rsidRPr="0052439E">
        <w:rPr>
          <w:b/>
          <w:bCs/>
          <w:lang w:val="vi-VN"/>
        </w:rPr>
        <w:t>Hệ thống Quá cảnh Hải quan ASEAN (ASEAN Customs Transit System – ACTS)</w:t>
      </w:r>
    </w:p>
    <w:p w14:paraId="44AA9D31" w14:textId="79E6A1FB" w:rsidR="6BB67ADE" w:rsidRPr="0052439E" w:rsidRDefault="0052439E" w:rsidP="00CF1A4A">
      <w:pPr>
        <w:spacing w:line="276" w:lineRule="auto"/>
        <w:rPr>
          <w:lang w:val="vi-VN"/>
        </w:rPr>
      </w:pPr>
      <w:r w:rsidRPr="0052439E">
        <w:rPr>
          <w:lang w:val="vi-VN"/>
        </w:rPr>
        <w:t>Hệ thống Quá cảnh Hải quan ASEAN (ACTS) được thiết kế nhằm tinh giản và tiêu chuẩn hóa thủ tục hải quan đối với hàng hóa quá cảnh giữa các quốc gia thành viên ASEAN</w:t>
      </w:r>
      <w:r w:rsidRPr="6BB67ADE">
        <w:rPr>
          <w:rStyle w:val="FootnoteReference"/>
        </w:rPr>
        <w:footnoteReference w:id="373"/>
      </w:r>
      <w:r w:rsidRPr="0052439E">
        <w:rPr>
          <w:lang w:val="vi-VN"/>
        </w:rPr>
        <w:t>. Hệ thống này cho phép theo dõi và quản lý điện tử hàng hóa di chuyển qua nhiều quốc gia, giúp giảm chậm trễ và tăng hiệu quả trong thương mại qua biên giới.</w:t>
      </w:r>
    </w:p>
    <w:p w14:paraId="351B6665" w14:textId="25BA79D0" w:rsidR="6BB67ADE" w:rsidRPr="0052439E" w:rsidRDefault="0052439E" w:rsidP="00CF1A4A">
      <w:pPr>
        <w:spacing w:line="276" w:lineRule="auto"/>
        <w:rPr>
          <w:lang w:val="vi-VN"/>
        </w:rPr>
      </w:pPr>
      <w:r w:rsidRPr="0052439E">
        <w:rPr>
          <w:lang w:val="vi-VN"/>
        </w:rPr>
        <w:t>ACTS được thúc đẩy bởi nhu cầu tăng cường tạo thuận lợi thương mại, rút ngắn thời gian quá cảnh và giảm gánh nặng hành chính. Hệ thống hỗ trợ các mục tiêu rộng hơn của ASEAN về hội nhập kinh tế khu vực và thương mại thông suốt bằng việc cung cấp một cơ chế thống nhất để quản lý hàng hóa quá cảnh.</w:t>
      </w:r>
    </w:p>
    <w:p w14:paraId="248BA42A" w14:textId="22B513BA" w:rsidR="6BB67ADE" w:rsidRPr="0052439E" w:rsidRDefault="0052439E" w:rsidP="00CF1A4A">
      <w:pPr>
        <w:spacing w:line="276" w:lineRule="auto"/>
        <w:rPr>
          <w:lang w:val="vi-VN"/>
        </w:rPr>
      </w:pPr>
      <w:r w:rsidRPr="0052439E">
        <w:rPr>
          <w:lang w:val="vi-VN"/>
        </w:rPr>
        <w:t>Ý nghĩa của ACTS nằm ở khả năng đơn giản hóa và tăng tốc quá trình vận chuyển hàng hóa qua biên giới, qua đó cải thiện hiệu quả thương mại và giảm chi phí. Bằng việc cung cấp một cách tiếp cận điều phối trong quá trình quá cảnh hải quan, ACTS giúp tăng cường kết nối thương mại khu vực và hỗ trợ sự phát triển của thương mại nội khối, đóng góp vào một nền kinh tế khu vực hội nhập và cạnh tranh hơn.</w:t>
      </w:r>
    </w:p>
    <w:p w14:paraId="1F7F3860" w14:textId="57A81370" w:rsidR="6BB67ADE" w:rsidRPr="0052439E" w:rsidRDefault="0052439E" w:rsidP="00B22C77">
      <w:pPr>
        <w:pStyle w:val="Heading2"/>
        <w:numPr>
          <w:ilvl w:val="0"/>
          <w:numId w:val="0"/>
        </w:numPr>
        <w:spacing w:line="276" w:lineRule="auto"/>
        <w:rPr>
          <w:lang w:val="vi-VN"/>
        </w:rPr>
      </w:pPr>
      <w:r w:rsidRPr="0052439E">
        <w:rPr>
          <w:lang w:val="vi-VN"/>
        </w:rPr>
        <w:t>Các Sáng kiến Số Chủ chốt của ASEAN liên quan đến Giao dịch Số</w:t>
      </w:r>
    </w:p>
    <w:p w14:paraId="013E519E" w14:textId="460CEE78" w:rsidR="6BB67ADE" w:rsidRPr="0052439E" w:rsidRDefault="0052439E" w:rsidP="00CF1A4A">
      <w:pPr>
        <w:spacing w:line="276" w:lineRule="auto"/>
        <w:rPr>
          <w:b/>
          <w:bCs/>
          <w:lang w:val="vi-VN"/>
        </w:rPr>
      </w:pPr>
      <w:r w:rsidRPr="0052439E">
        <w:rPr>
          <w:b/>
          <w:bCs/>
          <w:lang w:val="vi-VN"/>
        </w:rPr>
        <w:t>Hướng dẫn Trao đổi Thông tin Dữ liệu Thương mại Điện tử giữa Cơ quan Hải quan và Doanh nghiệp Thương mại Điện tử</w:t>
      </w:r>
    </w:p>
    <w:p w14:paraId="2C9442F9" w14:textId="2D989E40" w:rsidR="6BB67ADE" w:rsidRPr="0052439E" w:rsidRDefault="0052439E" w:rsidP="00CF1A4A">
      <w:pPr>
        <w:spacing w:line="276" w:lineRule="auto"/>
        <w:rPr>
          <w:lang w:val="vi-VN"/>
        </w:rPr>
      </w:pPr>
      <w:r w:rsidRPr="0052439E">
        <w:rPr>
          <w:lang w:val="vi-VN"/>
        </w:rPr>
        <w:t>Bộ Hướng dẫn về Trao đổi Thông tin Dữ liệu Thương mại Điện tử giữa Cơ quan Hải quan và Doanh nghiệp Thương mại Điện tử đang được xây dựng theo Kế hoạch Phát triển Hải quan Chiến lược (SPCD) 15 về Thương mại Điện tử, nhằm tăng cường hiệu quả và an ninh của thương mại điện tử xuyên biên giới trong ASEAN. Bộ hướng dẫn này được thiết kế nhằm thiết lập khuôn khổ rõ ràng cho việc trao đổi dữ liệu, bảo đảm tương tác thông suốt và an toàn giữa cơ quan hải quan và các doanh nghiệp thương mại điện tử, qua đó hỗ trợ tăng trưởng thương mại toàn cầu.</w:t>
      </w:r>
    </w:p>
    <w:p w14:paraId="77F1AE08" w14:textId="0398B3AE" w:rsidR="6BB67ADE" w:rsidRPr="0052439E" w:rsidRDefault="0052439E" w:rsidP="00CF1A4A">
      <w:pPr>
        <w:spacing w:line="276" w:lineRule="auto"/>
        <w:rPr>
          <w:lang w:val="vi-VN"/>
        </w:rPr>
      </w:pPr>
      <w:r w:rsidRPr="0052439E">
        <w:rPr>
          <w:lang w:val="vi-VN"/>
        </w:rPr>
        <w:t>Tại Hội nghị Tổng cục trưởng Hải quan lần thứ 33 vào tháng 6/2024, các đơn vị gồm Ủy ban Điều phối Hải quan (CCC) và Nhóm Công tác về Thủ tục Hải quan và Tạo thuận lợi Thương mại (CPTFWG) đã được giao nhiệm vụ xây dựng Bộ Hướng dẫn này. Công tác soạn thảo đang được tiến hành và dự kiến văn bản sẽ được thông qua tại Hội nghị Tổng cục trưởng Hải quan lần thứ 34 vào tháng 6/2025.</w:t>
      </w:r>
    </w:p>
    <w:p w14:paraId="5F40651F" w14:textId="4642D140" w:rsidR="6BB67ADE" w:rsidRPr="0052439E" w:rsidRDefault="0052439E" w:rsidP="00CF1A4A">
      <w:pPr>
        <w:spacing w:line="276" w:lineRule="auto"/>
        <w:rPr>
          <w:lang w:val="vi-VN"/>
        </w:rPr>
      </w:pPr>
      <w:r w:rsidRPr="0052439E">
        <w:rPr>
          <w:lang w:val="vi-VN"/>
        </w:rPr>
        <w:t>Các yếu tố thúc đẩy sáng kiến này bao gồm sự bùng nổ của thương mại điện tử xuyên biên giới, nhu cầu xử lý các lỗ hổng trong quy trình trao đổi dữ liệu hiện tại và mục tiêu hài hòa hóa thực tiễn giữa các quốc gia thành viên ASEAN. Việc xây dựng hướng dẫn này dựa trên khảo sát năm 2023 về Nghị quyết Luxor, đánh giá việc triển khai các nguyên tắc thương mại điện tử và chỉ ra các khoảng trống giữa các nước thành viên.</w:t>
      </w:r>
    </w:p>
    <w:p w14:paraId="09F400B9" w14:textId="07274F07" w:rsidR="6BB67ADE" w:rsidRPr="0052439E" w:rsidRDefault="0052439E" w:rsidP="00CF1A4A">
      <w:pPr>
        <w:spacing w:line="276" w:lineRule="auto"/>
        <w:rPr>
          <w:lang w:val="vi-VN"/>
        </w:rPr>
      </w:pPr>
      <w:r w:rsidRPr="0052439E">
        <w:rPr>
          <w:lang w:val="vi-VN"/>
        </w:rPr>
        <w:t xml:space="preserve">Ý nghĩa của bộ hướng dẫn nằm ở tiềm năng tinh giản thủ tục hải quan, giảm chậm trễ và tăng cường an ninh cho các giao dịch thương mại điện tử trong khu vực. Bằng cách cung cấp một cách tiếp cận chuẩn hóa đối với trao đổi dữ liệu, bộ hướng dẫn sẽ tạo thuận lợi cho thương mại xuyên </w:t>
      </w:r>
      <w:r w:rsidRPr="0052439E">
        <w:rPr>
          <w:lang w:val="vi-VN"/>
        </w:rPr>
        <w:lastRenderedPageBreak/>
        <w:t>biên giới hiệu quả hơn, đóng góp vào mục tiêu rộng hơn của ASEAN về hội nhập kinh tế và chuyển đổi số.</w:t>
      </w:r>
    </w:p>
    <w:p w14:paraId="248781A2" w14:textId="77777777" w:rsidR="00DC7AEB" w:rsidRDefault="00DC7AEB">
      <w:pPr>
        <w:spacing w:line="259" w:lineRule="auto"/>
        <w:jc w:val="left"/>
        <w:rPr>
          <w:b/>
          <w:bCs/>
        </w:rPr>
      </w:pPr>
      <w:r>
        <w:rPr>
          <w:b/>
          <w:bCs/>
        </w:rPr>
        <w:br w:type="page"/>
      </w:r>
    </w:p>
    <w:p w14:paraId="1837D98B" w14:textId="1E2A05F2" w:rsidR="6BB67ADE" w:rsidRPr="0053360F" w:rsidRDefault="0053360F" w:rsidP="003524D8">
      <w:pPr>
        <w:spacing w:line="259" w:lineRule="auto"/>
        <w:jc w:val="left"/>
        <w:rPr>
          <w:b/>
          <w:bCs/>
          <w:lang w:val="vi-VN"/>
        </w:rPr>
      </w:pPr>
      <w:r w:rsidRPr="0053360F">
        <w:rPr>
          <w:b/>
          <w:bCs/>
          <w:lang w:val="vi-VN"/>
        </w:rPr>
        <w:lastRenderedPageBreak/>
        <w:t>Hiệp định ASEAN về Thương mại Điện tử</w:t>
      </w:r>
    </w:p>
    <w:p w14:paraId="33EA6BB6" w14:textId="13B1C5FC" w:rsidR="0053360F" w:rsidRPr="0053360F" w:rsidRDefault="0053360F" w:rsidP="00CF1A4A">
      <w:pPr>
        <w:spacing w:before="240" w:line="276" w:lineRule="auto"/>
        <w:rPr>
          <w:lang w:val="vi-VN"/>
        </w:rPr>
      </w:pPr>
      <w:r w:rsidRPr="0053360F">
        <w:rPr>
          <w:lang w:val="vi-VN"/>
        </w:rPr>
        <w:t>Hiệp định ASEAN về Thương mại Điện tử</w:t>
      </w:r>
      <w:r w:rsidRPr="6BB67ADE">
        <w:rPr>
          <w:rStyle w:val="FootnoteReference"/>
          <w:rFonts w:eastAsia="Times New Roman"/>
        </w:rPr>
        <w:footnoteReference w:id="374"/>
      </w:r>
      <w:r w:rsidRPr="0053360F">
        <w:rPr>
          <w:lang w:val="vi-VN"/>
        </w:rPr>
        <w:t xml:space="preserve"> và kế hoạch triển khai đi kèm</w:t>
      </w:r>
      <w:r w:rsidRPr="6BB67ADE">
        <w:rPr>
          <w:rStyle w:val="FootnoteReference"/>
          <w:rFonts w:eastAsia="Times New Roman"/>
        </w:rPr>
        <w:footnoteReference w:id="375"/>
      </w:r>
      <w:r w:rsidRPr="0053360F">
        <w:rPr>
          <w:lang w:val="vi-VN"/>
        </w:rPr>
        <w:t xml:space="preserve"> nhằm tạo thuận lợi cho các giao dịch thương mại điện tử xuyên biên giới trong khu vực ASEAN. Hiệp định này thiết lập khuôn khổ pháp lý và quy định để thúc đẩy thương mại điện tử liền mạch và an toàn, bao gồm các lĩnh vực như bảo vệ người tiêu dùng, bảo mật dữ liệu, an ninh mạng và hệ thống thanh toán điện tử. Hiệp định hướng tới việc hài hòa hóa quy định thương mại điện tử giữa các nước thành viên, giúp doanh nghiệp hoạt động dễ dàng hơn và người tiêu dùng mua sắm xuyên biên giới thuận lợi hơn.</w:t>
      </w:r>
    </w:p>
    <w:p w14:paraId="7B8C81EB" w14:textId="3AC5C555" w:rsidR="6BB67ADE" w:rsidRPr="0053360F" w:rsidRDefault="0053360F" w:rsidP="00CF1A4A">
      <w:pPr>
        <w:spacing w:line="276" w:lineRule="auto"/>
        <w:rPr>
          <w:lang w:val="vi-VN"/>
        </w:rPr>
      </w:pPr>
      <w:r w:rsidRPr="0053360F">
        <w:rPr>
          <w:lang w:val="vi-VN"/>
        </w:rPr>
        <w:t>Được thúc đẩy bởi tăng trưởng nhanh chóng của thương mại điện tử trong khu vực, hiệp định này hỗ trợ mục tiêu rộng hơn của ASEAN về hội nhập kinh tế bằng cách tạo ra môi trường thuận lợi cho thương mại điện tử – một động lực quan trọng của tăng trưởng và đổi mới. Hiệp định cũng giải quyết nhu cầu hợp tác khu vực để xử lý các thách thức như gian lận, rò rỉ dữ liệu và sự khác biệt giữa các tiêu chuẩn pháp lý.</w:t>
      </w:r>
    </w:p>
    <w:p w14:paraId="6BDDDB23" w14:textId="666A6D26" w:rsidR="6BB67ADE" w:rsidRPr="0053360F" w:rsidRDefault="0053360F" w:rsidP="00CF1A4A">
      <w:pPr>
        <w:spacing w:line="276" w:lineRule="auto"/>
        <w:rPr>
          <w:lang w:val="vi-VN"/>
        </w:rPr>
      </w:pPr>
      <w:r w:rsidRPr="0053360F">
        <w:rPr>
          <w:lang w:val="vi-VN"/>
        </w:rPr>
        <w:t>Tầm quan trọng của Hiệp định ASEAN về Thương mại Điện tử nằm ở khả năng thúc đẩy tăng trưởng thương mại khu vực và phát triển kinh tế. Bằng việc cung cấp khuôn khổ nhất quán và an toàn cho thương mại điện tử, hiệp định giúp mở rộng cơ hội kinh doanh, khuyến khích đầu tư và tăng niềm tin của người tiêu dùng vào giao dịch trực tuyến. Hiệp định đóng vai trò then chốt trong việc xây dựng nền kinh tế số cạnh tranh và bao trùm hơn, tạo điều kiện để ASEAN tham gia sâu hơn vào thị trường số toàn cầu và hỗ trợ tầm nhìn của ASEAN về một nền kinh tế khu vực hội nhập và gắn kết.</w:t>
      </w:r>
    </w:p>
    <w:p w14:paraId="2FE9F672" w14:textId="1DC0987B" w:rsidR="6BB67ADE" w:rsidRPr="0053360F" w:rsidRDefault="0053360F" w:rsidP="00CF1A4A">
      <w:pPr>
        <w:spacing w:line="276" w:lineRule="auto"/>
        <w:rPr>
          <w:b/>
          <w:bCs/>
          <w:lang w:val="vi-VN"/>
        </w:rPr>
      </w:pPr>
      <w:r w:rsidRPr="0053360F">
        <w:rPr>
          <w:b/>
          <w:bCs/>
          <w:lang w:val="vi-VN"/>
        </w:rPr>
        <w:t>Khung Chính sách Thanh toán ASEAN cho Hệ thống Thanh toán Bán lẻ Xuyên biên giới Theo Thời gian Thực (RT-RPS)</w:t>
      </w:r>
    </w:p>
    <w:p w14:paraId="0B6FEAF4" w14:textId="6FF7EB7A" w:rsidR="0053360F" w:rsidRPr="0053360F" w:rsidRDefault="0053360F" w:rsidP="00CF1A4A">
      <w:pPr>
        <w:spacing w:line="276" w:lineRule="auto"/>
        <w:rPr>
          <w:lang w:val="vi-VN"/>
        </w:rPr>
      </w:pPr>
      <w:r w:rsidRPr="0053360F">
        <w:rPr>
          <w:lang w:val="vi-VN"/>
        </w:rPr>
        <w:t>Khung Chính sách Thanh toán ASEAN cho Hệ thống Thanh toán Bán lẻ Xuyên biên giới Theo Thời gian Thực (RT-RPS) nhằm tiêu chuẩn hóa và tăng cường các hệ thống thanh toán bán lẻ xuyên biên giới theo thời gian thực trong ASEAN</w:t>
      </w:r>
      <w:r w:rsidRPr="6BB67ADE">
        <w:rPr>
          <w:rStyle w:val="FootnoteReference"/>
        </w:rPr>
        <w:footnoteReference w:id="376"/>
      </w:r>
      <w:r w:rsidRPr="0053360F">
        <w:rPr>
          <w:lang w:val="vi-VN"/>
        </w:rPr>
        <w:t>. Khung này cung cấp tập hợp các hướng dẫn và thông lệ tốt nhằm đảm bảo khả năng tương tác, an toàn và hiệu quả trong giao dịch thanh toán theo thời gian thực giữa các quốc gia thành viên.</w:t>
      </w:r>
    </w:p>
    <w:p w14:paraId="0068B0B9" w14:textId="31F4AD45" w:rsidR="6BB67ADE" w:rsidRPr="0053360F" w:rsidRDefault="0053360F" w:rsidP="00CF1A4A">
      <w:pPr>
        <w:spacing w:line="276" w:lineRule="auto"/>
        <w:rPr>
          <w:lang w:val="vi-VN"/>
        </w:rPr>
      </w:pPr>
      <w:r w:rsidRPr="0053360F">
        <w:rPr>
          <w:lang w:val="vi-VN"/>
        </w:rPr>
        <w:t>Khung chính sách này được thúc đẩy bởi nhu cầu ngày càng tăng về các giao dịch xuyên biên giới tức thời, nhu cầu hài hòa hóa các tiêu chuẩn thanh toán và mong muốn cải thiện khả năng tiếp cận tài chính. Khung này hỗ trợ các mục tiêu rộng lớn hơn của ASEAN về hội nhập kinh tế và chuyển đổi số bằng cách tạo thuận lợi cho các khoản thanh toán xuyên biên giới nhanh hơn và thông suốt hơn.</w:t>
      </w:r>
    </w:p>
    <w:p w14:paraId="5D9B32D7" w14:textId="1BC561E2" w:rsidR="00DD2D7F" w:rsidRPr="0053360F" w:rsidRDefault="0053360F" w:rsidP="0053360F">
      <w:pPr>
        <w:spacing w:line="276" w:lineRule="auto"/>
        <w:rPr>
          <w:lang w:val="vi-VN"/>
        </w:rPr>
      </w:pPr>
      <w:r w:rsidRPr="0053360F">
        <w:rPr>
          <w:lang w:val="vi-VN"/>
        </w:rPr>
        <w:t xml:space="preserve">Ý nghĩa của Khung Chính sách Thanh toán ASEAN nằm ở khả năng tinh giản và đảm bảo an toàn cho các khoản thanh toán bán lẻ xuyên biên giới, nâng cao hiệu quả và độ tin cậy của các giao dịch tài chính. Bằng việc cung cấp khuôn khổ chính sách nhất quán, khung giúp giảm chi phí giao dịch, </w:t>
      </w:r>
      <w:r w:rsidRPr="0053360F">
        <w:rPr>
          <w:lang w:val="vi-VN"/>
        </w:rPr>
        <w:lastRenderedPageBreak/>
        <w:t>cải thiện khả năng tiếp cận và thúc đẩy kết nối kinh tế khu vực, đóng góp vào hệ sinh thái tài chính số hội nhập và vững mạnh hơn.</w:t>
      </w:r>
    </w:p>
    <w:p w14:paraId="09746756" w14:textId="2582A62A" w:rsidR="6BB67ADE" w:rsidRPr="0053360F" w:rsidRDefault="0053360F" w:rsidP="00CF1A4A">
      <w:pPr>
        <w:spacing w:line="276" w:lineRule="auto"/>
        <w:rPr>
          <w:b/>
          <w:bCs/>
          <w:lang w:val="vi-VN"/>
        </w:rPr>
      </w:pPr>
      <w:r w:rsidRPr="0053360F">
        <w:rPr>
          <w:b/>
          <w:bCs/>
          <w:lang w:val="vi-VN"/>
        </w:rPr>
        <w:t>Sổ tay về Thương mại Điện tử và Cạnh tranh trong ASEAN</w:t>
      </w:r>
    </w:p>
    <w:p w14:paraId="0555B4EE" w14:textId="13ED1138" w:rsidR="0053360F" w:rsidRPr="0053360F" w:rsidRDefault="0053360F" w:rsidP="00CF1A4A">
      <w:pPr>
        <w:spacing w:line="276" w:lineRule="auto"/>
        <w:rPr>
          <w:lang w:val="vi-VN"/>
        </w:rPr>
      </w:pPr>
      <w:r w:rsidRPr="0053360F">
        <w:rPr>
          <w:lang w:val="vi-VN"/>
        </w:rPr>
        <w:t>Sổ tay về Thương mại Điện tử và Cạnh tranh trong ASEAN cung cấp hướng dẫn toàn diện nhằm hiểu và xử lý các vấn đề cạnh tranh phát sinh trong lĩnh vực thương mại điện tử</w:t>
      </w:r>
      <w:r w:rsidRPr="6BB67ADE">
        <w:rPr>
          <w:rStyle w:val="FootnoteReference"/>
        </w:rPr>
        <w:footnoteReference w:id="377"/>
      </w:r>
      <w:r w:rsidRPr="0053360F">
        <w:rPr>
          <w:lang w:val="vi-VN"/>
        </w:rPr>
        <w:t>. Tài liệu này cung cấp các hướng dẫn và phân tích thực tiễn nhằm đảm bảo cạnh tranh lành mạnh, ngăn chặn hành vi phản cạnh tranh và thúc đẩy thị trường trực tuyến cạnh tranh.</w:t>
      </w:r>
    </w:p>
    <w:p w14:paraId="799675A4" w14:textId="127B1142" w:rsidR="6BB67ADE" w:rsidRPr="0053360F" w:rsidRDefault="0053360F" w:rsidP="00CF1A4A">
      <w:pPr>
        <w:spacing w:line="276" w:lineRule="auto"/>
        <w:rPr>
          <w:lang w:val="vi-VN"/>
        </w:rPr>
      </w:pPr>
      <w:r w:rsidRPr="0053360F">
        <w:rPr>
          <w:lang w:val="vi-VN"/>
        </w:rPr>
        <w:t>Sổ tay được thúc đẩy bởi sự mở rộng nhanh chóng của thương mại điện tử, các thách thức đặc thù về cạnh tranh mà lĩnh vực này mang lại và nhu cầu về cách tiếp cận hài hòa trong thực thi quy định giữa các nước thành viên. Tài liệu này hỗ trợ các mục tiêu rộng hơn của ASEAN về xây dựng một sân chơi bình đẳng trong thị trường số và tăng cường hội nhập kinh tế khu vực.</w:t>
      </w:r>
    </w:p>
    <w:p w14:paraId="5052538B" w14:textId="5924472B" w:rsidR="6BB67ADE" w:rsidRPr="0053360F" w:rsidRDefault="0053360F" w:rsidP="00CF1A4A">
      <w:pPr>
        <w:spacing w:line="276" w:lineRule="auto"/>
        <w:rPr>
          <w:lang w:val="vi-VN"/>
        </w:rPr>
      </w:pPr>
      <w:r w:rsidRPr="0053360F">
        <w:rPr>
          <w:lang w:val="vi-VN"/>
        </w:rPr>
        <w:t>Ý nghĩa của Sổ tay nằm ở khả năng cung cấp cho cơ quan quản lý và doanh nghiệp các công cụ cần thiết để xử lý những phức tạp trong cạnh tranh của thương mại điện tử. Bằng việc đưa ra hướng dẫn chi tiết về chính sách cạnh tranh và thực thi, tài liệu giúp ngăn chặn hành vi lạm dụng thị trường, thúc đẩy thực tiễn lành mạnh và hỗ trợ tăng trưởng bền vững của lĩnh vực thương mại điện tử. Sáng kiến này đóng góp vào một nền kinh tế số công bằng và vững mạnh hơn trong ASEAN.</w:t>
      </w:r>
    </w:p>
    <w:p w14:paraId="30E0C1CF" w14:textId="27523B33" w:rsidR="6BB67ADE" w:rsidRPr="0053360F" w:rsidRDefault="0053360F" w:rsidP="00B22C77">
      <w:pPr>
        <w:pStyle w:val="Heading2"/>
        <w:numPr>
          <w:ilvl w:val="0"/>
          <w:numId w:val="0"/>
        </w:numPr>
        <w:spacing w:line="276" w:lineRule="auto"/>
        <w:rPr>
          <w:lang w:val="vi-VN"/>
        </w:rPr>
      </w:pPr>
      <w:r w:rsidRPr="0053360F">
        <w:rPr>
          <w:lang w:val="vi-VN"/>
        </w:rPr>
        <w:t>Các Sáng kiến Số Chủ chốt của ASEAN liên quan đến Tin cậy Số (Digital Trust)</w:t>
      </w:r>
    </w:p>
    <w:p w14:paraId="317FCF81" w14:textId="45A2FC17" w:rsidR="6BB67ADE" w:rsidRPr="0053360F" w:rsidRDefault="0053360F" w:rsidP="00CF1A4A">
      <w:pPr>
        <w:spacing w:before="240" w:line="276" w:lineRule="auto"/>
        <w:rPr>
          <w:b/>
          <w:bCs/>
          <w:lang w:val="vi-VN"/>
        </w:rPr>
      </w:pPr>
      <w:r w:rsidRPr="0053360F">
        <w:rPr>
          <w:b/>
          <w:bCs/>
          <w:lang w:val="vi-VN"/>
        </w:rPr>
        <w:t>Lộ trình Mã số Định danh Doanh nghiệp Duy nhất ASEAN (UBIN)</w:t>
      </w:r>
    </w:p>
    <w:p w14:paraId="5FE72C5C" w14:textId="42583024" w:rsidR="0053360F" w:rsidRPr="0053360F" w:rsidRDefault="0053360F" w:rsidP="00CF1A4A">
      <w:pPr>
        <w:spacing w:before="240" w:line="276" w:lineRule="auto"/>
        <w:rPr>
          <w:lang w:val="vi-VN"/>
        </w:rPr>
      </w:pPr>
      <w:r w:rsidRPr="0053360F">
        <w:rPr>
          <w:lang w:val="vi-VN"/>
        </w:rPr>
        <w:t>Lộ trình UBIN của ASEAN hướng tới việc xây dựng một hệ thống mã định danh doanh nghiệp thống nhất trên toàn ASEAN</w:t>
      </w:r>
      <w:r w:rsidRPr="6BB67ADE">
        <w:rPr>
          <w:rStyle w:val="FootnoteReference"/>
        </w:rPr>
        <w:footnoteReference w:id="378"/>
      </w:r>
      <w:r w:rsidRPr="0053360F">
        <w:rPr>
          <w:lang w:val="vi-VN"/>
        </w:rPr>
        <w:t>. Mã định danh này sẽ giúp đơn giản hóa các tương tác và thủ tục quản lý doanh nghiệp, nâng cao độ chính xác dữ liệu và giảm gánh nặng hành chính.</w:t>
      </w:r>
    </w:p>
    <w:p w14:paraId="64CD82F2" w14:textId="066D58B7" w:rsidR="6BB67ADE" w:rsidRPr="005C2F09" w:rsidRDefault="005C2F09" w:rsidP="00CF1A4A">
      <w:pPr>
        <w:spacing w:line="276" w:lineRule="auto"/>
        <w:rPr>
          <w:lang w:val="vi-VN"/>
        </w:rPr>
      </w:pPr>
      <w:r w:rsidRPr="005C2F09">
        <w:rPr>
          <w:lang w:val="vi-VN"/>
        </w:rPr>
        <w:t>Lộ trình UBIN giải quyết thách thức về sự phân mảnh trong hệ thống mã doanh nghiệp giữa các quốc gia, hỗ trợ mục tiêu về một nền kinh tế số tích hợp và hiệu quả hơn, phù hợp với tầm nhìn Cộng đồng Kinh tế ASEAN trong việc thúc đẩy thương mại và đầu tư xuyên biên giới.</w:t>
      </w:r>
    </w:p>
    <w:p w14:paraId="37B69B94" w14:textId="6829E2D1" w:rsidR="6BB67ADE" w:rsidRPr="005C2F09" w:rsidRDefault="005C2F09" w:rsidP="00CF1A4A">
      <w:pPr>
        <w:spacing w:line="276" w:lineRule="auto"/>
        <w:rPr>
          <w:lang w:val="vi-VN"/>
        </w:rPr>
      </w:pPr>
      <w:r w:rsidRPr="005C2F09">
        <w:rPr>
          <w:lang w:val="vi-VN"/>
        </w:rPr>
        <w:t>Sáng kiến UBIN đóng vai trò quan trọng trong chuyển đổi cách thức doanh nghiệp vận hành trong ASEAN. Bằng việc tạo ra hệ thống mã định danh thống nhất, sáng kiến giúp đơn giản hóa tuân thủ, giảm rủi ro gian lận và cải thiện độ chính xác dữ liệu, từ đó thúc đẩy một môi trường kinh doanh minh bạch, hiệu quả hơn và hỗ trợ tăng trưởng kinh tế trong khu vực.</w:t>
      </w:r>
    </w:p>
    <w:p w14:paraId="36A9598A" w14:textId="4A740F5A" w:rsidR="6BB67ADE" w:rsidRPr="005C2F09" w:rsidRDefault="005C2F09" w:rsidP="00CF1A4A">
      <w:pPr>
        <w:spacing w:line="276" w:lineRule="auto"/>
        <w:jc w:val="left"/>
        <w:rPr>
          <w:b/>
          <w:bCs/>
          <w:lang w:val="vi-VN"/>
        </w:rPr>
      </w:pPr>
      <w:r w:rsidRPr="005C2F09">
        <w:rPr>
          <w:b/>
          <w:bCs/>
          <w:lang w:val="vi-VN"/>
        </w:rPr>
        <w:t>Nền tảng Chứng chỉ Số ASEAN (ASEAN Digital Credentials Platform – AKREDI)</w:t>
      </w:r>
    </w:p>
    <w:p w14:paraId="456DCEFE" w14:textId="46B5D881" w:rsidR="005C2F09" w:rsidRPr="005C2F09" w:rsidRDefault="005C2F09" w:rsidP="00CF1A4A">
      <w:pPr>
        <w:spacing w:line="276" w:lineRule="auto"/>
        <w:rPr>
          <w:lang w:val="vi-VN"/>
        </w:rPr>
      </w:pPr>
      <w:r w:rsidRPr="005C2F09">
        <w:rPr>
          <w:lang w:val="vi-VN"/>
        </w:rPr>
        <w:t xml:space="preserve">Nền tảng Chứng chỉ Số ASEAN (AKREDI) hướng tới hỗ trợ các tổ chức thông qua việc tạo dựng một nền tảng tin cậy số cho danh tính nghề nghiệp và doanh nghiệp, cùng các thuộc tính và tài sản </w:t>
      </w:r>
      <w:r w:rsidR="00616696">
        <w:rPr>
          <w:lang w:val="vi-VN"/>
        </w:rPr>
        <w:t>số</w:t>
      </w:r>
      <w:r w:rsidRPr="005C2F09">
        <w:rPr>
          <w:lang w:val="vi-VN"/>
        </w:rPr>
        <w:t>. Nền tảng này sẽ tái định hình các quy trình công nhận, xác thực và KYC trong ASEAN, đặc biệt phục vụ cho di chuyển xuyên biên giới của nhân lực, doanh nghiệp và dòng vốn đầu tư</w:t>
      </w:r>
      <w:r w:rsidRPr="6BB67ADE">
        <w:rPr>
          <w:rStyle w:val="FootnoteReference"/>
          <w:rFonts w:eastAsia="Times New Roman"/>
        </w:rPr>
        <w:footnoteReference w:id="379"/>
      </w:r>
      <w:r w:rsidRPr="005C2F09">
        <w:rPr>
          <w:lang w:val="vi-VN"/>
        </w:rPr>
        <w:t>. AKREDI sẽ vận hành thông qua một ứng dụng di động tích hợp ví số.</w:t>
      </w:r>
    </w:p>
    <w:p w14:paraId="1A5EC9BE" w14:textId="3E659C48" w:rsidR="6BB67ADE" w:rsidRPr="00CD7C3A" w:rsidRDefault="00CD7C3A" w:rsidP="00CF1A4A">
      <w:pPr>
        <w:spacing w:line="276" w:lineRule="auto"/>
        <w:rPr>
          <w:lang w:val="vi-VN"/>
        </w:rPr>
      </w:pPr>
      <w:r w:rsidRPr="00CD7C3A">
        <w:rPr>
          <w:lang w:val="vi-VN"/>
        </w:rPr>
        <w:lastRenderedPageBreak/>
        <w:t>Nền tảng này cũng giải quyết yêu cầu về công nhận kỹ năng và bằng cấp xuyên biên giới – yếu tố quan trọng cho hội nhập kinh tế ASEAN. Nó xử lý các thách thức như gian lận chứng chỉ hay sự kém hiệu quả trong quy trình xác minh, hỗ trợ lưu chuyển lao động và tăng cường niềm tin trong nền kinh tế số.</w:t>
      </w:r>
    </w:p>
    <w:p w14:paraId="1564DFEB" w14:textId="6D318A98" w:rsidR="6BB67ADE" w:rsidRPr="00CD7C3A" w:rsidRDefault="00CD7C3A" w:rsidP="00CF1A4A">
      <w:pPr>
        <w:spacing w:line="276" w:lineRule="auto"/>
        <w:rPr>
          <w:lang w:val="vi-VN"/>
        </w:rPr>
      </w:pPr>
      <w:r w:rsidRPr="00CD7C3A">
        <w:rPr>
          <w:lang w:val="vi-VN"/>
        </w:rPr>
        <w:t>Tầm quan trọng của AKREDI nằm ở khả năng đơn giản hóa quản lý chứng chỉ, giảm gánh nặng hành chính và thúc đẩy tin cậy vào bằng cấp. Nền tảng hỗ trợ phát triển nghề nghiệp, hoạt động kinh doanh và hội nhập kinh tế trong ASEAN, tạo thuận lợi cho di chuyển lao động, học tập liên tục, tăng cường khả năng thích ứng của lực lượng lao động và nâng cao năng lực cạnh tranh của khu vực.</w:t>
      </w:r>
    </w:p>
    <w:p w14:paraId="5487038F" w14:textId="11879F66" w:rsidR="6BB67ADE" w:rsidRPr="00CD7C3A" w:rsidRDefault="00CD7C3A" w:rsidP="00CF1A4A">
      <w:pPr>
        <w:spacing w:line="276" w:lineRule="auto"/>
        <w:rPr>
          <w:b/>
          <w:bCs/>
          <w:lang w:val="vi-VN"/>
        </w:rPr>
      </w:pPr>
      <w:r w:rsidRPr="00CD7C3A">
        <w:rPr>
          <w:b/>
          <w:bCs/>
          <w:lang w:val="vi-VN"/>
        </w:rPr>
        <w:t>Chiến lược Hợp tác An ninh mạng ASEAN 2021–2025</w:t>
      </w:r>
    </w:p>
    <w:p w14:paraId="60D05604" w14:textId="2193DDA8" w:rsidR="6BB67ADE" w:rsidRPr="00CD7C3A" w:rsidRDefault="00CD7C3A" w:rsidP="00CF1A4A">
      <w:pPr>
        <w:spacing w:line="276" w:lineRule="auto"/>
        <w:rPr>
          <w:lang w:val="vi-VN"/>
        </w:rPr>
      </w:pPr>
      <w:r w:rsidRPr="00CD7C3A">
        <w:rPr>
          <w:lang w:val="vi-VN"/>
        </w:rPr>
        <w:t>Chiến lược Hợp tác An ninh mạng ASEAN 2021–2025 là một khuôn khổ toàn diện nhằm tăng cường an ninh mạng trong toàn khu vực</w:t>
      </w:r>
      <w:r w:rsidRPr="6BB67ADE">
        <w:rPr>
          <w:rStyle w:val="FootnoteReference"/>
        </w:rPr>
        <w:footnoteReference w:id="380"/>
      </w:r>
      <w:r w:rsidRPr="00CD7C3A">
        <w:rPr>
          <w:lang w:val="vi-VN"/>
        </w:rPr>
        <w:t>. Chiến lược tập trung vào tăng cường hợp tác khu vực, xây dựng năng lực và phát triển các chính sách, khuôn khổ vững chắc để ứng phó với các mối đe dọa mạng. Mục tiêu của chiến lược bao gồm nâng cao khả năng chống chịu của hạ tầng trọng yếu, năng lực ứng phó sự cố và thúc đẩy chia sẻ thông tin giữa các quốc gia thành viên.</w:t>
      </w:r>
    </w:p>
    <w:p w14:paraId="572639EF" w14:textId="3821E5EA" w:rsidR="6BB67ADE" w:rsidRPr="00CD7C3A" w:rsidRDefault="00CD7C3A" w:rsidP="00CF1A4A">
      <w:pPr>
        <w:spacing w:line="276" w:lineRule="auto"/>
        <w:rPr>
          <w:lang w:val="vi-VN"/>
        </w:rPr>
      </w:pPr>
      <w:r w:rsidRPr="00CD7C3A">
        <w:rPr>
          <w:lang w:val="vi-VN"/>
        </w:rPr>
        <w:t>Động lực của sáng kiến đến từ sự gia tăng về tần suất và mức độ tinh vi của các cuộc tấn công mạng, sự phụ thuộc ngày càng lớn vào công nghệ số, và nhu cầu về một cách tiếp cận thống nhất ở cấp khu vực. Chiến lược đáp ứng sự khác biệt về năng lực và mức độ sẵn sàng an ninh mạng giữa các quốc gia thành viên, nhằm xây dựng một môi trường số an toàn và bền vững hơn.</w:t>
      </w:r>
    </w:p>
    <w:p w14:paraId="74AF7F0B" w14:textId="7E67F903" w:rsidR="6BB67ADE" w:rsidRPr="00CD7C3A" w:rsidRDefault="00CD7C3A" w:rsidP="00CF1A4A">
      <w:pPr>
        <w:spacing w:line="276" w:lineRule="auto"/>
        <w:rPr>
          <w:lang w:val="vi-VN"/>
        </w:rPr>
      </w:pPr>
      <w:r w:rsidRPr="00CD7C3A">
        <w:rPr>
          <w:lang w:val="vi-VN"/>
        </w:rPr>
        <w:t>Tầm quan trọng của chiến lược nằm ở tiềm năng củng cố ổn định và an ninh khu vực. Thông qua hợp tác và xây dựng năng lực, chiến lược giúp giảm thiểu rủi ro mạng, bảo vệ hạ tầng trọng yếu và nâng cao nhận thức về an ninh mạng. Sáng kiến này không chỉ bảo vệ nền kinh tế số mà còn tăng cường khả năng ứng phó sự cố của khu vực, củng cố niềm tin vào công nghệ số và đóng góp vào tăng trưởng, cạnh tranh kinh tế của ASEAN.</w:t>
      </w:r>
    </w:p>
    <w:p w14:paraId="0ABF8145" w14:textId="384AE74E" w:rsidR="6BB67ADE" w:rsidRPr="00CD7C3A" w:rsidRDefault="00CD7C3A" w:rsidP="00CF1A4A">
      <w:pPr>
        <w:spacing w:line="276" w:lineRule="auto"/>
        <w:jc w:val="left"/>
        <w:rPr>
          <w:b/>
          <w:bCs/>
          <w:lang w:val="vi-VN"/>
        </w:rPr>
      </w:pPr>
      <w:r w:rsidRPr="00CD7C3A">
        <w:rPr>
          <w:b/>
          <w:bCs/>
          <w:lang w:val="vi-VN"/>
        </w:rPr>
        <w:t>Hướng dẫn ASEAN về Bảo vệ Người tiêu dùng trong Thương mại Điện tử</w:t>
      </w:r>
    </w:p>
    <w:p w14:paraId="601B23EF" w14:textId="0E4F0D65" w:rsidR="6BB67ADE" w:rsidRPr="00CD7C3A" w:rsidRDefault="00CD7C3A" w:rsidP="00CF1A4A">
      <w:pPr>
        <w:spacing w:line="276" w:lineRule="auto"/>
        <w:rPr>
          <w:lang w:val="vi-VN"/>
        </w:rPr>
      </w:pPr>
      <w:r w:rsidRPr="00CD7C3A">
        <w:rPr>
          <w:lang w:val="vi-VN"/>
        </w:rPr>
        <w:t>Bộ Hướng dẫn ASEAN về Bảo vệ Người tiêu dùng trong Thương mại Điện tử nhằm tăng cường niềm tin và sự an tâm của người tiêu dùng trong các giao dịch trực tuyến tại khu vực</w:t>
      </w:r>
      <w:r w:rsidRPr="6BB67ADE">
        <w:rPr>
          <w:vertAlign w:val="superscript"/>
        </w:rPr>
        <w:footnoteReference w:id="381"/>
      </w:r>
      <w:r w:rsidRPr="00CD7C3A">
        <w:rPr>
          <w:lang w:val="vi-VN"/>
        </w:rPr>
        <w:t>. Bộ hướng dẫn đưa ra khuôn khổ toàn diện để bảo vệ quyền lợi người tiêu dùng trên môi trường số, bao gồm minh bạch thông tin, bảo mật dữ liệu, giải quyết tranh chấp và trách nhiệm của nền tảng thương mại điện tử.</w:t>
      </w:r>
    </w:p>
    <w:p w14:paraId="6DF4F6C5" w14:textId="34596738" w:rsidR="6BB67ADE" w:rsidRPr="00434898" w:rsidRDefault="00434898" w:rsidP="00CF1A4A">
      <w:pPr>
        <w:spacing w:line="276" w:lineRule="auto"/>
        <w:rPr>
          <w:lang w:val="vi-VN"/>
        </w:rPr>
      </w:pPr>
      <w:r w:rsidRPr="00434898">
        <w:rPr>
          <w:lang w:val="vi-VN"/>
        </w:rPr>
        <w:t>Động lực phát triển sáng kiến gồm sự tăng trưởng nhanh của thương mại điện tử, sự khác biệt về mức độ bảo vệ người tiêu dùng giữa các quốc gia, và nhu cầu tạo ra một môi trường pháp lý hài hòa hơn. Bộ hướng dẫn hỗ trợ mục tiêu xây dựng nền kinh tế số an toàn và đáng tin cậy, thúc đẩy thương mại điện tử xuyên biên giới và tăng cường hội nhập khu vực.</w:t>
      </w:r>
    </w:p>
    <w:p w14:paraId="28797229" w14:textId="6BBB7849" w:rsidR="6BB67ADE" w:rsidRPr="00434898" w:rsidRDefault="00434898" w:rsidP="00CF1A4A">
      <w:pPr>
        <w:spacing w:line="276" w:lineRule="auto"/>
        <w:rPr>
          <w:lang w:val="vi-VN"/>
        </w:rPr>
      </w:pPr>
      <w:r w:rsidRPr="00434898">
        <w:rPr>
          <w:lang w:val="vi-VN"/>
        </w:rPr>
        <w:t xml:space="preserve">Tầm quan trọng của bộ hướng dẫn nằm ở khả năng nâng cao niềm tin và sự tham gia của người tiêu dùng vào nền kinh tế số. Bằng việc thiết lập các quy định bảo vệ nhất quán, sáng kiến góp phần giảm rủi ro gian lận, tăng cường bảo mật dữ liệu và cung cấp cơ chế giải quyết tranh chấp hiệu quả hơn. Điều này không chỉ mang lại lợi ích cho người tiêu dùng mà còn hỗ trợ doanh nghiệp nhờ môi </w:t>
      </w:r>
      <w:r w:rsidRPr="00434898">
        <w:rPr>
          <w:lang w:val="vi-VN"/>
        </w:rPr>
        <w:lastRenderedPageBreak/>
        <w:t>trường kinh doanh minh bạch và dự đoán được, qua đó thúc đẩy tăng trưởng thương mại điện tử và hội nhập kinh tế ASEAN.</w:t>
      </w:r>
    </w:p>
    <w:p w14:paraId="6D4ACC5D" w14:textId="258B3671" w:rsidR="6BB67ADE" w:rsidRPr="00434898" w:rsidRDefault="00434898" w:rsidP="00CF1A4A">
      <w:pPr>
        <w:spacing w:line="276" w:lineRule="auto"/>
        <w:rPr>
          <w:b/>
          <w:bCs/>
          <w:lang w:val="vi-VN"/>
        </w:rPr>
      </w:pPr>
      <w:r w:rsidRPr="00434898">
        <w:rPr>
          <w:b/>
          <w:bCs/>
          <w:lang w:val="vi-VN"/>
        </w:rPr>
        <w:t>Bộ Quy tắc Ứng xử trong Kinh doanh Trực tuyến ASEAN (ASEAN COC)</w:t>
      </w:r>
    </w:p>
    <w:p w14:paraId="647E3A11" w14:textId="338B7C42" w:rsidR="6BB67ADE" w:rsidRPr="00434898" w:rsidRDefault="00434898" w:rsidP="00CF1A4A">
      <w:pPr>
        <w:spacing w:line="276" w:lineRule="auto"/>
        <w:rPr>
          <w:lang w:val="vi-VN"/>
        </w:rPr>
      </w:pPr>
      <w:r w:rsidRPr="00434898">
        <w:rPr>
          <w:lang w:val="vi-VN"/>
        </w:rPr>
        <w:t>Bộ Quy tắc Ứng xử trong Kinh doanh Trực tuyến ASEAN (ASEAN COC) nhằm thiết lập các nguyên tắc đạo đức cho hoạt động kinh doanh trực tuyến trong khu vực, bao gồm bảo vệ quyền người tiêu dùng, bảo vệ dữ liệu, tiêu chuẩn quảng cáo và giải quyết tranh chấp</w:t>
      </w:r>
      <w:r w:rsidRPr="6BB67ADE">
        <w:rPr>
          <w:rStyle w:val="FootnoteReference"/>
          <w:rFonts w:eastAsia="Times New Roman"/>
        </w:rPr>
        <w:footnoteReference w:id="382"/>
      </w:r>
      <w:r w:rsidRPr="00434898">
        <w:rPr>
          <w:lang w:val="vi-VN"/>
        </w:rPr>
        <w:t>. Bộ quy tắc thúc đẩy hoạt động kinh doanh minh bạch, công bằng và có trách nhiệm, nhằm xây dựng một thị trường số đáng tin cậy.</w:t>
      </w:r>
    </w:p>
    <w:p w14:paraId="0BF9964A" w14:textId="2F0BEACE" w:rsidR="6BB67ADE" w:rsidRPr="00434898" w:rsidRDefault="00434898" w:rsidP="00CF1A4A">
      <w:pPr>
        <w:spacing w:line="276" w:lineRule="auto"/>
        <w:rPr>
          <w:lang w:val="vi-VN"/>
        </w:rPr>
      </w:pPr>
      <w:r w:rsidRPr="00434898">
        <w:rPr>
          <w:lang w:val="vi-VN"/>
        </w:rPr>
        <w:t>Sáng kiến được thúc đẩy bởi sự tăng trưởng mạnh mẽ của thương mại điện tử, nhu cầu hài hòa hóa quy định và mong muốn giảm thiểu rủi ro như gian lận hay vi phạm dữ liệu. ASEAN COC hỗ trợ mục tiêu chuyển đổi số và hội nhập kinh tế của khu vực bằng cách điều chỉnh thực tiễn kinh doanh theo chuẩn mực quốc tế.</w:t>
      </w:r>
    </w:p>
    <w:p w14:paraId="42135287" w14:textId="5811D18D" w:rsidR="6BB67ADE" w:rsidRPr="00434898" w:rsidRDefault="00434898" w:rsidP="00CF1A4A">
      <w:pPr>
        <w:spacing w:line="276" w:lineRule="auto"/>
        <w:rPr>
          <w:lang w:val="vi-VN"/>
        </w:rPr>
      </w:pPr>
      <w:r w:rsidRPr="00434898">
        <w:rPr>
          <w:lang w:val="vi-VN"/>
        </w:rPr>
        <w:t>Tầm quan trọng của ASEAN COC thể hiện ở khả năng tăng cường niềm tin người tiêu dùng, thúc đẩy cạnh tranh lành mạnh và tạo dựng môi trường trực tuyến an toàn hơn. Bằng cách đảm bảo các thực tiễn kinh doanh có đạo đức, sáng kiến này mang lại lợi ích cho cả người tiêu dùng và doanh nghiệp, góp phần vào tăng trưởng thương mại điện tử và hội nhập kinh tế khu vực.</w:t>
      </w:r>
    </w:p>
    <w:p w14:paraId="38D73302" w14:textId="30031336" w:rsidR="6BB67ADE" w:rsidRPr="005824F0" w:rsidRDefault="005824F0" w:rsidP="00CF1A4A">
      <w:pPr>
        <w:spacing w:line="276" w:lineRule="auto"/>
        <w:jc w:val="left"/>
        <w:rPr>
          <w:b/>
          <w:bCs/>
          <w:lang w:val="vi-VN"/>
        </w:rPr>
      </w:pPr>
      <w:r w:rsidRPr="005824F0">
        <w:rPr>
          <w:b/>
          <w:bCs/>
          <w:lang w:val="vi-VN"/>
        </w:rPr>
        <w:t>Hướng dẫn ASEAN về Giải quyết Tranh chấp Trực tuyến (ODR)</w:t>
      </w:r>
    </w:p>
    <w:p w14:paraId="0A2A9AF8" w14:textId="3E8EE74E" w:rsidR="6BB67ADE" w:rsidRPr="005824F0" w:rsidRDefault="005824F0" w:rsidP="00CF1A4A">
      <w:pPr>
        <w:spacing w:line="276" w:lineRule="auto"/>
        <w:rPr>
          <w:lang w:val="vi-VN"/>
        </w:rPr>
      </w:pPr>
      <w:r w:rsidRPr="005824F0">
        <w:rPr>
          <w:lang w:val="vi-VN"/>
        </w:rPr>
        <w:t>Bộ Hướng dẫn ASEAN về Giải quyết Tranh chấp Trực tuyến (ODR) đưa ra một khuôn khổ có cấu trúc nhằm xử lý tranh chấp phát sinh từ giao dịch trực tuyến trong khu vực ASEAN</w:t>
      </w:r>
      <w:r w:rsidRPr="6BB67ADE">
        <w:rPr>
          <w:rStyle w:val="FootnoteReference"/>
          <w:rFonts w:eastAsia="Times New Roman"/>
        </w:rPr>
        <w:footnoteReference w:id="383"/>
      </w:r>
      <w:r w:rsidRPr="005824F0">
        <w:rPr>
          <w:lang w:val="vi-VN"/>
        </w:rPr>
        <w:t>. Các hướng dẫn quy định thủ tục và thông lệ tốt trong giải quyết tranh chấp bằng phương thức điện tử, đảm bảo tính hiệu quả và công bằng, không cần sử dụng quy trình pháp lý truyền thống.</w:t>
      </w:r>
    </w:p>
    <w:p w14:paraId="2476E286" w14:textId="7DFE14D7" w:rsidR="6BB67ADE" w:rsidRPr="005824F0" w:rsidRDefault="005824F0" w:rsidP="00CF1A4A">
      <w:pPr>
        <w:spacing w:line="276" w:lineRule="auto"/>
        <w:rPr>
          <w:lang w:val="vi-VN"/>
        </w:rPr>
      </w:pPr>
      <w:r w:rsidRPr="005824F0">
        <w:rPr>
          <w:lang w:val="vi-VN"/>
        </w:rPr>
        <w:t>Động lực của sáng kiến đến từ sự tăng trưởng mạnh của thương mại điện tử, khối lượng giao dịch trực tuyến ngày càng lớn, và nhu cầu về cơ chế giải quyết tranh chấp hiệu quả và dễ tiếp cận. ODR hỗ trợ các mục tiêu thúc đẩy thương mại số và bảo vệ người tiêu dùng của ASEAN thông qua cách tiếp cận thống nhất trong quản lý tranh chấp trực tuyến.</w:t>
      </w:r>
    </w:p>
    <w:p w14:paraId="666296AC" w14:textId="6D95A8B8" w:rsidR="6BB67ADE" w:rsidRPr="005824F0" w:rsidRDefault="005824F0" w:rsidP="00CF1A4A">
      <w:pPr>
        <w:spacing w:line="276" w:lineRule="auto"/>
        <w:rPr>
          <w:lang w:val="vi-VN"/>
        </w:rPr>
      </w:pPr>
      <w:r w:rsidRPr="005824F0">
        <w:rPr>
          <w:lang w:val="vi-VN"/>
        </w:rPr>
        <w:t>Tầm quan trọng của ODR nằm ở khả năng tạo ra giải pháp nhanh chóng, thuận tiện và hiệu quả cho tranh chấp thương mại điện tử. Điều này góp phần củng cố niềm tin người tiêu dùng, giảm gánh nặng cho hệ thống tòa án truyền thống và hỗ trợ xây dựng môi trường trực tuyến an toàn, minh bạch trong khu vực.</w:t>
      </w:r>
    </w:p>
    <w:p w14:paraId="2DB8FCDA" w14:textId="185C47F7" w:rsidR="6BB67ADE" w:rsidRPr="005824F0" w:rsidRDefault="005824F0" w:rsidP="00CF1A4A">
      <w:pPr>
        <w:spacing w:line="276" w:lineRule="auto"/>
        <w:rPr>
          <w:b/>
          <w:bCs/>
          <w:lang w:val="vi-VN"/>
        </w:rPr>
      </w:pPr>
      <w:r w:rsidRPr="005824F0">
        <w:rPr>
          <w:b/>
          <w:bCs/>
          <w:lang w:val="vi-VN"/>
        </w:rPr>
        <w:t>Khung ASEAN về Bảo vệ Dữ liệu Cá nhân (PDP)</w:t>
      </w:r>
    </w:p>
    <w:p w14:paraId="59FAF2ED" w14:textId="6262C814" w:rsidR="6BB67ADE" w:rsidRPr="005824F0" w:rsidRDefault="005824F0" w:rsidP="00CF1A4A">
      <w:pPr>
        <w:spacing w:line="276" w:lineRule="auto"/>
        <w:rPr>
          <w:lang w:val="vi-VN"/>
        </w:rPr>
      </w:pPr>
      <w:r w:rsidRPr="005824F0">
        <w:rPr>
          <w:lang w:val="vi-VN"/>
        </w:rPr>
        <w:t>Khung ASEAN về Bảo vệ Dữ liệu Cá nhân (PDP) nhằm thiết lập một cách tiếp cận thống nhất trong việc bảo vệ dữ liệu cá nhân trên toàn khu vực</w:t>
      </w:r>
      <w:r w:rsidR="009A4CF7" w:rsidRPr="6BB67ADE">
        <w:rPr>
          <w:rStyle w:val="FootnoteReference"/>
          <w:rFonts w:eastAsia="Times New Roman"/>
          <w:lang w:eastAsia="zh-CN"/>
        </w:rPr>
        <w:footnoteReference w:id="384"/>
      </w:r>
      <w:r w:rsidRPr="005824F0">
        <w:rPr>
          <w:lang w:val="vi-VN"/>
        </w:rPr>
        <w:t>. Khung này đưa ra các hướng dẫn về quyền riêng tư dữ liệu, an ninh dữ liệu và quyền của cá nhân, bảo đảm thông tin cá nhân được xử lý minh bạch và có trách nhiệm bởi doanh nghiệp và cơ quan nhà nước.</w:t>
      </w:r>
    </w:p>
    <w:p w14:paraId="528E67DA" w14:textId="74B95853" w:rsidR="6BB67ADE" w:rsidRPr="009A4CF7" w:rsidRDefault="009A4CF7" w:rsidP="00CF1A4A">
      <w:pPr>
        <w:spacing w:line="276" w:lineRule="auto"/>
        <w:rPr>
          <w:lang w:val="vi-VN"/>
        </w:rPr>
      </w:pPr>
      <w:r w:rsidRPr="009A4CF7">
        <w:rPr>
          <w:lang w:val="vi-VN"/>
        </w:rPr>
        <w:t xml:space="preserve">Các động lực thúc đẩy sáng kiến gồm mức độ số hóa nền kinh tế ngày càng tăng, số vụ vi phạm dữ liệu gia tăng, và nhu cầu về các tiêu chuẩn bảo vệ dữ liệu nhất quán giữa các quốc gia thành </w:t>
      </w:r>
      <w:r w:rsidRPr="009A4CF7">
        <w:rPr>
          <w:lang w:val="vi-VN"/>
        </w:rPr>
        <w:lastRenderedPageBreak/>
        <w:t>viên. Khung này hỗ trợ mục tiêu hội nhập số và củng cố niềm tin vào nền kinh tế số của ASEAN thông qua việc hài hòa các thực tiễn bảo vệ dữ liệu theo chuẩn mực quốc tế.</w:t>
      </w:r>
    </w:p>
    <w:p w14:paraId="4D9DB400" w14:textId="20A6F806" w:rsidR="6BB67ADE" w:rsidRPr="009A4CF7" w:rsidRDefault="009A4CF7" w:rsidP="00CF1A4A">
      <w:pPr>
        <w:spacing w:line="276" w:lineRule="auto"/>
        <w:rPr>
          <w:lang w:val="vi-VN"/>
        </w:rPr>
      </w:pPr>
      <w:r w:rsidRPr="009A4CF7">
        <w:rPr>
          <w:lang w:val="vi-VN"/>
        </w:rPr>
        <w:t>Tầm quan trọng của PDP ASEAN nằm ở khả năng tăng cường niềm tin của người tiêu dùng và an toàn dữ liệu trong khu vực. Bằng việc đưa ra các hướng dẫn rõ ràng, nhất quán, sáng kiến giúp giảm nguy cơ lạm dụng dữ liệu và rủi ro vi phạm, tạo ra môi trường số an toàn hơn. Sáng kiến này không chỉ bảo vệ quyền riêng tư của cá nhân mà còn hỗ trợ doanh nghiệp thông qua một môi trường pháp lý dự đoán được, qua đó thúc đẩy tăng trưởng kinh tế và đổi mới sáng tạo số.</w:t>
      </w:r>
    </w:p>
    <w:p w14:paraId="0CE9ADAA" w14:textId="056EA178" w:rsidR="6BB67ADE" w:rsidRPr="009A4CF7" w:rsidRDefault="009A4CF7" w:rsidP="00CF1A4A">
      <w:pPr>
        <w:spacing w:line="276" w:lineRule="auto"/>
        <w:ind w:left="360" w:hanging="360"/>
        <w:rPr>
          <w:b/>
          <w:bCs/>
          <w:lang w:val="vi-VN"/>
        </w:rPr>
      </w:pPr>
      <w:r w:rsidRPr="009A4CF7">
        <w:rPr>
          <w:b/>
          <w:bCs/>
          <w:lang w:val="vi-VN"/>
        </w:rPr>
        <w:t>Khung Quản lý Dữ liệu ASEAN (ASEAN Data Management Framework – DMF)</w:t>
      </w:r>
    </w:p>
    <w:p w14:paraId="6E5AC080" w14:textId="17558304" w:rsidR="6BB67ADE" w:rsidRPr="009A4CF7" w:rsidRDefault="009A4CF7" w:rsidP="00CF1A4A">
      <w:pPr>
        <w:spacing w:line="276" w:lineRule="auto"/>
        <w:rPr>
          <w:lang w:val="vi-VN"/>
        </w:rPr>
      </w:pPr>
      <w:r w:rsidRPr="009A4CF7">
        <w:rPr>
          <w:lang w:val="vi-VN"/>
        </w:rPr>
        <w:t>Khung Quản lý Dữ liệu ASEAN (DMF) nhằm cung cấp bộ hướng dẫn toàn diện về quản lý dữ liệu hiệu quả trong khu vực</w:t>
      </w:r>
      <w:r w:rsidRPr="6BB67ADE">
        <w:rPr>
          <w:rStyle w:val="FootnoteReference"/>
          <w:rFonts w:eastAsia="Times New Roman"/>
          <w:lang w:eastAsia="zh-CN"/>
        </w:rPr>
        <w:footnoteReference w:id="385"/>
      </w:r>
      <w:r w:rsidRPr="009A4CF7">
        <w:rPr>
          <w:lang w:val="vi-VN"/>
        </w:rPr>
        <w:t>. Khung này tập trung vào các thông lệ tốt nhất về quản trị dữ liệu, an ninh dữ liệu và chất lượng dữ liệu, bảo đảm dữ liệu được xử lý có trách nhiệm và hiệu quả bởi doanh nghiệp và cơ quan nhà nước.</w:t>
      </w:r>
    </w:p>
    <w:p w14:paraId="2C8CB619" w14:textId="6DB5A199" w:rsidR="6BB67ADE" w:rsidRPr="009A4CF7" w:rsidRDefault="009A4CF7" w:rsidP="00CF1A4A">
      <w:pPr>
        <w:spacing w:line="276" w:lineRule="auto"/>
        <w:rPr>
          <w:lang w:val="vi-VN"/>
        </w:rPr>
      </w:pPr>
      <w:r w:rsidRPr="009A4CF7">
        <w:rPr>
          <w:lang w:val="vi-VN"/>
        </w:rPr>
        <w:t>Động lực chính cho sáng kiến gồm vai trò ngày càng lớn của dữ liệu trong nền kinh tế số, nhu cầu hài hòa hóa các thực tiễn quản lý dữ liệu, và mong muốn tăng cường ra quyết định dựa trên dữ liệu. DMF hỗ trợ mục tiêu chuyển đổi số và hội nhập kinh tế của ASEAN bằng cách thúc đẩy một cách tiếp cận thống nhất đối với quản lý dữ liệu.</w:t>
      </w:r>
    </w:p>
    <w:p w14:paraId="78160BF2" w14:textId="50A49A98" w:rsidR="6BB67ADE" w:rsidRPr="009A4CF7" w:rsidRDefault="009A4CF7" w:rsidP="00CF1A4A">
      <w:pPr>
        <w:spacing w:line="276" w:lineRule="auto"/>
        <w:rPr>
          <w:lang w:val="vi-VN"/>
        </w:rPr>
      </w:pPr>
      <w:r w:rsidRPr="009A4CF7">
        <w:rPr>
          <w:lang w:val="vi-VN"/>
        </w:rPr>
        <w:t>Tầm quan trọng của DMF thể hiện ở khả năng nâng cao quản trị và an ninh dữ liệu trong khu vực. Bằng việc đưa ra các tiêu chuẩn và thực tiễn rõ ràng, DMF giúp các tổ chức quản lý dữ liệu hiệu quả hơn, giảm rủi ro và cải thiện hiệu suất hoạt động. Sáng kiến này hỗ trợ phát triển nền kinh tế số vững mạnh, thúc đẩy đổi mới sáng tạo và tăng năng lực cạnh tranh, từ đó đóng góp vào tăng trưởng kinh tế khu vực.</w:t>
      </w:r>
    </w:p>
    <w:p w14:paraId="3DA1B835" w14:textId="049E4835" w:rsidR="6BB67ADE" w:rsidRPr="009A4CF7" w:rsidRDefault="009A4CF7" w:rsidP="00CF1A4A">
      <w:pPr>
        <w:spacing w:line="276" w:lineRule="auto"/>
        <w:rPr>
          <w:b/>
          <w:bCs/>
          <w:lang w:val="vi-VN"/>
        </w:rPr>
      </w:pPr>
      <w:r w:rsidRPr="009A4CF7">
        <w:rPr>
          <w:b/>
          <w:bCs/>
          <w:lang w:val="vi-VN"/>
        </w:rPr>
        <w:t>Bộ Điều khoản Hợp đồng Mẫu ASEAN về Dòng chảy Dữ liệu Xuyên biên giới (Model Contractual Clauses – MCCs)</w:t>
      </w:r>
    </w:p>
    <w:p w14:paraId="71E5AE6C" w14:textId="10C7D790" w:rsidR="6BB67ADE" w:rsidRPr="009A4CF7" w:rsidRDefault="009A4CF7" w:rsidP="00CF1A4A">
      <w:pPr>
        <w:spacing w:line="276" w:lineRule="auto"/>
        <w:rPr>
          <w:lang w:val="vi-VN"/>
        </w:rPr>
      </w:pPr>
      <w:r w:rsidRPr="009A4CF7">
        <w:rPr>
          <w:lang w:val="vi-VN"/>
        </w:rPr>
        <w:t>Bộ Điều khoản Hợp đồng Mẫu về Dòng chảy Dữ liệu Xuyên biên giới (MCCs) nhằm tạo thuận lợi cho việc chuyển dữ liệu cá nhân an toàn và tuân thủ quy định giữa các quốc gia thành viên ASEAN</w:t>
      </w:r>
      <w:r w:rsidRPr="6BB67ADE">
        <w:rPr>
          <w:rStyle w:val="FootnoteReference"/>
        </w:rPr>
        <w:footnoteReference w:id="386"/>
      </w:r>
      <w:r w:rsidRPr="009A4CF7">
        <w:rPr>
          <w:lang w:val="vi-VN"/>
        </w:rPr>
        <w:t>. MCCs cung cấp bộ điều khoản tiêu chuẩn giúp doanh nghiệp đảm bảo tuân thủ pháp lý và bảo vệ dữ liệu trong quá trình chuyển dữ liệu xuyên biên giới.</w:t>
      </w:r>
    </w:p>
    <w:p w14:paraId="73BCADA0" w14:textId="32A60FF5" w:rsidR="6BB67ADE" w:rsidRPr="009A4CF7" w:rsidRDefault="009A4CF7" w:rsidP="00CF1A4A">
      <w:pPr>
        <w:spacing w:line="276" w:lineRule="auto"/>
        <w:rPr>
          <w:lang w:val="vi-VN"/>
        </w:rPr>
      </w:pPr>
      <w:r w:rsidRPr="009A4CF7">
        <w:rPr>
          <w:lang w:val="vi-VN"/>
        </w:rPr>
        <w:t>Các động lực thúc đẩy sáng kiến gồm khối lượng dữ liệu xuyên biên giới ngày càng tăng, nhu cầu hài hòa hóa quy định bảo vệ dữ liệu và mong muốn hỗ trợ nền kinh tế số. MCCs hỗ trợ mục tiêu hội nhập và chuyển đổi số của ASEAN bằng cách cung cấp khung tiêu chuẩn hóa cho việc chuyển dữ liệu.</w:t>
      </w:r>
    </w:p>
    <w:p w14:paraId="68FA9344" w14:textId="41B58B29" w:rsidR="6BB67ADE" w:rsidRPr="009A4CF7" w:rsidRDefault="009A4CF7" w:rsidP="00CF1A4A">
      <w:pPr>
        <w:spacing w:line="276" w:lineRule="auto"/>
        <w:rPr>
          <w:lang w:val="vi-VN"/>
        </w:rPr>
      </w:pPr>
      <w:r w:rsidRPr="009A4CF7">
        <w:rPr>
          <w:lang w:val="vi-VN"/>
        </w:rPr>
        <w:t>Tầm quan trọng của MCCs nằm ở khả năng đơn giản hóa và tăng cường an toàn cho các hoạt động chuyển dữ liệu quốc tế. Bằng cách đưa ra các điều khoản chuẩn hóa, MCCs giúp doanh nghiệp xử lý các phức tạp pháp lý và đảm bảo tuân thủ quy định. Sáng kiến này không chỉ tăng cường niềm tin của người tiêu dùng mà còn hỗ trợ hoạt động xuyên biên giới của doanh nghiệp, qua đó thúc đẩy tăng trưởng kinh tế số và hội nhập khu vực.</w:t>
      </w:r>
    </w:p>
    <w:p w14:paraId="6F239C40" w14:textId="70FFA649" w:rsidR="6BB67ADE" w:rsidRPr="009A4CF7" w:rsidRDefault="009A4CF7" w:rsidP="00CF1A4A">
      <w:pPr>
        <w:spacing w:line="276" w:lineRule="auto"/>
        <w:rPr>
          <w:b/>
          <w:bCs/>
          <w:lang w:val="vi-VN"/>
        </w:rPr>
      </w:pPr>
      <w:r w:rsidRPr="009A4CF7">
        <w:rPr>
          <w:b/>
          <w:bCs/>
          <w:lang w:val="vi-VN"/>
        </w:rPr>
        <w:lastRenderedPageBreak/>
        <w:t>Cơ chế Chứng nhận ASEAN cho Dòng chảy Dữ liệu Xuyên biên giới (ACCDF – dự kiến hoàn tất năm 2025)</w:t>
      </w:r>
    </w:p>
    <w:p w14:paraId="0BC454EA" w14:textId="175AD7D6" w:rsidR="6BB67ADE" w:rsidRPr="009A4CF7" w:rsidRDefault="009A4CF7" w:rsidP="00CF1A4A">
      <w:pPr>
        <w:spacing w:line="276" w:lineRule="auto"/>
        <w:rPr>
          <w:lang w:val="vi-VN"/>
        </w:rPr>
      </w:pPr>
      <w:r w:rsidRPr="009A4CF7">
        <w:rPr>
          <w:lang w:val="vi-VN"/>
        </w:rPr>
        <w:t>Cơ chế Chứng nhận ASEAN cho Dòng chảy Dữ liệu Xuyên biên giới (ACCDF) đang được nghiên cứu như một cơ chế chuyển dữ liệu mới giữa các quốc gia ASEAN và đối tác bên ngoài. Dựa trên Khung DMF được thông qua năm 2021, ACCDF nhằm cung cấp quy trình chứng nhận có cấu trúc và được công nhận, qua đó tăng cường an toàn và hiệu quả cho các dòng chảy dữ liệu xuyên biên giới.</w:t>
      </w:r>
    </w:p>
    <w:p w14:paraId="2E9C56CF" w14:textId="1D315370" w:rsidR="6BB67ADE" w:rsidRPr="009A4CF7" w:rsidRDefault="009A4CF7" w:rsidP="00CF1A4A">
      <w:pPr>
        <w:spacing w:line="276" w:lineRule="auto"/>
        <w:rPr>
          <w:lang w:val="vi-VN"/>
        </w:rPr>
      </w:pPr>
      <w:r w:rsidRPr="009A4CF7">
        <w:rPr>
          <w:lang w:val="vi-VN"/>
        </w:rPr>
        <w:t>Động lực thúc đẩy sáng kiến gồm nhu cầu hỗ trợ trao đổi dữ liệu xuyên biên giới an toàn, mong muốn phát triển thêm dựa trên các hướng dẫn tự nguyện và không ràng buộc của DMF, và mục tiêu xây dựng một cơ chế mạnh mẽ trong Khung Quản trị Dữ liệu Số ASEAN. ACCDF được kỳ vọng sẽ bổ sung cho các khung hiện có, giúp doanh nghiệp điều hướng hoạt động chuyển dữ liệu với sự tự tin và tuân thủ cao hơn.</w:t>
      </w:r>
    </w:p>
    <w:p w14:paraId="281A00BF" w14:textId="085E7318" w:rsidR="6BB67ADE" w:rsidRPr="009A4CF7" w:rsidRDefault="009A4CF7" w:rsidP="00CF1A4A">
      <w:pPr>
        <w:spacing w:line="276" w:lineRule="auto"/>
        <w:rPr>
          <w:lang w:val="vi-VN"/>
        </w:rPr>
      </w:pPr>
      <w:r w:rsidRPr="009A4CF7">
        <w:rPr>
          <w:lang w:val="vi-VN"/>
        </w:rPr>
        <w:t>Tầm quan trọng của ACCDF nằm ở khả năng tiêu chuẩn hóa và củng cố thực tiễn quản trị dữ liệu trong khu vực. Bằng cách thiết lập quy trình chứng nhận được công nhận, sáng kiến giúp xây dựng lòng tin giữa các quốc gia thành viên và đối tác, tạo thuận lợi cho trao đổi dữ liệu và hỗ trợ mục tiêu hội nhập số và tăng trưởng kinh tế của ASEAN.</w:t>
      </w:r>
    </w:p>
    <w:p w14:paraId="76516858" w14:textId="7DEDABF7" w:rsidR="6BB67ADE" w:rsidRPr="009A4CF7" w:rsidRDefault="009A4CF7" w:rsidP="00CF1A4A">
      <w:pPr>
        <w:spacing w:line="276" w:lineRule="auto"/>
        <w:rPr>
          <w:b/>
          <w:bCs/>
          <w:lang w:val="vi-VN"/>
        </w:rPr>
      </w:pPr>
      <w:r w:rsidRPr="009A4CF7">
        <w:rPr>
          <w:b/>
          <w:bCs/>
          <w:lang w:val="vi-VN"/>
        </w:rPr>
        <w:t>Chiến lược Hợp tác An ninh mạng ASEAN 2026–2030 (dự kiến hoàn tất năm 2025)</w:t>
      </w:r>
    </w:p>
    <w:p w14:paraId="4F3E6EAB" w14:textId="58A5F1AF" w:rsidR="6BB67ADE" w:rsidRPr="009A4CF7" w:rsidRDefault="009A4CF7" w:rsidP="00CF1A4A">
      <w:pPr>
        <w:spacing w:line="276" w:lineRule="auto"/>
        <w:rPr>
          <w:lang w:val="vi-VN"/>
        </w:rPr>
      </w:pPr>
      <w:r w:rsidRPr="009A4CF7">
        <w:rPr>
          <w:lang w:val="vi-VN"/>
        </w:rPr>
        <w:t>Chiến lược Hợp tác An ninh mạng ASEAN 2026–2030 hướng tới kế thừa các thành tựu trước đó và xây dựng khuôn khổ nâng cao cho không gian mạng khu vực. Chiến lược mới này tập trung thúc đẩy hợp tác sâu rộng hơn và tăng cường chia sẻ thông tin giữa các quốc gia thành viên ASEAN nhằm đối phó hiệu quả với các mối đe dọa mạng đang phát triển, tạo ra môi trường số an toàn, hỗ trợ tăng trưởng kinh tế và phát triển xã hội.</w:t>
      </w:r>
    </w:p>
    <w:p w14:paraId="29A37099" w14:textId="70F15ABF" w:rsidR="6BB67ADE" w:rsidRPr="009A4CF7" w:rsidRDefault="009A4CF7" w:rsidP="00CF1A4A">
      <w:pPr>
        <w:spacing w:line="276" w:lineRule="auto"/>
        <w:rPr>
          <w:lang w:val="vi-VN"/>
        </w:rPr>
      </w:pPr>
      <w:r w:rsidRPr="009A4CF7">
        <w:rPr>
          <w:lang w:val="vi-VN"/>
        </w:rPr>
        <w:t>Động lực của sáng kiến gồm sự phức tạp ngày càng tăng của các mối đe dọa mạng, nhu cầu duy trì và mở rộng tiến bộ từ các chiến lược 2017–2020 và 2021–2025, cũng như tầm quan trọng của cách tiếp cận phối hợp ở cấp khu vực. Chiến lược cũng chú trọng các chương trình xây dựng năng lực và nâng cao nhận thức an ninh mạng trong chính phủ, doanh nghiệp và người dân.</w:t>
      </w:r>
    </w:p>
    <w:p w14:paraId="77EBA49C" w14:textId="7F4146BB" w:rsidR="6BB67ADE" w:rsidRPr="009A4CF7" w:rsidRDefault="009A4CF7" w:rsidP="00CF1A4A">
      <w:pPr>
        <w:spacing w:line="276" w:lineRule="auto"/>
        <w:rPr>
          <w:lang w:val="vi-VN"/>
        </w:rPr>
      </w:pPr>
      <w:r w:rsidRPr="009A4CF7">
        <w:rPr>
          <w:lang w:val="vi-VN"/>
        </w:rPr>
        <w:t>Tầm quan trọng của Chiến lược 2026–2030 nằm ở khả năng nâng cao năng lực và khả năng chống chịu an ninh mạng của khu vực. Thông qua hợp tác và nâng cao nhận thức, chiến lược góp phần tạo ra môi trường số an toàn hơn, hỗ trợ tăng trưởng của nền kinh tế số ASEAN và đóng góp vào ổn định, thịnh vượng khu vực.</w:t>
      </w:r>
    </w:p>
    <w:p w14:paraId="0DBE97A5" w14:textId="77777777" w:rsidR="00C1681D" w:rsidRDefault="00C1681D">
      <w:pPr>
        <w:spacing w:line="259" w:lineRule="auto"/>
        <w:jc w:val="left"/>
        <w:rPr>
          <w:rFonts w:eastAsia="Arial" w:cs="Segoe UI"/>
          <w:color w:val="ED7D31" w:themeColor="accent2"/>
          <w:szCs w:val="36"/>
        </w:rPr>
      </w:pPr>
      <w:r>
        <w:br w:type="page"/>
      </w:r>
    </w:p>
    <w:p w14:paraId="0EC5B70D" w14:textId="6F0DA82D" w:rsidR="6BB67ADE" w:rsidRPr="00A27464" w:rsidRDefault="00A27464" w:rsidP="00B22C77">
      <w:pPr>
        <w:pStyle w:val="Heading2"/>
        <w:numPr>
          <w:ilvl w:val="0"/>
          <w:numId w:val="0"/>
        </w:numPr>
        <w:spacing w:line="276" w:lineRule="auto"/>
        <w:rPr>
          <w:lang w:val="vi-VN"/>
        </w:rPr>
      </w:pPr>
      <w:r w:rsidRPr="00A27464">
        <w:rPr>
          <w:lang w:val="vi-VN"/>
        </w:rPr>
        <w:lastRenderedPageBreak/>
        <w:t>Sáng kiến Số Mũi nhọn của ASEAN liên quan đến Hợp tác về Các Chủ đề Mới nổi</w:t>
      </w:r>
    </w:p>
    <w:p w14:paraId="21C25638" w14:textId="44FC5835" w:rsidR="6BB67ADE" w:rsidRPr="00A27464" w:rsidRDefault="00A27464" w:rsidP="00C1681D">
      <w:pPr>
        <w:spacing w:line="259" w:lineRule="auto"/>
        <w:jc w:val="left"/>
        <w:rPr>
          <w:b/>
          <w:bCs/>
          <w:lang w:val="vi-VN"/>
        </w:rPr>
      </w:pPr>
      <w:r w:rsidRPr="00A27464">
        <w:rPr>
          <w:b/>
          <w:bCs/>
          <w:lang w:val="vi-VN"/>
        </w:rPr>
        <w:t>Hướng dẫn của ASEAN về Quản trị và Đạo đức Trí tuệ Nhân tạo (AI)</w:t>
      </w:r>
    </w:p>
    <w:p w14:paraId="483856E9" w14:textId="2428368C" w:rsidR="6BB67ADE" w:rsidRPr="00A27464" w:rsidRDefault="00A27464" w:rsidP="00CF1A4A">
      <w:pPr>
        <w:spacing w:before="240" w:line="276" w:lineRule="auto"/>
        <w:rPr>
          <w:lang w:val="vi-VN"/>
        </w:rPr>
      </w:pPr>
      <w:r w:rsidRPr="00A27464">
        <w:rPr>
          <w:lang w:val="vi-VN"/>
        </w:rPr>
        <w:t>Hướng dẫn của ASEAN về Quản trị và Đạo đức AI đặt mục tiêu xây dựng một khuôn khổ cho việc phát triển và triển khai trí tuệ nhân tạo một cách có đạo đức trong khu vực ASEAN</w:t>
      </w:r>
      <w:r w:rsidRPr="6BB67ADE">
        <w:rPr>
          <w:vertAlign w:val="superscript"/>
        </w:rPr>
        <w:footnoteReference w:id="387"/>
      </w:r>
      <w:r w:rsidRPr="00A27464">
        <w:rPr>
          <w:lang w:val="vi-VN"/>
        </w:rPr>
        <w:t>. Tài liệu này đưa ra các hướng dẫn về tính minh bạch, trách nhiệm giải trình, công bằng và quyền riêng tư nhằm bảo đảm rằng các công nghệ AI được sử dụng một cách có trách nhiệm và mang lại lợi ích.</w:t>
      </w:r>
    </w:p>
    <w:p w14:paraId="2718087B" w14:textId="4D4EE1B1" w:rsidR="6BB67ADE" w:rsidRPr="00A27464" w:rsidRDefault="00A27464" w:rsidP="00CF1A4A">
      <w:pPr>
        <w:spacing w:line="276" w:lineRule="auto"/>
        <w:rPr>
          <w:lang w:val="vi-VN"/>
        </w:rPr>
      </w:pPr>
      <w:r w:rsidRPr="00A27464">
        <w:rPr>
          <w:lang w:val="vi-VN"/>
        </w:rPr>
        <w:t>Các động lực cốt lõi thúc đẩy sáng kiến này bao gồm sự phát triển nhanh chóng của công nghệ AI, nhu cầu giải quyết các vấn đề đạo đức và quản trị, cũng như mong muốn thúc đẩy niềm tin vào các hệ thống AI. Hướng dẫn này hỗ trợ các mục tiêu rộng lớn hơn của ASEAN về chuyển đổi số và đổi mới sáng tạo bằng cách nuôi dưỡng một hệ sinh thái AI có trách nhiệm.</w:t>
      </w:r>
    </w:p>
    <w:p w14:paraId="04625644" w14:textId="33E9AA1D" w:rsidR="6BB67ADE" w:rsidRPr="00A27464" w:rsidRDefault="00A27464" w:rsidP="00CF1A4A">
      <w:pPr>
        <w:spacing w:line="276" w:lineRule="auto"/>
        <w:rPr>
          <w:lang w:val="vi-VN"/>
        </w:rPr>
      </w:pPr>
      <w:r w:rsidRPr="00A27464">
        <w:rPr>
          <w:lang w:val="vi-VN"/>
        </w:rPr>
        <w:t>Ý nghĩa của Hướng dẫn ASEAN về Quản trị và Đạo đức AI nằm ở khả năng định hướng việc sử dụng AI một cách có đạo đức, tăng cường niềm tin của công chúng và bảo đảm kết quả công bằng. Bằng việc đưa ra các nguyên tắc quản trị và đạo đức rõ ràng, tài liệu giúp giảm thiểu những rủi ro liên quan đến AI, như thiên vị hay vi phạm quyền riêng tư. Sáng kiến này hỗ trợ phát triển AI bền vững, thúc đẩy đổi mới sáng tạo nhưng vẫn bảo vệ các giá trị xã hội, đóng góp vào tăng trưởng kinh tế khu vực.</w:t>
      </w:r>
    </w:p>
    <w:p w14:paraId="4D82CCC3" w14:textId="2E31590B" w:rsidR="00C236C3" w:rsidRPr="00FA43AF" w:rsidRDefault="00FA43AF" w:rsidP="00C236C3">
      <w:pPr>
        <w:spacing w:line="276" w:lineRule="auto"/>
        <w:rPr>
          <w:b/>
          <w:bCs/>
          <w:lang w:val="vi-VN"/>
        </w:rPr>
      </w:pPr>
      <w:r w:rsidRPr="00FA43AF">
        <w:rPr>
          <w:b/>
          <w:bCs/>
          <w:lang w:val="vi-VN"/>
        </w:rPr>
        <w:t>Hướng dẫn ASEAN Mở rộng về Quản trị và Đạo đức AI – Trí tuệ Nhân tạo Sinh (Generative AI)</w:t>
      </w:r>
    </w:p>
    <w:p w14:paraId="2DF636C6" w14:textId="51F220B6" w:rsidR="00C236C3" w:rsidRPr="00FA43AF" w:rsidRDefault="00FA43AF" w:rsidP="00C236C3">
      <w:pPr>
        <w:spacing w:line="276" w:lineRule="auto"/>
        <w:rPr>
          <w:lang w:val="vi-VN"/>
        </w:rPr>
      </w:pPr>
      <w:r w:rsidRPr="00FA43AF">
        <w:rPr>
          <w:lang w:val="vi-VN"/>
        </w:rPr>
        <w:t>Hướng dẫn Mở rộng về Quản trị và Đạo đức AI của ASEAN bổ sung và hỗ trợ Hướng dẫn ASEAN về Quản trị và Đạo đức AI (2024) bằng các cân nhắc chính sách liên quan đến trí tuệ nhân tạo sinh (Gen AI). Tài liệu cung cấp cái nhìn về các cơ hội và rủi ro của Gen AI, đồng thời đề xuất nhiều hành động chính sách để ASEAN thúc đẩy việc ứng dụng có trách nhiệm công nghệ này. Các khuyến nghị nhấn mạnh tầm quan trọng của việc khai thác lợi ích của Gen AI cùng với các biện pháp an toàn hợp lý, cân bằng và có khả năng liên thông trong khu vực.</w:t>
      </w:r>
    </w:p>
    <w:p w14:paraId="606D2770" w14:textId="3DC027F0" w:rsidR="6BB67ADE" w:rsidRPr="00FA43AF" w:rsidRDefault="00FA43AF" w:rsidP="00CF1A4A">
      <w:pPr>
        <w:tabs>
          <w:tab w:val="left" w:pos="8803"/>
        </w:tabs>
        <w:spacing w:line="276" w:lineRule="auto"/>
        <w:rPr>
          <w:b/>
          <w:bCs/>
          <w:lang w:val="vi-VN"/>
        </w:rPr>
      </w:pPr>
      <w:r w:rsidRPr="00FA43AF">
        <w:rPr>
          <w:b/>
          <w:bCs/>
          <w:lang w:val="vi-VN"/>
        </w:rPr>
        <w:t>Lộ trình AI Có trách nhiệm của ASEAN (Dự kiến hoàn thiện vào giữa năm 2024)</w:t>
      </w:r>
    </w:p>
    <w:p w14:paraId="6C686681" w14:textId="79DE6E7B" w:rsidR="6BB67ADE" w:rsidRPr="00FA43AF" w:rsidRDefault="00FA43AF" w:rsidP="00CF1A4A">
      <w:pPr>
        <w:tabs>
          <w:tab w:val="left" w:pos="8803"/>
        </w:tabs>
        <w:spacing w:line="276" w:lineRule="auto"/>
        <w:rPr>
          <w:lang w:val="vi-VN"/>
        </w:rPr>
      </w:pPr>
      <w:r w:rsidRPr="00FA43AF">
        <w:rPr>
          <w:lang w:val="vi-VN"/>
        </w:rPr>
        <w:t>Lộ trình AI Có trách nhiệm của ASEAN được xây dựng nhằm cung cấp các bước hành động cụ thể cho nhà hoạch định chính sách và các bên liên quan, để tạo điều kiện cho AI có trách nhiệm phát triển mạnh mẽ trong khu vực, đồng thời giúp các nước thành viên (AMS) tận dụng AI một cách hiệu quả, có tác động và bền vững đến năm 2030, phù hợp với các mục tiêu rộng lớn hơn của ASEAN về quản trị AI có đạo đức.</w:t>
      </w:r>
    </w:p>
    <w:p w14:paraId="2C8D6B9B" w14:textId="4D412290" w:rsidR="6BB67ADE" w:rsidRPr="00FA43AF" w:rsidRDefault="00FA43AF" w:rsidP="00CF1A4A">
      <w:pPr>
        <w:tabs>
          <w:tab w:val="left" w:pos="8803"/>
        </w:tabs>
        <w:spacing w:line="276" w:lineRule="auto"/>
        <w:rPr>
          <w:lang w:val="vi-VN"/>
        </w:rPr>
      </w:pPr>
      <w:r w:rsidRPr="00FA43AF">
        <w:rPr>
          <w:lang w:val="vi-VN"/>
        </w:rPr>
        <w:t>Các động lực thúc đẩy sáng kiến bao gồm sự phát triển nhanh của công nghệ AI, nhu cầu giải quyết các vấn đề đạo đức trong triển khai AI, và mong muốn bổ sung cho các khuôn khổ hiện có như Hướng dẫn ASEAN về Quản trị và Đạo đức AI. Lộ trình này hướng đến hỗ trợ AMS trong việc điều hướng những phức tạp của AI, bảo đảm rằng lợi ích được phân bổ rộng rãi và công bằng.</w:t>
      </w:r>
    </w:p>
    <w:p w14:paraId="5B82CCF4" w14:textId="3AC0217F" w:rsidR="6BB67ADE" w:rsidRPr="00FA43AF" w:rsidRDefault="00FA43AF" w:rsidP="00CF1A4A">
      <w:pPr>
        <w:tabs>
          <w:tab w:val="left" w:pos="8803"/>
        </w:tabs>
        <w:spacing w:line="276" w:lineRule="auto"/>
        <w:rPr>
          <w:lang w:val="vi-VN"/>
        </w:rPr>
      </w:pPr>
      <w:r w:rsidRPr="00FA43AF">
        <w:rPr>
          <w:lang w:val="vi-VN"/>
        </w:rPr>
        <w:t xml:space="preserve">Ý nghĩa của Lộ trình AI Có trách nhiệm của ASEAN nằm ở khả năng giúp khu vực trở thành hình mẫu về thực tiễn AI có đạo đức. Bằng việc đưa ra khuôn khổ rõ ràng cho AI có trách nhiệm, lộ trình sẽ bảo đảm rằng các công nghệ AI được phát triển và sử dụng phù hợp với giá trị khu vực, thúc </w:t>
      </w:r>
      <w:r w:rsidRPr="00FA43AF">
        <w:rPr>
          <w:lang w:val="vi-VN"/>
        </w:rPr>
        <w:lastRenderedPageBreak/>
        <w:t>đẩy phát triển bền vững, và tăng cường năng lực cạnh tranh toàn cầu của ASEAN trong lĩnh vực AI.</w:t>
      </w:r>
    </w:p>
    <w:p w14:paraId="04252724" w14:textId="196E94D2" w:rsidR="00A31771" w:rsidRPr="00A31771" w:rsidRDefault="00A31771" w:rsidP="00CF1A4A">
      <w:pPr>
        <w:spacing w:line="276" w:lineRule="auto"/>
        <w:rPr>
          <w:lang w:val="vi-VN"/>
        </w:rPr>
      </w:pPr>
      <w:r w:rsidRPr="00A31771">
        <w:rPr>
          <w:lang w:val="vi-VN"/>
        </w:rPr>
        <w:t>Việc hài hòa hóa các tiêu chuẩn thương mại số đóng vai trò then chốt trong việc bổ trợ và nâng cao hiệu quả của các sáng kiến số mũi nhọn của ASEAN. Bằng cách thiết lập các tiêu chuẩn kỹ thuật và pháp lý thống nhất, ASEAN có thể tăng cường khả năng liên thông, đơn giản hóa quy trình thương mại số và giảm rào cản cho giao dịch xuyên biên giới.</w:t>
      </w:r>
      <w:r>
        <w:rPr>
          <w:lang w:val="vi-VN"/>
        </w:rPr>
        <w:t xml:space="preserve"> </w:t>
      </w:r>
      <w:r w:rsidRPr="00A31771">
        <w:rPr>
          <w:lang w:val="vi-VN"/>
        </w:rPr>
        <w:t>Điều này không chỉ thúc đẩy một nền kinh tế khu vực tích hợp và hiệu quả hơn mà còn hỗ trợ tăng trưởng bền vững và bao trùm. Cuối cùng, việc hài hòa hóa tiêu chuẩn thương mại số là thiết yếu để hiện thực hóa tầm nhìn ASEAN về một cộng đồng kết nối số và hội nhập kinh tế sâu rộng, nâng cao năng lực cạnh tranh toàn cầu và bảo đảm thịnh vượng chung cho các quốc gia thành viên.</w:t>
      </w:r>
    </w:p>
    <w:p w14:paraId="72D2C77F" w14:textId="172D7D6E" w:rsidR="00F85C7A" w:rsidRDefault="00F85C7A">
      <w:pPr>
        <w:spacing w:line="259" w:lineRule="auto"/>
        <w:jc w:val="left"/>
      </w:pPr>
      <w:r>
        <w:br w:type="page"/>
      </w:r>
    </w:p>
    <w:p w14:paraId="6BC6E0A6" w14:textId="54D77BBF" w:rsidR="00F85C7A" w:rsidRPr="00A31771" w:rsidRDefault="00A31771" w:rsidP="00F85C7A">
      <w:pPr>
        <w:pStyle w:val="Heading1"/>
        <w:pageBreakBefore w:val="0"/>
        <w:numPr>
          <w:ilvl w:val="0"/>
          <w:numId w:val="0"/>
        </w:numPr>
        <w:spacing w:before="0" w:after="0"/>
        <w:rPr>
          <w:lang w:val="vi-VN"/>
        </w:rPr>
      </w:pPr>
      <w:bookmarkStart w:id="650" w:name="_Toc180743990"/>
      <w:r>
        <w:rPr>
          <w:lang w:val="en-GB"/>
        </w:rPr>
        <w:lastRenderedPageBreak/>
        <w:t>Phụ</w:t>
      </w:r>
      <w:r>
        <w:rPr>
          <w:lang w:val="vi-VN"/>
        </w:rPr>
        <w:t xml:space="preserve"> lục</w:t>
      </w:r>
      <w:r w:rsidR="00F85C7A">
        <w:rPr>
          <w:lang w:val="en-GB"/>
        </w:rPr>
        <w:t xml:space="preserve"> II:</w:t>
      </w:r>
      <w:bookmarkEnd w:id="650"/>
      <w:r>
        <w:rPr>
          <w:lang w:val="vi-VN"/>
        </w:rPr>
        <w:t xml:space="preserve"> </w:t>
      </w:r>
      <w:r w:rsidRPr="00A31771">
        <w:rPr>
          <w:lang w:val="vi-VN"/>
        </w:rPr>
        <w:t>Một số Cơ quan Ngành dọc của ASEAN và Cơ cấu Quản trị của họ</w:t>
      </w:r>
    </w:p>
    <w:p w14:paraId="46768009" w14:textId="47E3DB6D" w:rsidR="00366E9E" w:rsidRPr="00A31771" w:rsidRDefault="00A31771" w:rsidP="00DA0171">
      <w:pPr>
        <w:spacing w:line="276" w:lineRule="auto"/>
        <w:rPr>
          <w:lang w:val="vi-VN"/>
        </w:rPr>
      </w:pPr>
      <w:r w:rsidRPr="00A31771">
        <w:rPr>
          <w:lang w:val="vi-VN"/>
        </w:rPr>
        <w:t>Phần này cung cấp tổng quan về các cơ quan ngành dọc được đề cập trong Chương 5 của Lộ trình, bao gồm mô tả về phạm vi hoạt động, tuyến báo cáo, và các nhóm công tác trực thuộc mỗi cơ quan ngành dọc.</w:t>
      </w:r>
    </w:p>
    <w:tbl>
      <w:tblPr>
        <w:tblStyle w:val="ListTable3-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3458"/>
        <w:gridCol w:w="1662"/>
        <w:gridCol w:w="2991"/>
      </w:tblGrid>
      <w:tr w:rsidR="00977459" w:rsidRPr="001B2302" w14:paraId="0085143D" w14:textId="77777777" w:rsidTr="008D204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61" w:type="dxa"/>
          </w:tcPr>
          <w:p w14:paraId="4B3B6E4B" w14:textId="5D7D1C92" w:rsidR="00977459" w:rsidRPr="00A31771" w:rsidRDefault="00A31771" w:rsidP="00977459">
            <w:pPr>
              <w:spacing w:line="276" w:lineRule="auto"/>
              <w:jc w:val="center"/>
              <w:rPr>
                <w:lang w:val="vi-VN"/>
              </w:rPr>
            </w:pPr>
            <w:r>
              <w:rPr>
                <w:lang w:val="vi-VN"/>
              </w:rPr>
              <w:t>Cơ quan ngành dọc</w:t>
            </w:r>
          </w:p>
        </w:tc>
        <w:tc>
          <w:tcPr>
            <w:tcW w:w="3458" w:type="dxa"/>
          </w:tcPr>
          <w:p w14:paraId="420305E4" w14:textId="7C7CA60A" w:rsidR="00977459" w:rsidRPr="00A31771" w:rsidRDefault="00A31771" w:rsidP="00977459">
            <w:pPr>
              <w:spacing w:line="276" w:lineRule="auto"/>
              <w:jc w:val="center"/>
              <w:cnfStyle w:val="100000000000" w:firstRow="1" w:lastRow="0" w:firstColumn="0" w:lastColumn="0" w:oddVBand="0" w:evenVBand="0" w:oddHBand="0" w:evenHBand="0" w:firstRowFirstColumn="0" w:firstRowLastColumn="0" w:lastRowFirstColumn="0" w:lastRowLastColumn="0"/>
              <w:rPr>
                <w:lang w:val="vi-VN"/>
              </w:rPr>
            </w:pPr>
            <w:r>
              <w:t>M</w:t>
            </w:r>
            <w:r>
              <w:rPr>
                <w:lang w:val="vi-VN"/>
              </w:rPr>
              <w:t>ô tả</w:t>
            </w:r>
          </w:p>
        </w:tc>
        <w:tc>
          <w:tcPr>
            <w:tcW w:w="1662" w:type="dxa"/>
          </w:tcPr>
          <w:p w14:paraId="0905E315" w14:textId="0F074765" w:rsidR="00977459" w:rsidRPr="00A31771" w:rsidRDefault="00A31771" w:rsidP="00977459">
            <w:pPr>
              <w:spacing w:line="276" w:lineRule="auto"/>
              <w:jc w:val="center"/>
              <w:cnfStyle w:val="100000000000" w:firstRow="1" w:lastRow="0" w:firstColumn="0" w:lastColumn="0" w:oddVBand="0" w:evenVBand="0" w:oddHBand="0" w:evenHBand="0" w:firstRowFirstColumn="0" w:firstRowLastColumn="0" w:lastRowFirstColumn="0" w:lastRowLastColumn="0"/>
              <w:rPr>
                <w:lang w:val="vi-VN"/>
              </w:rPr>
            </w:pPr>
            <w:r>
              <w:t>Tuy</w:t>
            </w:r>
            <w:r>
              <w:rPr>
                <w:lang w:val="vi-VN"/>
              </w:rPr>
              <w:t>ến báo cáo</w:t>
            </w:r>
          </w:p>
        </w:tc>
        <w:tc>
          <w:tcPr>
            <w:tcW w:w="2991" w:type="dxa"/>
          </w:tcPr>
          <w:p w14:paraId="41E55BA5" w14:textId="2DA376EA" w:rsidR="00977459" w:rsidRPr="00A31771" w:rsidRDefault="00A31771" w:rsidP="00977459">
            <w:pPr>
              <w:spacing w:line="276" w:lineRule="auto"/>
              <w:jc w:val="center"/>
              <w:cnfStyle w:val="100000000000" w:firstRow="1" w:lastRow="0" w:firstColumn="0" w:lastColumn="0" w:oddVBand="0" w:evenVBand="0" w:oddHBand="0" w:evenHBand="0" w:firstRowFirstColumn="0" w:firstRowLastColumn="0" w:lastRowFirstColumn="0" w:lastRowLastColumn="0"/>
              <w:rPr>
                <w:lang w:val="vi-VN"/>
              </w:rPr>
            </w:pPr>
            <w:r>
              <w:rPr>
                <w:lang w:val="vi-VN"/>
              </w:rPr>
              <w:t xml:space="preserve">Các Nhóm công tác trực thuộc cơ quan ngành </w:t>
            </w:r>
            <w:r w:rsidR="0052094A">
              <w:rPr>
                <w:lang w:val="vi-VN"/>
              </w:rPr>
              <w:t>dọc</w:t>
            </w:r>
          </w:p>
        </w:tc>
      </w:tr>
      <w:tr w:rsidR="00977459" w:rsidRPr="001B2302" w14:paraId="401F5EA4" w14:textId="77777777" w:rsidTr="008D2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14:paraId="0C66235B" w14:textId="27F8BFE9" w:rsidR="00977459" w:rsidRPr="0099444E" w:rsidRDefault="0099444E" w:rsidP="00977459">
            <w:pPr>
              <w:spacing w:line="276" w:lineRule="auto"/>
              <w:jc w:val="center"/>
              <w:rPr>
                <w:lang w:val="vi-VN"/>
              </w:rPr>
            </w:pPr>
            <w:r w:rsidRPr="0099444E">
              <w:rPr>
                <w:lang w:val="vi-VN"/>
              </w:rPr>
              <w:t>Ủy ban ASEAN về Bảo vệ Người tiêu dùng (ACCP)</w:t>
            </w:r>
          </w:p>
        </w:tc>
        <w:tc>
          <w:tcPr>
            <w:tcW w:w="3458" w:type="dxa"/>
          </w:tcPr>
          <w:p w14:paraId="20593D19" w14:textId="18D1BE63" w:rsidR="00977459" w:rsidRPr="001B2302" w:rsidRDefault="0099444E" w:rsidP="00977459">
            <w:pPr>
              <w:spacing w:line="276" w:lineRule="auto"/>
              <w:cnfStyle w:val="000000100000" w:firstRow="0" w:lastRow="0" w:firstColumn="0" w:lastColumn="0" w:oddVBand="0" w:evenVBand="0" w:oddHBand="1" w:evenHBand="0" w:firstRowFirstColumn="0" w:firstRowLastColumn="0" w:lastRowFirstColumn="0" w:lastRowLastColumn="0"/>
            </w:pPr>
            <w:r w:rsidRPr="0099444E">
              <w:t>Vai trò của ACCP là bảo đảm rằng các biện pháp bảo vệ người tiêu dùng – bao gồm luật pháp, quy định và chính sách – được thiết lập tại tất cả các quốc gia thành viên ASEAN (AMS); tăng cường khả năng tiếp cận thông tin cho người tiêu dùng; bảo đảm có các cơ chế khiếu nại và thu hồi sản phẩm; đồng thời củng cố năng lực thể chế. Những nội dung này được phản ánh trong các định hướng chiến lược thuộc Kế hoạch Tổng thể AEC 2015-2025 và các sáng kiến chi tiết hơn trong Kế hoạch Hành động Chiến lược ASEAN về Bảo vệ Người tiêu dùng (ASAPCP 2025).</w:t>
            </w:r>
          </w:p>
          <w:p w14:paraId="1A899EC8" w14:textId="5F9BB826" w:rsidR="00977459" w:rsidRPr="001B2302" w:rsidRDefault="0099444E" w:rsidP="00977459">
            <w:pPr>
              <w:spacing w:line="276" w:lineRule="auto"/>
              <w:cnfStyle w:val="000000100000" w:firstRow="0" w:lastRow="0" w:firstColumn="0" w:lastColumn="0" w:oddVBand="0" w:evenVBand="0" w:oddHBand="1" w:evenHBand="0" w:firstRowFirstColumn="0" w:firstRowLastColumn="0" w:lastRowFirstColumn="0" w:lastRowLastColumn="0"/>
            </w:pPr>
            <w:r w:rsidRPr="0099444E">
              <w:t>Ủy ban ASEAN về Bảo vệ Người tiêu dùng (ACCP) được thành lập năm 2007 bởi các Bộ trưởng Kinh tế ASEAN và gồm đại diện từ các cơ quan bảo vệ người tiêu dùng của các nước thành viên ASEAN. Một số nhiệm vụ chính của ACCP gồm</w:t>
            </w:r>
            <w:r w:rsidR="00977459" w:rsidRPr="001B2302">
              <w:t>:</w:t>
            </w:r>
            <w:r w:rsidR="002E495D" w:rsidRPr="001B2302">
              <w:rPr>
                <w:rStyle w:val="FootnoteReference"/>
              </w:rPr>
              <w:footnoteReference w:id="388"/>
            </w:r>
          </w:p>
          <w:p w14:paraId="359C4683" w14:textId="791717EF" w:rsidR="0099444E" w:rsidRPr="0099444E" w:rsidRDefault="0099444E" w:rsidP="006043C2">
            <w:pPr>
              <w:numPr>
                <w:ilvl w:val="0"/>
                <w:numId w:val="52"/>
              </w:numPr>
              <w:spacing w:line="276" w:lineRule="auto"/>
              <w:jc w:val="left"/>
              <w:cnfStyle w:val="000000100000" w:firstRow="0" w:lastRow="0" w:firstColumn="0" w:lastColumn="0" w:oddVBand="0" w:evenVBand="0" w:oddHBand="1" w:evenHBand="0" w:firstRowFirstColumn="0" w:firstRowLastColumn="0" w:lastRowFirstColumn="0" w:lastRowLastColumn="0"/>
            </w:pPr>
            <w:r w:rsidRPr="0099444E">
              <w:t xml:space="preserve">Thúc đẩy trao đổi thông tin và kinh nghiệm về chính sách, luật pháp và thực tiễn bảo vệ người tiêu dùng giữa </w:t>
            </w:r>
            <w:r w:rsidRPr="0099444E">
              <w:lastRenderedPageBreak/>
              <w:t>các quốc gia thành viên.</w:t>
            </w:r>
          </w:p>
          <w:p w14:paraId="243D0C74" w14:textId="445840FE" w:rsidR="00977459" w:rsidRPr="001B2302" w:rsidRDefault="00FF5A84" w:rsidP="006043C2">
            <w:pPr>
              <w:numPr>
                <w:ilvl w:val="0"/>
                <w:numId w:val="52"/>
              </w:numPr>
              <w:spacing w:line="276" w:lineRule="auto"/>
              <w:jc w:val="left"/>
              <w:cnfStyle w:val="000000100000" w:firstRow="0" w:lastRow="0" w:firstColumn="0" w:lastColumn="0" w:oddVBand="0" w:evenVBand="0" w:oddHBand="1" w:evenHBand="0" w:firstRowFirstColumn="0" w:firstRowLastColumn="0" w:lastRowFirstColumn="0" w:lastRowLastColumn="0"/>
            </w:pPr>
            <w:r w:rsidRPr="00FF5A84">
              <w:rPr>
                <w:lang w:val="vi-VN"/>
              </w:rPr>
              <w:t>Trao quyền cho người tiêu dùng ASEAN thông qua cung cấp thông tin chính xác qua các trung tâm tri thức trực tuyến.</w:t>
            </w:r>
          </w:p>
          <w:p w14:paraId="66A7044F" w14:textId="20414F3D" w:rsidR="00977459" w:rsidRPr="001B2302" w:rsidRDefault="00FF5A84" w:rsidP="006043C2">
            <w:pPr>
              <w:numPr>
                <w:ilvl w:val="0"/>
                <w:numId w:val="52"/>
              </w:numPr>
              <w:spacing w:line="276" w:lineRule="auto"/>
              <w:jc w:val="left"/>
              <w:cnfStyle w:val="000000100000" w:firstRow="0" w:lastRow="0" w:firstColumn="0" w:lastColumn="0" w:oddVBand="0" w:evenVBand="0" w:oddHBand="1" w:evenHBand="0" w:firstRowFirstColumn="0" w:firstRowLastColumn="0" w:lastRowFirstColumn="0" w:lastRowLastColumn="0"/>
            </w:pPr>
            <w:r w:rsidRPr="00FF5A84">
              <w:rPr>
                <w:lang w:val="vi-VN"/>
              </w:rPr>
              <w:t>Tổ chức tham vấn hoặc đối thoại thường xuyên với các bên liên quan.</w:t>
            </w:r>
          </w:p>
          <w:p w14:paraId="305D395F" w14:textId="77777777" w:rsidR="00977459" w:rsidRPr="001B2302" w:rsidRDefault="00977459" w:rsidP="00977459">
            <w:pPr>
              <w:spacing w:line="276" w:lineRule="auto"/>
              <w:cnfStyle w:val="000000100000" w:firstRow="0" w:lastRow="0" w:firstColumn="0" w:lastColumn="0" w:oddVBand="0" w:evenVBand="0" w:oddHBand="1" w:evenHBand="0" w:firstRowFirstColumn="0" w:firstRowLastColumn="0" w:lastRowFirstColumn="0" w:lastRowLastColumn="0"/>
            </w:pPr>
          </w:p>
          <w:p w14:paraId="036EAFDB" w14:textId="362D15FA" w:rsidR="00977459" w:rsidRPr="001B2302" w:rsidRDefault="00FF5A84" w:rsidP="00977459">
            <w:pPr>
              <w:spacing w:line="276" w:lineRule="auto"/>
              <w:cnfStyle w:val="000000100000" w:firstRow="0" w:lastRow="0" w:firstColumn="0" w:lastColumn="0" w:oddVBand="0" w:evenVBand="0" w:oddHBand="1" w:evenHBand="0" w:firstRowFirstColumn="0" w:firstRowLastColumn="0" w:lastRowFirstColumn="0" w:lastRowLastColumn="0"/>
            </w:pPr>
            <w:r w:rsidRPr="00FF5A84">
              <w:t>ACAN được thành lập năm 2018 nhằm tập hợp các hiệp hội người tiêu dùng quốc gia trong ASEAN để thảo luận và trao đổi quan điểm về thực tiễn tốt và kinh nghiệm liên quan đến các thách thức và quản lý vấn đề bảo vệ người tiêu dùng. ACCP và ACAN tổ chức tham vấn định kỳ, với một số nhiệm vụ chính của ACAN như sau</w:t>
            </w:r>
            <w:r w:rsidR="00977459" w:rsidRPr="001B2302">
              <w:t>:</w:t>
            </w:r>
          </w:p>
          <w:p w14:paraId="7D1533B3" w14:textId="2463AA12" w:rsidR="00FF5A84" w:rsidRPr="00FF5A84" w:rsidRDefault="00FF5A84" w:rsidP="006043C2">
            <w:pPr>
              <w:numPr>
                <w:ilvl w:val="0"/>
                <w:numId w:val="53"/>
              </w:numPr>
              <w:spacing w:line="276" w:lineRule="auto"/>
              <w:jc w:val="left"/>
              <w:cnfStyle w:val="000000100000" w:firstRow="0" w:lastRow="0" w:firstColumn="0" w:lastColumn="0" w:oddVBand="0" w:evenVBand="0" w:oddHBand="1" w:evenHBand="0" w:firstRowFirstColumn="0" w:firstRowLastColumn="0" w:lastRowFirstColumn="0" w:lastRowLastColumn="0"/>
            </w:pPr>
            <w:r w:rsidRPr="00FF5A84">
              <w:t xml:space="preserve">Hỗ trợ thực hiện Kế hoạch Hành động Chiến lược ASEAN về Bảo vệ Người tiêu dùng bằng cách đưa ra phản hồi và khuyến </w:t>
            </w:r>
            <w:r>
              <w:t>nghị</w:t>
            </w:r>
            <w:r>
              <w:rPr>
                <w:lang w:val="vi-VN"/>
              </w:rPr>
              <w:t>, và</w:t>
            </w:r>
          </w:p>
          <w:p w14:paraId="3727DAAA" w14:textId="10868C64" w:rsidR="00977459" w:rsidRPr="001B2302" w:rsidRDefault="00FF5A84" w:rsidP="006043C2">
            <w:pPr>
              <w:numPr>
                <w:ilvl w:val="0"/>
                <w:numId w:val="53"/>
              </w:numPr>
              <w:spacing w:line="276" w:lineRule="auto"/>
              <w:jc w:val="left"/>
              <w:cnfStyle w:val="000000100000" w:firstRow="0" w:lastRow="0" w:firstColumn="0" w:lastColumn="0" w:oddVBand="0" w:evenVBand="0" w:oddHBand="1" w:evenHBand="0" w:firstRowFirstColumn="0" w:firstRowLastColumn="0" w:lastRowFirstColumn="0" w:lastRowLastColumn="0"/>
            </w:pPr>
            <w:r>
              <w:t>Cung</w:t>
            </w:r>
            <w:r>
              <w:rPr>
                <w:lang w:val="vi-VN"/>
              </w:rPr>
              <w:t xml:space="preserve"> cấp thông tin về các khiếu nại của người tiêu dùng xuyên biên giới.</w:t>
            </w:r>
          </w:p>
          <w:p w14:paraId="0EFC89F2" w14:textId="77777777" w:rsidR="00977459" w:rsidRPr="001B2302" w:rsidRDefault="00977459" w:rsidP="00977459">
            <w:pPr>
              <w:spacing w:line="276" w:lineRule="auto"/>
              <w:ind w:left="720"/>
              <w:cnfStyle w:val="000000100000" w:firstRow="0" w:lastRow="0" w:firstColumn="0" w:lastColumn="0" w:oddVBand="0" w:evenVBand="0" w:oddHBand="1" w:evenHBand="0" w:firstRowFirstColumn="0" w:firstRowLastColumn="0" w:lastRowFirstColumn="0" w:lastRowLastColumn="0"/>
            </w:pPr>
          </w:p>
          <w:p w14:paraId="0944C8C2" w14:textId="7916E38F" w:rsidR="00977459" w:rsidRPr="001B2302" w:rsidRDefault="00B24AF1" w:rsidP="00977459">
            <w:pPr>
              <w:spacing w:line="276" w:lineRule="auto"/>
              <w:cnfStyle w:val="000000100000" w:firstRow="0" w:lastRow="0" w:firstColumn="0" w:lastColumn="0" w:oddVBand="0" w:evenVBand="0" w:oddHBand="1" w:evenHBand="0" w:firstRowFirstColumn="0" w:firstRowLastColumn="0" w:lastRowFirstColumn="0" w:lastRowLastColumn="0"/>
            </w:pPr>
            <w:r w:rsidRPr="00B24AF1">
              <w:t>ACCP đã thông qua Kế hoạch Hành động Chiến lược ASEAN về Bảo vệ Người tiêu dùng (ASAPCP) 2025, trong đó xác định 4 mục tiêu</w:t>
            </w:r>
            <w:r w:rsidR="00977459" w:rsidRPr="001B2302">
              <w:t>:</w:t>
            </w:r>
          </w:p>
          <w:p w14:paraId="2ED664AA" w14:textId="2C40F4CD" w:rsidR="00977459" w:rsidRPr="001B2302" w:rsidRDefault="00B24AF1" w:rsidP="006043C2">
            <w:pPr>
              <w:pStyle w:val="ListParagraph"/>
              <w:numPr>
                <w:ilvl w:val="0"/>
                <w:numId w:val="58"/>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lang w:val="en-GB"/>
              </w:rPr>
            </w:pPr>
            <w:r w:rsidRPr="00B24AF1">
              <w:rPr>
                <w:rFonts w:ascii="Arial" w:eastAsia="DengXian" w:hAnsi="Arial"/>
                <w:lang w:val="en-GB"/>
              </w:rPr>
              <w:t>Thiết lập một khuôn khổ chung về bảo vệ người tiêu dùng trong ASEAN</w:t>
            </w:r>
            <w:r w:rsidR="00977459" w:rsidRPr="001B2302">
              <w:rPr>
                <w:rFonts w:ascii="Arial" w:eastAsia="DengXian" w:hAnsi="Arial"/>
                <w:lang w:val="en-GB"/>
              </w:rPr>
              <w:t>.</w:t>
            </w:r>
          </w:p>
          <w:p w14:paraId="71E08B59" w14:textId="23A80910" w:rsidR="00977459" w:rsidRPr="001B2302" w:rsidRDefault="00B24AF1" w:rsidP="006043C2">
            <w:pPr>
              <w:pStyle w:val="ListParagraph"/>
              <w:numPr>
                <w:ilvl w:val="0"/>
                <w:numId w:val="58"/>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lang w:val="en-GB"/>
              </w:rPr>
            </w:pPr>
            <w:r w:rsidRPr="00B24AF1">
              <w:rPr>
                <w:rFonts w:ascii="Arial" w:eastAsia="DengXian" w:hAnsi="Arial"/>
                <w:lang w:val="en-GB"/>
              </w:rPr>
              <w:t xml:space="preserve">Bảo đảm mức độ cao và đồng nhất về trao </w:t>
            </w:r>
            <w:r w:rsidRPr="00B24AF1">
              <w:rPr>
                <w:rFonts w:ascii="Arial" w:eastAsia="DengXian" w:hAnsi="Arial"/>
                <w:lang w:val="en-GB"/>
              </w:rPr>
              <w:lastRenderedPageBreak/>
              <w:t>quyền và bảo vệ người tiêu dùng</w:t>
            </w:r>
            <w:r w:rsidR="00977459" w:rsidRPr="001B2302">
              <w:rPr>
                <w:rFonts w:ascii="Arial" w:eastAsia="DengXian" w:hAnsi="Arial"/>
                <w:lang w:val="en-GB"/>
              </w:rPr>
              <w:t>.</w:t>
            </w:r>
          </w:p>
          <w:p w14:paraId="4E4EBB02" w14:textId="7861D2CD" w:rsidR="00977459" w:rsidRPr="001B2302" w:rsidRDefault="00B24AF1" w:rsidP="006043C2">
            <w:pPr>
              <w:pStyle w:val="ListParagraph"/>
              <w:numPr>
                <w:ilvl w:val="0"/>
                <w:numId w:val="58"/>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lang w:val="en-GB"/>
              </w:rPr>
            </w:pPr>
            <w:r w:rsidRPr="00B24AF1">
              <w:rPr>
                <w:rFonts w:ascii="Arial" w:eastAsia="DengXian" w:hAnsi="Arial"/>
                <w:lang w:val="en-GB"/>
              </w:rPr>
              <w:t>Thiết lập mức độ tin cậy cao của người tiêu dùng đối với AEC và các giao dịch thương mại xuyên biên giới</w:t>
            </w:r>
            <w:r w:rsidR="00977459" w:rsidRPr="001B2302">
              <w:rPr>
                <w:rFonts w:ascii="Arial" w:eastAsia="DengXian" w:hAnsi="Arial"/>
                <w:lang w:val="en-GB"/>
              </w:rPr>
              <w:t>.</w:t>
            </w:r>
          </w:p>
          <w:p w14:paraId="3D69284C" w14:textId="1BAA5593" w:rsidR="00977459" w:rsidRPr="001B2302" w:rsidRDefault="00214D96" w:rsidP="006043C2">
            <w:pPr>
              <w:pStyle w:val="ListParagraph"/>
              <w:numPr>
                <w:ilvl w:val="0"/>
                <w:numId w:val="58"/>
              </w:numPr>
              <w:spacing w:after="0"/>
              <w:cnfStyle w:val="000000100000" w:firstRow="0" w:lastRow="0" w:firstColumn="0" w:lastColumn="0" w:oddVBand="0" w:evenVBand="0" w:oddHBand="1" w:evenHBand="0" w:firstRowFirstColumn="0" w:firstRowLastColumn="0" w:lastRowFirstColumn="0" w:lastRowLastColumn="0"/>
              <w:rPr>
                <w:rFonts w:ascii="Arial" w:eastAsia="DengXian" w:hAnsi="Arial"/>
                <w:lang w:val="en-GB"/>
              </w:rPr>
            </w:pPr>
            <w:r w:rsidRPr="00214D96">
              <w:rPr>
                <w:rFonts w:ascii="Arial" w:eastAsia="DengXian" w:hAnsi="Arial"/>
                <w:lang w:val="vi-VN"/>
              </w:rPr>
              <w:t>Lồng ghép đầy đủ các mối quan tâm của người tiêu dùng vào mọi chính sách của ASEAN.</w:t>
            </w:r>
          </w:p>
        </w:tc>
        <w:tc>
          <w:tcPr>
            <w:tcW w:w="1662" w:type="dxa"/>
          </w:tcPr>
          <w:p w14:paraId="063BCD05" w14:textId="77777777" w:rsidR="00977459" w:rsidRPr="001B2302" w:rsidRDefault="00977459" w:rsidP="00977459">
            <w:pPr>
              <w:spacing w:line="276" w:lineRule="auto"/>
              <w:cnfStyle w:val="000000100000" w:firstRow="0" w:lastRow="0" w:firstColumn="0" w:lastColumn="0" w:oddVBand="0" w:evenVBand="0" w:oddHBand="1" w:evenHBand="0" w:firstRowFirstColumn="0" w:firstRowLastColumn="0" w:lastRowFirstColumn="0" w:lastRowLastColumn="0"/>
            </w:pPr>
            <w:r w:rsidRPr="001B2302">
              <w:lastRenderedPageBreak/>
              <w:t>ACCP -&gt; AEM</w:t>
            </w:r>
          </w:p>
        </w:tc>
        <w:tc>
          <w:tcPr>
            <w:tcW w:w="2991" w:type="dxa"/>
          </w:tcPr>
          <w:p w14:paraId="3F34F163" w14:textId="5B8B6DC5" w:rsidR="00977459" w:rsidRPr="00214D96" w:rsidRDefault="00214D96" w:rsidP="00977459">
            <w:pPr>
              <w:spacing w:line="276" w:lineRule="auto"/>
              <w:cnfStyle w:val="000000100000" w:firstRow="0" w:lastRow="0" w:firstColumn="0" w:lastColumn="0" w:oddVBand="0" w:evenVBand="0" w:oddHBand="1" w:evenHBand="0" w:firstRowFirstColumn="0" w:firstRowLastColumn="0" w:lastRowFirstColumn="0" w:lastRowLastColumn="0"/>
              <w:rPr>
                <w:lang w:val="vi-VN"/>
              </w:rPr>
            </w:pPr>
            <w:r w:rsidRPr="00214D96">
              <w:rPr>
                <w:lang w:val="vi-VN"/>
              </w:rPr>
              <w:t>Trang web chính thức có đề cập “ba Nhóm Công tác”, nhưng chưa có tài liệu chính thức nào xác định rõ tên của các nhóm này.</w:t>
            </w:r>
          </w:p>
        </w:tc>
      </w:tr>
      <w:tr w:rsidR="00977459" w:rsidRPr="001B2302" w14:paraId="10C23A03" w14:textId="77777777" w:rsidTr="008D2047">
        <w:tc>
          <w:tcPr>
            <w:cnfStyle w:val="001000000000" w:firstRow="0" w:lastRow="0" w:firstColumn="1" w:lastColumn="0" w:oddVBand="0" w:evenVBand="0" w:oddHBand="0" w:evenHBand="0" w:firstRowFirstColumn="0" w:firstRowLastColumn="0" w:lastRowFirstColumn="0" w:lastRowLastColumn="0"/>
            <w:tcW w:w="2161" w:type="dxa"/>
          </w:tcPr>
          <w:p w14:paraId="0E7E9E0F" w14:textId="22807C5D" w:rsidR="009F41AB" w:rsidRPr="009F41AB" w:rsidRDefault="009F41AB" w:rsidP="00977459">
            <w:pPr>
              <w:spacing w:line="276" w:lineRule="auto"/>
              <w:jc w:val="center"/>
              <w:rPr>
                <w:lang w:val="vi-VN"/>
              </w:rPr>
            </w:pPr>
            <w:r w:rsidRPr="009F41AB">
              <w:rPr>
                <w:lang w:val="vi-VN"/>
              </w:rPr>
              <w:lastRenderedPageBreak/>
              <w:t>Ủy ban ASEAN về Phụ nữ (ACW)</w:t>
            </w:r>
          </w:p>
        </w:tc>
        <w:tc>
          <w:tcPr>
            <w:tcW w:w="3458" w:type="dxa"/>
          </w:tcPr>
          <w:p w14:paraId="2A826F2E" w14:textId="1274558B" w:rsidR="00977459" w:rsidRDefault="009F41AB" w:rsidP="00977459">
            <w:pPr>
              <w:spacing w:line="276" w:lineRule="auto"/>
              <w:cnfStyle w:val="000000000000" w:firstRow="0" w:lastRow="0" w:firstColumn="0" w:lastColumn="0" w:oddVBand="0" w:evenVBand="0" w:oddHBand="0" w:evenHBand="0" w:firstRowFirstColumn="0" w:firstRowLastColumn="0" w:lastRowFirstColumn="0" w:lastRowLastColumn="0"/>
            </w:pPr>
            <w:r w:rsidRPr="009F41AB">
              <w:t>ACW có nhiệm vụ giám sát và điều phối hợp tác của ASEAN về thúc đẩy bình đẳng giới và trao quyền cho mọi phụ nữ và trẻ em gái.</w:t>
            </w:r>
            <w:r w:rsidR="00617E8F" w:rsidRPr="001B2302">
              <w:rPr>
                <w:rStyle w:val="FootnoteReference"/>
              </w:rPr>
              <w:footnoteReference w:id="389"/>
            </w:r>
          </w:p>
          <w:p w14:paraId="242D12EF" w14:textId="77777777" w:rsidR="007718BA" w:rsidRPr="001B2302" w:rsidRDefault="007718BA" w:rsidP="00977459">
            <w:pPr>
              <w:spacing w:line="276" w:lineRule="auto"/>
              <w:cnfStyle w:val="000000000000" w:firstRow="0" w:lastRow="0" w:firstColumn="0" w:lastColumn="0" w:oddVBand="0" w:evenVBand="0" w:oddHBand="0" w:evenHBand="0" w:firstRowFirstColumn="0" w:firstRowLastColumn="0" w:lastRowFirstColumn="0" w:lastRowLastColumn="0"/>
            </w:pPr>
          </w:p>
          <w:p w14:paraId="68F0075C" w14:textId="356C05B9" w:rsidR="00977459" w:rsidRPr="001B2302" w:rsidRDefault="009F41AB" w:rsidP="00977459">
            <w:pPr>
              <w:spacing w:line="276" w:lineRule="auto"/>
              <w:cnfStyle w:val="000000000000" w:firstRow="0" w:lastRow="0" w:firstColumn="0" w:lastColumn="0" w:oddVBand="0" w:evenVBand="0" w:oddHBand="0" w:evenHBand="0" w:firstRowFirstColumn="0" w:firstRowLastColumn="0" w:lastRowFirstColumn="0" w:lastRowLastColumn="0"/>
            </w:pPr>
            <w:r w:rsidRPr="009F41AB">
              <w:t>Các hoạt động chương trình của ACW bắt đầu với việc triển khai Kế hoạch Hành động vì Sự tiến bộ của Phụ nữ và Bình đẳng Giới (2005–2010), dựa trên Tuyên bố năm 1988 về Thúc đẩy Vai trò của Phụ nữ trong ASEAN. Giai đoạn này được tiếp nối bởi Kế hoạch Hành động nhằm hiện thực hóa Tuyên bố về Xóa bỏ Bạo lực đối với Phụ nữ (2006–2010</w:t>
            </w:r>
            <w:r w:rsidR="00977459" w:rsidRPr="001B2302">
              <w:t>).</w:t>
            </w:r>
          </w:p>
        </w:tc>
        <w:tc>
          <w:tcPr>
            <w:tcW w:w="1662" w:type="dxa"/>
          </w:tcPr>
          <w:p w14:paraId="5B57317B" w14:textId="3EC760EE" w:rsidR="009F41AB" w:rsidRPr="009F41AB" w:rsidRDefault="009F41AB" w:rsidP="00977459">
            <w:pPr>
              <w:spacing w:line="276" w:lineRule="auto"/>
              <w:cnfStyle w:val="000000000000" w:firstRow="0" w:lastRow="0" w:firstColumn="0" w:lastColumn="0" w:oddVBand="0" w:evenVBand="0" w:oddHBand="0" w:evenHBand="0" w:firstRowFirstColumn="0" w:firstRowLastColumn="0" w:lastRowFirstColumn="0" w:lastRowLastColumn="0"/>
              <w:rPr>
                <w:lang w:val="vi-VN"/>
              </w:rPr>
            </w:pPr>
            <w:r w:rsidRPr="009F41AB">
              <w:rPr>
                <w:lang w:val="vi-VN"/>
              </w:rPr>
              <w:t xml:space="preserve">Tuyến báo cáo: ACW </w:t>
            </w:r>
            <w:r w:rsidRPr="009F41AB">
              <w:rPr>
                <w:rFonts w:hint="eastAsia"/>
                <w:lang w:val="vi-VN"/>
              </w:rPr>
              <w:t>→</w:t>
            </w:r>
            <w:r w:rsidRPr="009F41AB">
              <w:rPr>
                <w:lang w:val="vi-VN"/>
              </w:rPr>
              <w:t xml:space="preserve"> Hội nghị Bộ trưởng ASEAN về Phụ nữ (AMMW)</w:t>
            </w:r>
          </w:p>
        </w:tc>
        <w:tc>
          <w:tcPr>
            <w:tcW w:w="2991" w:type="dxa"/>
          </w:tcPr>
          <w:p w14:paraId="3B122C74" w14:textId="3194DC6B" w:rsidR="009F41AB" w:rsidRPr="009F41AB" w:rsidRDefault="009F41AB" w:rsidP="009F41AB">
            <w:pPr>
              <w:spacing w:line="276" w:lineRule="auto"/>
              <w:cnfStyle w:val="000000000000" w:firstRow="0" w:lastRow="0" w:firstColumn="0" w:lastColumn="0" w:oddVBand="0" w:evenVBand="0" w:oddHBand="0" w:evenHBand="0" w:firstRowFirstColumn="0" w:firstRowLastColumn="0" w:lastRowFirstColumn="0" w:lastRowLastColumn="0"/>
              <w:rPr>
                <w:lang w:val="vi-VN"/>
              </w:rPr>
            </w:pPr>
            <w:r w:rsidRPr="009F41AB">
              <w:rPr>
                <w:lang w:val="vi-VN"/>
              </w:rPr>
              <w:t>Ủy ban ASEAN về Thúc đẩy và Bảo vệ Quyền của Phụ nữ và Trẻ em (ACWC)</w:t>
            </w:r>
            <w:r>
              <w:rPr>
                <w:lang w:val="vi-VN"/>
              </w:rPr>
              <w:t xml:space="preserve"> và </w:t>
            </w:r>
            <w:r w:rsidRPr="009F41AB">
              <w:rPr>
                <w:lang w:val="vi-VN"/>
              </w:rPr>
              <w:t>Nhóm Công tác Lâm thời chung về Lồng ghép Giới: Nhóm lâm thời được thành lập nhằm xây dựng một chiến lược khu vực toàn diện để lồng ghép quan điểm giới trong tất cả các trụ cột Cộng đồng ASEAN.</w:t>
            </w:r>
          </w:p>
        </w:tc>
      </w:tr>
      <w:tr w:rsidR="00977459" w:rsidRPr="001B2302" w14:paraId="09273241" w14:textId="77777777" w:rsidTr="008D2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14:paraId="0638436F" w14:textId="40347F80" w:rsidR="008D005C" w:rsidRPr="008D005C" w:rsidRDefault="008D005C" w:rsidP="00977459">
            <w:pPr>
              <w:spacing w:line="276" w:lineRule="auto"/>
              <w:jc w:val="center"/>
              <w:rPr>
                <w:lang w:val="vi-VN"/>
              </w:rPr>
            </w:pPr>
            <w:r w:rsidRPr="008D005C">
              <w:rPr>
                <w:lang w:val="vi-VN"/>
              </w:rPr>
              <w:t>Ủy ban Điều phối ASEAN về Thương mại Điện tử và Kinh tế Số (ACCED)</w:t>
            </w:r>
          </w:p>
        </w:tc>
        <w:tc>
          <w:tcPr>
            <w:tcW w:w="3458" w:type="dxa"/>
          </w:tcPr>
          <w:p w14:paraId="377FB199" w14:textId="31682BF7" w:rsidR="00977459" w:rsidRPr="001B2302" w:rsidRDefault="00746F7D" w:rsidP="00977459">
            <w:pPr>
              <w:spacing w:line="276" w:lineRule="auto"/>
              <w:cnfStyle w:val="000000100000" w:firstRow="0" w:lastRow="0" w:firstColumn="0" w:lastColumn="0" w:oddVBand="0" w:evenVBand="0" w:oddHBand="1" w:evenHBand="0" w:firstRowFirstColumn="0" w:firstRowLastColumn="0" w:lastRowFirstColumn="0" w:lastRowLastColumn="0"/>
            </w:pPr>
            <w:r w:rsidRPr="00746F7D">
              <w:rPr>
                <w:lang w:val="vi-VN"/>
              </w:rPr>
              <w:t>ACCED được thành lập năm 2016 nhằm tăng cường cơ chế điều phối đối với các nỗ lực thương mại điện tử ở cấp khu vực trong ASEAN.</w:t>
            </w:r>
            <w:r w:rsidR="00576FC9" w:rsidRPr="001B2302">
              <w:rPr>
                <w:rStyle w:val="FootnoteReference"/>
              </w:rPr>
              <w:footnoteReference w:id="390"/>
            </w:r>
          </w:p>
          <w:p w14:paraId="38CCFDDE" w14:textId="67B5293A" w:rsidR="00977459" w:rsidRPr="001B2302" w:rsidRDefault="00746F7D" w:rsidP="00977459">
            <w:pPr>
              <w:spacing w:line="276" w:lineRule="auto"/>
              <w:cnfStyle w:val="000000100000" w:firstRow="0" w:lastRow="0" w:firstColumn="0" w:lastColumn="0" w:oddVBand="0" w:evenVBand="0" w:oddHBand="1" w:evenHBand="0" w:firstRowFirstColumn="0" w:firstRowLastColumn="0" w:lastRowFirstColumn="0" w:lastRowLastColumn="0"/>
              <w:rPr>
                <w:i/>
                <w:iCs/>
              </w:rPr>
            </w:pPr>
            <w:r w:rsidRPr="00746F7D">
              <w:rPr>
                <w:lang w:val="vi-VN"/>
              </w:rPr>
              <w:t xml:space="preserve">Ủy ban này chịu trách nhiệm triển khai Kế hoạch Công tác thực hiện Hiệp định ASEAN về Thương mại Điện tử giai đoạn </w:t>
            </w:r>
            <w:r w:rsidRPr="00746F7D">
              <w:rPr>
                <w:lang w:val="vi-VN"/>
              </w:rPr>
              <w:lastRenderedPageBreak/>
              <w:t>2021–2025.</w:t>
            </w:r>
            <w:r w:rsidR="00977459" w:rsidRPr="001B2302">
              <w:rPr>
                <w:i/>
                <w:iCs/>
              </w:rPr>
              <w:t> </w:t>
            </w:r>
            <w:r w:rsidR="00977459" w:rsidRPr="001B2302">
              <w:rPr>
                <w:i/>
                <w:iCs/>
              </w:rPr>
              <w:br/>
            </w:r>
          </w:p>
          <w:p w14:paraId="3CCC8D9C" w14:textId="4E506776" w:rsidR="00330485" w:rsidRPr="001B2302" w:rsidRDefault="00746F7D" w:rsidP="00977459">
            <w:pPr>
              <w:spacing w:line="276" w:lineRule="auto"/>
              <w:cnfStyle w:val="000000100000" w:firstRow="0" w:lastRow="0" w:firstColumn="0" w:lastColumn="0" w:oddVBand="0" w:evenVBand="0" w:oddHBand="1" w:evenHBand="0" w:firstRowFirstColumn="0" w:firstRowLastColumn="0" w:lastRowFirstColumn="0" w:lastRowLastColumn="0"/>
            </w:pPr>
            <w:r w:rsidRPr="00746F7D">
              <w:rPr>
                <w:lang w:val="vi-VN"/>
              </w:rPr>
              <w:t>ACCED cũng đóng vai trò giám sát, bảo đảm việc cập nhật thường xuyên về tốc độ tăng trưởng hằng năm của ngành thương mại điện tử trong ASEAN, nhằm đánh giá hiệu quả của Kế hoạch Công tác, cũng như trong các đợt đánh giá giữa kỳ và cuối kỳ.</w:t>
            </w:r>
            <w:r w:rsidR="008E032F" w:rsidRPr="001B2302">
              <w:rPr>
                <w:rStyle w:val="FootnoteReference"/>
              </w:rPr>
              <w:footnoteReference w:id="391"/>
            </w:r>
          </w:p>
          <w:p w14:paraId="2B340BD6" w14:textId="5856B4B5" w:rsidR="00977459" w:rsidRPr="001B2302" w:rsidRDefault="00977459" w:rsidP="00977459">
            <w:pPr>
              <w:spacing w:line="276" w:lineRule="auto"/>
              <w:cnfStyle w:val="000000100000" w:firstRow="0" w:lastRow="0" w:firstColumn="0" w:lastColumn="0" w:oddVBand="0" w:evenVBand="0" w:oddHBand="1" w:evenHBand="0" w:firstRowFirstColumn="0" w:firstRowLastColumn="0" w:lastRowFirstColumn="0" w:lastRowLastColumn="0"/>
              <w:rPr>
                <w:i/>
                <w:iCs/>
              </w:rPr>
            </w:pPr>
            <w:r w:rsidRPr="001B2302">
              <w:t xml:space="preserve"> </w:t>
            </w:r>
            <w:r w:rsidRPr="001B2302">
              <w:br/>
            </w:r>
            <w:r w:rsidR="00746F7D" w:rsidRPr="00746F7D">
              <w:rPr>
                <w:lang w:val="vi-VN"/>
              </w:rPr>
              <w:t>Theo Kế hoạch Công tác, ACCED còn đảm nhiệm các trách nhiệm sau (không giới hạn):</w:t>
            </w:r>
            <w:r w:rsidR="00305DE8" w:rsidRPr="001B2302">
              <w:rPr>
                <w:rStyle w:val="FootnoteReference"/>
              </w:rPr>
              <w:footnoteReference w:id="392"/>
            </w:r>
          </w:p>
          <w:p w14:paraId="06B6D096" w14:textId="7CC37150" w:rsidR="00977459" w:rsidRPr="001B2302" w:rsidRDefault="00746F7D" w:rsidP="006043C2">
            <w:pPr>
              <w:pStyle w:val="ListParagraph"/>
              <w:numPr>
                <w:ilvl w:val="0"/>
                <w:numId w:val="56"/>
              </w:numPr>
              <w:spacing w:after="0"/>
              <w:jc w:val="left"/>
              <w:cnfStyle w:val="000000100000" w:firstRow="0" w:lastRow="0" w:firstColumn="0" w:lastColumn="0" w:oddVBand="0" w:evenVBand="0" w:oddHBand="1" w:evenHBand="0" w:firstRowFirstColumn="0" w:firstRowLastColumn="0" w:lastRowFirstColumn="0" w:lastRowLastColumn="0"/>
              <w:rPr>
                <w:rFonts w:ascii="Arial" w:eastAsia="DengXian" w:hAnsi="Arial"/>
                <w:lang w:val="en-GB"/>
              </w:rPr>
            </w:pPr>
            <w:r w:rsidRPr="00746F7D">
              <w:rPr>
                <w:rFonts w:ascii="Arial" w:eastAsia="DengXian" w:hAnsi="Arial"/>
                <w:lang w:val="vi-VN"/>
              </w:rPr>
              <w:t>Xác định và xử lý các khoảng trống trong quy định.</w:t>
            </w:r>
          </w:p>
          <w:p w14:paraId="2E6CB4AE" w14:textId="7FD06277" w:rsidR="00977459" w:rsidRPr="001B2302" w:rsidRDefault="00746F7D" w:rsidP="006043C2">
            <w:pPr>
              <w:pStyle w:val="ListParagraph"/>
              <w:numPr>
                <w:ilvl w:val="0"/>
                <w:numId w:val="56"/>
              </w:numPr>
              <w:spacing w:after="0"/>
              <w:jc w:val="left"/>
              <w:cnfStyle w:val="000000100000" w:firstRow="0" w:lastRow="0" w:firstColumn="0" w:lastColumn="0" w:oddVBand="0" w:evenVBand="0" w:oddHBand="1" w:evenHBand="0" w:firstRowFirstColumn="0" w:firstRowLastColumn="0" w:lastRowFirstColumn="0" w:lastRowLastColumn="0"/>
              <w:rPr>
                <w:rFonts w:ascii="Arial" w:eastAsia="DengXian" w:hAnsi="Arial"/>
                <w:lang w:val="en-GB"/>
              </w:rPr>
            </w:pPr>
            <w:r w:rsidRPr="00746F7D">
              <w:rPr>
                <w:rFonts w:ascii="Arial" w:eastAsia="DengXian" w:hAnsi="Arial"/>
                <w:lang w:val="vi-VN"/>
              </w:rPr>
              <w:t>Tập trung vào các sáng kiến hỗ trợ doanh nghiệp MSME tận dụng thương mại điện tử.</w:t>
            </w:r>
          </w:p>
          <w:p w14:paraId="1B5C34CE" w14:textId="14AB93C4" w:rsidR="00977459" w:rsidRPr="001B2302" w:rsidRDefault="00746F7D" w:rsidP="006043C2">
            <w:pPr>
              <w:pStyle w:val="ListParagraph"/>
              <w:numPr>
                <w:ilvl w:val="0"/>
                <w:numId w:val="56"/>
              </w:numPr>
              <w:spacing w:after="0"/>
              <w:jc w:val="left"/>
              <w:cnfStyle w:val="000000100000" w:firstRow="0" w:lastRow="0" w:firstColumn="0" w:lastColumn="0" w:oddVBand="0" w:evenVBand="0" w:oddHBand="1" w:evenHBand="0" w:firstRowFirstColumn="0" w:firstRowLastColumn="0" w:lastRowFirstColumn="0" w:lastRowLastColumn="0"/>
              <w:rPr>
                <w:rFonts w:ascii="Arial" w:eastAsia="DengXian" w:hAnsi="Arial"/>
                <w:lang w:val="en-GB"/>
              </w:rPr>
            </w:pPr>
            <w:r w:rsidRPr="00746F7D">
              <w:rPr>
                <w:rFonts w:ascii="Arial" w:eastAsia="DengXian" w:hAnsi="Arial"/>
                <w:lang w:val="vi-VN"/>
              </w:rPr>
              <w:t>Đảm bảo các sáng kiến thương mại điện tử thúc đẩy tăng trưởng bao trùm và thu hẹp khoảng cách phát triển trong ASEAN.</w:t>
            </w:r>
          </w:p>
          <w:p w14:paraId="3B628227" w14:textId="31EB7C63" w:rsidR="00977459" w:rsidRPr="001B2302" w:rsidRDefault="00746F7D" w:rsidP="006043C2">
            <w:pPr>
              <w:pStyle w:val="ListParagraph"/>
              <w:numPr>
                <w:ilvl w:val="0"/>
                <w:numId w:val="56"/>
              </w:numPr>
              <w:spacing w:after="0"/>
              <w:jc w:val="left"/>
              <w:cnfStyle w:val="000000100000" w:firstRow="0" w:lastRow="0" w:firstColumn="0" w:lastColumn="0" w:oddVBand="0" w:evenVBand="0" w:oddHBand="1" w:evenHBand="0" w:firstRowFirstColumn="0" w:firstRowLastColumn="0" w:lastRowFirstColumn="0" w:lastRowLastColumn="0"/>
              <w:rPr>
                <w:rFonts w:ascii="Arial" w:eastAsia="DengXian" w:hAnsi="Arial"/>
                <w:lang w:val="en-GB"/>
              </w:rPr>
            </w:pPr>
            <w:r w:rsidRPr="00746F7D">
              <w:rPr>
                <w:rFonts w:ascii="Arial" w:eastAsia="DengXian" w:hAnsi="Arial"/>
                <w:lang w:val="vi-VN"/>
              </w:rPr>
              <w:t>Tăng cường minh bạch và sự tham gia của các bên liên quan trong hệ sinh thái thương mại điện tử.</w:t>
            </w:r>
          </w:p>
          <w:p w14:paraId="4D27D84D" w14:textId="22D8A8E0" w:rsidR="00977459" w:rsidRPr="001B2302" w:rsidRDefault="00746F7D" w:rsidP="006043C2">
            <w:pPr>
              <w:pStyle w:val="ListParagraph"/>
              <w:numPr>
                <w:ilvl w:val="0"/>
                <w:numId w:val="56"/>
              </w:numPr>
              <w:spacing w:after="0"/>
              <w:jc w:val="left"/>
              <w:cnfStyle w:val="000000100000" w:firstRow="0" w:lastRow="0" w:firstColumn="0" w:lastColumn="0" w:oddVBand="0" w:evenVBand="0" w:oddHBand="1" w:evenHBand="0" w:firstRowFirstColumn="0" w:firstRowLastColumn="0" w:lastRowFirstColumn="0" w:lastRowLastColumn="0"/>
              <w:rPr>
                <w:rFonts w:ascii="Arial" w:eastAsia="DengXian" w:hAnsi="Arial"/>
                <w:lang w:val="en-GB"/>
              </w:rPr>
            </w:pPr>
            <w:r w:rsidRPr="00746F7D">
              <w:rPr>
                <w:rFonts w:ascii="Arial" w:eastAsia="DengXian" w:hAnsi="Arial"/>
                <w:lang w:val="vi-VN"/>
              </w:rPr>
              <w:t>Xây dựng và triển khai các chương trình nâng cao năng lực nhằm hỗ trợ phát triển thương mại điện tử.</w:t>
            </w:r>
          </w:p>
          <w:p w14:paraId="0CA1DC6A" w14:textId="03D3BA8F" w:rsidR="00977459" w:rsidRPr="001B2302" w:rsidRDefault="00746F7D" w:rsidP="006043C2">
            <w:pPr>
              <w:pStyle w:val="ListParagraph"/>
              <w:numPr>
                <w:ilvl w:val="0"/>
                <w:numId w:val="56"/>
              </w:numPr>
              <w:spacing w:after="0"/>
              <w:jc w:val="left"/>
              <w:cnfStyle w:val="000000100000" w:firstRow="0" w:lastRow="0" w:firstColumn="0" w:lastColumn="0" w:oddVBand="0" w:evenVBand="0" w:oddHBand="1" w:evenHBand="0" w:firstRowFirstColumn="0" w:firstRowLastColumn="0" w:lastRowFirstColumn="0" w:lastRowLastColumn="0"/>
              <w:rPr>
                <w:rFonts w:ascii="Arial" w:eastAsia="DengXian" w:hAnsi="Arial"/>
                <w:lang w:val="en-GB"/>
              </w:rPr>
            </w:pPr>
            <w:r w:rsidRPr="00746F7D">
              <w:rPr>
                <w:rFonts w:ascii="Arial" w:eastAsia="DengXian" w:hAnsi="Arial"/>
                <w:lang w:val="en-GB"/>
              </w:rPr>
              <w:lastRenderedPageBreak/>
              <w:t>Thúc đẩy hài hòa hóa luật và quy định về thương mại điện tử giữa các quốc gia thành viên ASEAN.</w:t>
            </w:r>
            <w:r w:rsidR="00977459" w:rsidRPr="001B2302">
              <w:rPr>
                <w:rFonts w:ascii="Arial" w:eastAsia="DengXian" w:hAnsi="Arial"/>
                <w:lang w:val="en-GB"/>
              </w:rPr>
              <w:br/>
            </w:r>
          </w:p>
          <w:p w14:paraId="38918B33" w14:textId="635F0280" w:rsidR="00977459" w:rsidRPr="001B2302" w:rsidRDefault="002B3300" w:rsidP="00977459">
            <w:pPr>
              <w:spacing w:line="276" w:lineRule="auto"/>
              <w:cnfStyle w:val="000000100000" w:firstRow="0" w:lastRow="0" w:firstColumn="0" w:lastColumn="0" w:oddVBand="0" w:evenVBand="0" w:oddHBand="1" w:evenHBand="0" w:firstRowFirstColumn="0" w:firstRowLastColumn="0" w:lastRowFirstColumn="0" w:lastRowLastColumn="0"/>
            </w:pPr>
            <w:r w:rsidRPr="002B3300">
              <w:rPr>
                <w:lang w:val="vi-VN"/>
              </w:rPr>
              <w:t>Theo Phụ lục A của Kế hoạch Công tác, ACCED được xác định là Cơ quan Chủ trì thực hiện các hoạt động sau (không giới hạn):</w:t>
            </w:r>
            <w:r w:rsidR="00396F29" w:rsidRPr="001B2302">
              <w:rPr>
                <w:rStyle w:val="FootnoteReference"/>
              </w:rPr>
              <w:footnoteReference w:id="393"/>
            </w:r>
          </w:p>
          <w:p w14:paraId="42960250" w14:textId="771622AA" w:rsidR="00977459" w:rsidRPr="001B2302" w:rsidRDefault="002B3300" w:rsidP="001F33F9">
            <w:pPr>
              <w:pStyle w:val="ListParagraph"/>
              <w:spacing w:after="0"/>
              <w:ind w:left="1061"/>
              <w:jc w:val="left"/>
              <w:cnfStyle w:val="000000100000" w:firstRow="0" w:lastRow="0" w:firstColumn="0" w:lastColumn="0" w:oddVBand="0" w:evenVBand="0" w:oddHBand="1" w:evenHBand="0" w:firstRowFirstColumn="0" w:firstRowLastColumn="0" w:lastRowFirstColumn="0" w:lastRowLastColumn="0"/>
              <w:rPr>
                <w:rFonts w:ascii="Arial" w:eastAsia="DengXian" w:hAnsi="Arial"/>
              </w:rPr>
            </w:pPr>
            <w:r w:rsidRPr="002B3300">
              <w:rPr>
                <w:rFonts w:ascii="Arial" w:eastAsia="DengXian" w:hAnsi="Arial"/>
                <w:lang w:val="vi-VN"/>
              </w:rPr>
              <w:t>Chương trình xây dựng năng lực cho các cơ quan liên quan của ASEAN cần hỗ trợ kỹ thuật và pháp lý trong việc triển khai luật giao dịch điện tử.</w:t>
            </w:r>
          </w:p>
          <w:p w14:paraId="0FE3884A" w14:textId="635A9AC6" w:rsidR="00977459" w:rsidRPr="001B2302" w:rsidRDefault="002B3300" w:rsidP="00977459">
            <w:pPr>
              <w:pStyle w:val="ListParagraph"/>
              <w:spacing w:after="0"/>
              <w:jc w:val="left"/>
              <w:cnfStyle w:val="000000100000" w:firstRow="0" w:lastRow="0" w:firstColumn="0" w:lastColumn="0" w:oddVBand="0" w:evenVBand="0" w:oddHBand="1" w:evenHBand="0" w:firstRowFirstColumn="0" w:firstRowLastColumn="0" w:lastRowFirstColumn="0" w:lastRowLastColumn="0"/>
              <w:rPr>
                <w:rFonts w:ascii="Arial" w:eastAsia="DengXian" w:hAnsi="Arial"/>
              </w:rPr>
            </w:pPr>
            <w:r w:rsidRPr="002B3300">
              <w:rPr>
                <w:rFonts w:ascii="Arial" w:eastAsia="DengXian" w:hAnsi="Arial"/>
                <w:lang w:val="vi-VN"/>
              </w:rPr>
              <w:t>Cơ chế Báo cáo Luật, theo đó các quốc gia thành viên cung cấp kế hoạch quốc gia nhằm điều chỉnh luật và quy định giao dịch điện tử phù hợp với các văn kiện lập pháp được UNCITRAL quy định.</w:t>
            </w:r>
          </w:p>
          <w:p w14:paraId="26F02E77" w14:textId="4CC1AD9A" w:rsidR="00977459" w:rsidRPr="001B2302" w:rsidRDefault="002B3300" w:rsidP="00977459">
            <w:pPr>
              <w:pStyle w:val="ListParagraph"/>
              <w:spacing w:after="0"/>
              <w:jc w:val="left"/>
              <w:cnfStyle w:val="000000100000" w:firstRow="0" w:lastRow="0" w:firstColumn="0" w:lastColumn="0" w:oddVBand="0" w:evenVBand="0" w:oddHBand="1" w:evenHBand="0" w:firstRowFirstColumn="0" w:firstRowLastColumn="0" w:lastRowFirstColumn="0" w:lastRowLastColumn="0"/>
              <w:rPr>
                <w:rFonts w:ascii="Arial" w:eastAsia="DengXian" w:hAnsi="Arial"/>
              </w:rPr>
            </w:pPr>
            <w:r w:rsidRPr="002B3300">
              <w:rPr>
                <w:rFonts w:ascii="Arial" w:eastAsia="DengXian" w:hAnsi="Arial"/>
                <w:lang w:val="vi-VN"/>
              </w:rPr>
              <w:t>Các Hội thảo về Nội luật hóa, hỗ trợ quốc gia thành viên giải quyết các vấn đề chung trong việc thông qua Công ước Liên Hợp Quốc về Giao tiếp Điện tử vào luật và quy định trong nước.</w:t>
            </w:r>
          </w:p>
        </w:tc>
        <w:tc>
          <w:tcPr>
            <w:tcW w:w="1662" w:type="dxa"/>
          </w:tcPr>
          <w:p w14:paraId="67334BD1" w14:textId="77777777" w:rsidR="00977459" w:rsidRPr="001B2302" w:rsidRDefault="00977459" w:rsidP="00977459">
            <w:pPr>
              <w:spacing w:line="276" w:lineRule="auto"/>
              <w:cnfStyle w:val="000000100000" w:firstRow="0" w:lastRow="0" w:firstColumn="0" w:lastColumn="0" w:oddVBand="0" w:evenVBand="0" w:oddHBand="1" w:evenHBand="0" w:firstRowFirstColumn="0" w:firstRowLastColumn="0" w:lastRowFirstColumn="0" w:lastRowLastColumn="0"/>
            </w:pPr>
            <w:r w:rsidRPr="001B2302">
              <w:lastRenderedPageBreak/>
              <w:t>ACCED -&gt; SEOM -&gt; AEM</w:t>
            </w:r>
          </w:p>
        </w:tc>
        <w:tc>
          <w:tcPr>
            <w:tcW w:w="2991" w:type="dxa"/>
          </w:tcPr>
          <w:p w14:paraId="35F080CB" w14:textId="77777777" w:rsidR="00977459" w:rsidRPr="001B2302" w:rsidRDefault="00977459" w:rsidP="00977459">
            <w:pPr>
              <w:spacing w:line="276" w:lineRule="auto"/>
              <w:cnfStyle w:val="000000100000" w:firstRow="0" w:lastRow="0" w:firstColumn="0" w:lastColumn="0" w:oddVBand="0" w:evenVBand="0" w:oddHBand="1" w:evenHBand="0" w:firstRowFirstColumn="0" w:firstRowLastColumn="0" w:lastRowFirstColumn="0" w:lastRowLastColumn="0"/>
            </w:pPr>
            <w:r w:rsidRPr="001B2302">
              <w:t>N/A</w:t>
            </w:r>
          </w:p>
        </w:tc>
      </w:tr>
      <w:tr w:rsidR="00977459" w:rsidRPr="001B2302" w14:paraId="2A6271D6" w14:textId="77777777" w:rsidTr="008D2047">
        <w:tc>
          <w:tcPr>
            <w:cnfStyle w:val="001000000000" w:firstRow="0" w:lastRow="0" w:firstColumn="1" w:lastColumn="0" w:oddVBand="0" w:evenVBand="0" w:oddHBand="0" w:evenHBand="0" w:firstRowFirstColumn="0" w:firstRowLastColumn="0" w:lastRowFirstColumn="0" w:lastRowLastColumn="0"/>
            <w:tcW w:w="2161" w:type="dxa"/>
          </w:tcPr>
          <w:p w14:paraId="3FBFAA3A" w14:textId="0C210455" w:rsidR="00977459" w:rsidRPr="001B2302" w:rsidRDefault="008B7863" w:rsidP="00977459">
            <w:pPr>
              <w:spacing w:line="276" w:lineRule="auto"/>
              <w:jc w:val="center"/>
            </w:pPr>
            <w:r>
              <w:lastRenderedPageBreak/>
              <w:t>Ủy</w:t>
            </w:r>
            <w:r>
              <w:rPr>
                <w:lang w:val="vi-VN"/>
              </w:rPr>
              <w:t xml:space="preserve"> ban Điều phối ASEAN về MSME </w:t>
            </w:r>
            <w:r w:rsidR="00977459" w:rsidRPr="001B2302">
              <w:t>(ACCMSME)</w:t>
            </w:r>
          </w:p>
        </w:tc>
        <w:tc>
          <w:tcPr>
            <w:tcW w:w="3458" w:type="dxa"/>
          </w:tcPr>
          <w:p w14:paraId="36F238E8" w14:textId="7D4493DF" w:rsidR="00EC084F" w:rsidRPr="00EC084F" w:rsidRDefault="00EC084F" w:rsidP="00977459">
            <w:pPr>
              <w:spacing w:line="276" w:lineRule="auto"/>
              <w:cnfStyle w:val="000000000000" w:firstRow="0" w:lastRow="0" w:firstColumn="0" w:lastColumn="0" w:oddVBand="0" w:evenVBand="0" w:oddHBand="0" w:evenHBand="0" w:firstRowFirstColumn="0" w:firstRowLastColumn="0" w:lastRowFirstColumn="0" w:lastRowLastColumn="0"/>
              <w:rPr>
                <w:lang w:val="vi-VN"/>
              </w:rPr>
            </w:pPr>
            <w:r w:rsidRPr="00EC084F">
              <w:rPr>
                <w:lang w:val="vi-VN"/>
              </w:rPr>
              <w:t>ACCMSME là cơ quan của ASEAN chịu trách nhiệm tăng cường sự tham gia của các doanh nghiệp siêu nhỏ, nhỏ và vừa (MSME) trong ASEAN, cũng như làm sâu rộng và mở rộng đóng góp của họ đối với tăng trưởng kinh tế của khu vực.</w:t>
            </w:r>
            <w:r>
              <w:rPr>
                <w:lang w:val="vi-VN"/>
              </w:rPr>
              <w:t xml:space="preserve"> </w:t>
            </w:r>
            <w:r w:rsidRPr="00EC084F">
              <w:rPr>
                <w:lang w:val="vi-VN"/>
              </w:rPr>
              <w:t>Cơ quan này tạo thuận lợi cho việc triển khai, giám sát và đánh giá Kế hoạch Hành động Chiến lược ASEAN về Phát triển DNNVV 2016–2025 (SAP SMED 2025), với sứ mệnh xây dựng các MSME có năng lực cạnh tranh toàn cầu, khả năng chống chịu cao và đổi mới sáng tạo, được hội nhập liền mạch vào Cộng đồng ASEAN, qua đó đạt được phát triển bao trùm trong khu vực.</w:t>
            </w:r>
          </w:p>
        </w:tc>
        <w:tc>
          <w:tcPr>
            <w:tcW w:w="1662" w:type="dxa"/>
          </w:tcPr>
          <w:p w14:paraId="057DDADA" w14:textId="77777777" w:rsidR="00977459" w:rsidRPr="001B2302" w:rsidRDefault="00977459" w:rsidP="00977459">
            <w:pPr>
              <w:spacing w:line="276" w:lineRule="auto"/>
              <w:cnfStyle w:val="000000000000" w:firstRow="0" w:lastRow="0" w:firstColumn="0" w:lastColumn="0" w:oddVBand="0" w:evenVBand="0" w:oddHBand="0" w:evenHBand="0" w:firstRowFirstColumn="0" w:firstRowLastColumn="0" w:lastRowFirstColumn="0" w:lastRowLastColumn="0"/>
            </w:pPr>
            <w:r w:rsidRPr="001B2302">
              <w:t>ACCMSME -&gt; SEOM -&gt; AEM</w:t>
            </w:r>
          </w:p>
        </w:tc>
        <w:tc>
          <w:tcPr>
            <w:tcW w:w="2991" w:type="dxa"/>
          </w:tcPr>
          <w:p w14:paraId="48418402" w14:textId="7C381DDF" w:rsidR="00EC084F" w:rsidRPr="00EC084F" w:rsidRDefault="00EC084F" w:rsidP="00977459">
            <w:pPr>
              <w:spacing w:line="276" w:lineRule="auto"/>
              <w:cnfStyle w:val="000000000000" w:firstRow="0" w:lastRow="0" w:firstColumn="0" w:lastColumn="0" w:oddVBand="0" w:evenVBand="0" w:oddHBand="0" w:evenHBand="0" w:firstRowFirstColumn="0" w:firstRowLastColumn="0" w:lastRowFirstColumn="0" w:lastRowLastColumn="0"/>
              <w:rPr>
                <w:lang w:val="vi-VN"/>
              </w:rPr>
            </w:pPr>
            <w:r w:rsidRPr="00EC084F">
              <w:rPr>
                <w:lang w:val="vi-VN"/>
              </w:rPr>
              <w:t>Hội đồng Tư vấn MSME ASEAN (AMAB), gồm các đại diện khu vực tư nhân được ACCMSME đề cử, cung cấp các khuyến nghị chính sách chiến lược về phát triển MSME cho các Bộ trưởng và đưa ra định hướng đối với các vấn đề ưu tiên cao cho ACCMSME.</w:t>
            </w:r>
          </w:p>
        </w:tc>
      </w:tr>
      <w:tr w:rsidR="00977459" w:rsidRPr="001B2302" w14:paraId="4184BB0A" w14:textId="77777777" w:rsidTr="008D2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14:paraId="1885E60C" w14:textId="2AFC2CC7" w:rsidR="00977459" w:rsidRPr="001B2302" w:rsidRDefault="00D13132" w:rsidP="00977459">
            <w:pPr>
              <w:spacing w:line="276" w:lineRule="auto"/>
              <w:jc w:val="center"/>
            </w:pPr>
            <w:r>
              <w:t>Hội</w:t>
            </w:r>
            <w:r>
              <w:rPr>
                <w:lang w:val="vi-VN"/>
              </w:rPr>
              <w:t xml:space="preserve"> nghị Quan chức cấp cao </w:t>
            </w:r>
            <w:r w:rsidR="00616696">
              <w:rPr>
                <w:lang w:val="vi-VN"/>
              </w:rPr>
              <w:t>Số</w:t>
            </w:r>
            <w:r>
              <w:rPr>
                <w:lang w:val="vi-VN"/>
              </w:rPr>
              <w:t xml:space="preserve"> ASEAN </w:t>
            </w:r>
            <w:r w:rsidR="00977459" w:rsidRPr="001B2302">
              <w:t>(ADGSOM)</w:t>
            </w:r>
          </w:p>
        </w:tc>
        <w:tc>
          <w:tcPr>
            <w:tcW w:w="3458" w:type="dxa"/>
          </w:tcPr>
          <w:p w14:paraId="63D70A63" w14:textId="0E55E062" w:rsidR="00977459" w:rsidRPr="001B2302" w:rsidRDefault="00D13132" w:rsidP="00977459">
            <w:pPr>
              <w:spacing w:line="276" w:lineRule="auto"/>
              <w:cnfStyle w:val="000000100000" w:firstRow="0" w:lastRow="0" w:firstColumn="0" w:lastColumn="0" w:oddVBand="0" w:evenVBand="0" w:oddHBand="1" w:evenHBand="0" w:firstRowFirstColumn="0" w:firstRowLastColumn="0" w:lastRowFirstColumn="0" w:lastRowLastColumn="0"/>
            </w:pPr>
            <w:r w:rsidRPr="00D13132">
              <w:t xml:space="preserve">Cuộc họp Quan chức Cao cấp </w:t>
            </w:r>
            <w:r w:rsidR="00616696">
              <w:t>Số</w:t>
            </w:r>
            <w:r w:rsidRPr="00D13132">
              <w:t xml:space="preserve"> ASEAN (ADGSOM) nhằm thúc đẩy hợp tác thông qua nhiều sáng kiến và dự án để giải quyết các thách thức chung như lừa đảo trực tuyến, trí tuệ nhân tạo (AI), bảo vệ dữ liệu, và thu hẹp khoảng cách số giữa khu vực đô thị và nông thôn</w:t>
            </w:r>
            <w:r w:rsidR="00977459" w:rsidRPr="001B2302">
              <w:t>.</w:t>
            </w:r>
            <w:r w:rsidR="008C49DF" w:rsidRPr="001B2302">
              <w:rPr>
                <w:rStyle w:val="FootnoteReference"/>
              </w:rPr>
              <w:footnoteReference w:id="394"/>
            </w:r>
          </w:p>
        </w:tc>
        <w:tc>
          <w:tcPr>
            <w:tcW w:w="1662" w:type="dxa"/>
          </w:tcPr>
          <w:p w14:paraId="4BB6625D" w14:textId="4C004DC2" w:rsidR="00977459" w:rsidRPr="001B2302" w:rsidRDefault="00977459" w:rsidP="00977459">
            <w:pPr>
              <w:spacing w:line="276" w:lineRule="auto"/>
              <w:cnfStyle w:val="000000100000" w:firstRow="0" w:lastRow="0" w:firstColumn="0" w:lastColumn="0" w:oddVBand="0" w:evenVBand="0" w:oddHBand="1" w:evenHBand="0" w:firstRowFirstColumn="0" w:firstRowLastColumn="0" w:lastRowFirstColumn="0" w:lastRowLastColumn="0"/>
            </w:pPr>
            <w:r w:rsidRPr="001B2302">
              <w:t xml:space="preserve">ADGSOM -&gt; </w:t>
            </w:r>
            <w:r w:rsidR="002F21A8" w:rsidRPr="002F21A8">
              <w:t xml:space="preserve">Hội nghị Bộ trưởng </w:t>
            </w:r>
            <w:r w:rsidR="00616696">
              <w:t>Số</w:t>
            </w:r>
            <w:r w:rsidR="002F21A8" w:rsidRPr="002F21A8">
              <w:t xml:space="preserve"> ASEAN </w:t>
            </w:r>
            <w:r w:rsidRPr="001B2302">
              <w:t>(ADGMIN)</w:t>
            </w:r>
          </w:p>
        </w:tc>
        <w:tc>
          <w:tcPr>
            <w:tcW w:w="2991" w:type="dxa"/>
          </w:tcPr>
          <w:p w14:paraId="2EE860EE" w14:textId="1697A307" w:rsidR="00977459" w:rsidRPr="001B2302" w:rsidRDefault="002F21A8" w:rsidP="00977459">
            <w:pPr>
              <w:spacing w:line="276" w:lineRule="auto"/>
              <w:cnfStyle w:val="000000100000" w:firstRow="0" w:lastRow="0" w:firstColumn="0" w:lastColumn="0" w:oddVBand="0" w:evenVBand="0" w:oddHBand="1" w:evenHBand="0" w:firstRowFirstColumn="0" w:firstRowLastColumn="0" w:lastRowFirstColumn="0" w:lastRowLastColumn="0"/>
            </w:pPr>
            <w:r w:rsidRPr="002F21A8">
              <w:t>Nhóm Công tác ADGSOM: được thành lập nhằm thảo luận về kế hoạch công tác hợp tác của ADGSOM và việc triển khai các hoạt động liên quan</w:t>
            </w:r>
            <w:r w:rsidR="00977459" w:rsidRPr="001B2302">
              <w:t>.</w:t>
            </w:r>
            <w:r w:rsidR="00C47E23" w:rsidRPr="001B2302">
              <w:rPr>
                <w:rStyle w:val="FootnoteReference"/>
              </w:rPr>
              <w:footnoteReference w:id="395"/>
            </w:r>
          </w:p>
        </w:tc>
      </w:tr>
      <w:tr w:rsidR="00977459" w:rsidRPr="001B2302" w14:paraId="71686A35" w14:textId="77777777" w:rsidTr="008D2047">
        <w:tc>
          <w:tcPr>
            <w:cnfStyle w:val="001000000000" w:firstRow="0" w:lastRow="0" w:firstColumn="1" w:lastColumn="0" w:oddVBand="0" w:evenVBand="0" w:oddHBand="0" w:evenHBand="0" w:firstRowFirstColumn="0" w:firstRowLastColumn="0" w:lastRowFirstColumn="0" w:lastRowLastColumn="0"/>
            <w:tcW w:w="2161" w:type="dxa"/>
          </w:tcPr>
          <w:p w14:paraId="1C084793" w14:textId="05B4523B" w:rsidR="00977459" w:rsidRPr="001B2302" w:rsidRDefault="002F21A8" w:rsidP="00977459">
            <w:pPr>
              <w:spacing w:line="276" w:lineRule="auto"/>
              <w:jc w:val="center"/>
            </w:pPr>
            <w:r w:rsidRPr="002F21A8">
              <w:t xml:space="preserve">Hội đồng Hành động An ninh Mạng ASEAN </w:t>
            </w:r>
            <w:r w:rsidR="00977459" w:rsidRPr="001B2302">
              <w:t>(ANSAC)</w:t>
            </w:r>
          </w:p>
        </w:tc>
        <w:tc>
          <w:tcPr>
            <w:tcW w:w="3458" w:type="dxa"/>
          </w:tcPr>
          <w:p w14:paraId="04AE9D2F" w14:textId="3764D280" w:rsidR="00977459" w:rsidRPr="002F21A8" w:rsidRDefault="002F21A8" w:rsidP="002F21A8">
            <w:pPr>
              <w:spacing w:line="276" w:lineRule="auto"/>
              <w:cnfStyle w:val="000000000000" w:firstRow="0" w:lastRow="0" w:firstColumn="0" w:lastColumn="0" w:oddVBand="0" w:evenVBand="0" w:oddHBand="0" w:evenHBand="0" w:firstRowFirstColumn="0" w:firstRowLastColumn="0" w:lastRowFirstColumn="0" w:lastRowLastColumn="0"/>
              <w:rPr>
                <w:lang w:val="vi-VN"/>
              </w:rPr>
            </w:pPr>
            <w:r w:rsidRPr="002F21A8">
              <w:rPr>
                <w:lang w:val="vi-VN"/>
              </w:rPr>
              <w:t>Hội đồng Hành động An ninh Mạng ASEAN (ANSAC) được thành lập năm 2012 theo nhiệm vụ được giao trong AIM2015.</w:t>
            </w:r>
            <w:r>
              <w:rPr>
                <w:lang w:val="vi-VN"/>
              </w:rPr>
              <w:t xml:space="preserve"> </w:t>
            </w:r>
            <w:r w:rsidRPr="002F21A8">
              <w:rPr>
                <w:lang w:val="vi-VN"/>
              </w:rPr>
              <w:t>ANSAC chịu trách nhiệm điều phối các hoạt động hợp tác về an ninh mạng của ASEAN trong lĩnh vực số.</w:t>
            </w:r>
          </w:p>
        </w:tc>
        <w:tc>
          <w:tcPr>
            <w:tcW w:w="1662" w:type="dxa"/>
          </w:tcPr>
          <w:p w14:paraId="1B1C6B88" w14:textId="507A7BBB" w:rsidR="00977459" w:rsidRPr="001B2302" w:rsidRDefault="002F21A8" w:rsidP="00977459">
            <w:pPr>
              <w:spacing w:line="276" w:lineRule="auto"/>
              <w:cnfStyle w:val="000000000000" w:firstRow="0" w:lastRow="0" w:firstColumn="0" w:lastColumn="0" w:oddVBand="0" w:evenVBand="0" w:oddHBand="0" w:evenHBand="0" w:firstRowFirstColumn="0" w:firstRowLastColumn="0" w:lastRowFirstColumn="0" w:lastRowLastColumn="0"/>
            </w:pPr>
            <w:r w:rsidRPr="002F21A8">
              <w:t xml:space="preserve">ANSAC </w:t>
            </w:r>
            <w:r w:rsidRPr="002F21A8">
              <w:rPr>
                <w:rFonts w:hint="eastAsia"/>
              </w:rPr>
              <w:t>→</w:t>
            </w:r>
            <w:r w:rsidRPr="002F21A8">
              <w:t xml:space="preserve"> Nhóm Công tác ADGSOM </w:t>
            </w:r>
            <w:r w:rsidRPr="002F21A8">
              <w:rPr>
                <w:rFonts w:hint="eastAsia"/>
              </w:rPr>
              <w:t>→</w:t>
            </w:r>
            <w:r w:rsidRPr="002F21A8">
              <w:t xml:space="preserve"> Cuộc họp Quan chức Cao cấp </w:t>
            </w:r>
            <w:r w:rsidR="00616696">
              <w:t>Số</w:t>
            </w:r>
            <w:r w:rsidRPr="002F21A8">
              <w:t xml:space="preserve"> ASEAN (ADGSOM) </w:t>
            </w:r>
            <w:r w:rsidRPr="002F21A8">
              <w:rPr>
                <w:rFonts w:hint="eastAsia"/>
              </w:rPr>
              <w:t>→</w:t>
            </w:r>
            <w:r w:rsidRPr="002F21A8">
              <w:t xml:space="preserve"> Hội nghị Bộ trưởng </w:t>
            </w:r>
            <w:r w:rsidR="00616696">
              <w:t>Số</w:t>
            </w:r>
            <w:r w:rsidRPr="002F21A8">
              <w:t xml:space="preserve"> </w:t>
            </w:r>
            <w:r w:rsidRPr="002F21A8">
              <w:lastRenderedPageBreak/>
              <w:t>ASEAN (ADGMIN)</w:t>
            </w:r>
          </w:p>
        </w:tc>
        <w:tc>
          <w:tcPr>
            <w:tcW w:w="2991" w:type="dxa"/>
          </w:tcPr>
          <w:p w14:paraId="2C56100E" w14:textId="77777777" w:rsidR="00977459" w:rsidRPr="001B2302" w:rsidRDefault="00977459" w:rsidP="00977459">
            <w:pPr>
              <w:spacing w:line="276" w:lineRule="auto"/>
              <w:cnfStyle w:val="000000000000" w:firstRow="0" w:lastRow="0" w:firstColumn="0" w:lastColumn="0" w:oddVBand="0" w:evenVBand="0" w:oddHBand="0" w:evenHBand="0" w:firstRowFirstColumn="0" w:firstRowLastColumn="0" w:lastRowFirstColumn="0" w:lastRowLastColumn="0"/>
            </w:pPr>
            <w:r w:rsidRPr="001B2302">
              <w:lastRenderedPageBreak/>
              <w:t>N/A</w:t>
            </w:r>
          </w:p>
        </w:tc>
      </w:tr>
      <w:tr w:rsidR="00977459" w:rsidRPr="001B2302" w14:paraId="0FDDCC36" w14:textId="77777777" w:rsidTr="008D2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14:paraId="4DBF5B54" w14:textId="55CCEE0A" w:rsidR="00977459" w:rsidRPr="001B2302" w:rsidRDefault="001E7D91" w:rsidP="00977459">
            <w:pPr>
              <w:spacing w:line="276" w:lineRule="auto"/>
              <w:jc w:val="center"/>
            </w:pPr>
            <w:r w:rsidRPr="001E7D91">
              <w:t>Cuộc họp Quan chức Pháp luật Cấp cao ASEAN (ASLOM)</w:t>
            </w:r>
          </w:p>
        </w:tc>
        <w:tc>
          <w:tcPr>
            <w:tcW w:w="3458" w:type="dxa"/>
          </w:tcPr>
          <w:p w14:paraId="21B0D21B" w14:textId="71B9602F" w:rsidR="001E7D91" w:rsidRPr="001E7D91" w:rsidRDefault="001E7D91" w:rsidP="001E7D91">
            <w:pPr>
              <w:spacing w:line="276" w:lineRule="auto"/>
              <w:cnfStyle w:val="000000100000" w:firstRow="0" w:lastRow="0" w:firstColumn="0" w:lastColumn="0" w:oddVBand="0" w:evenVBand="0" w:oddHBand="1" w:evenHBand="0" w:firstRowFirstColumn="0" w:firstRowLastColumn="0" w:lastRowFirstColumn="0" w:lastRowLastColumn="0"/>
              <w:rPr>
                <w:lang w:val="vi-VN"/>
              </w:rPr>
            </w:pPr>
            <w:r>
              <w:t>Cuộc họp Quan chức Pháp luật Cấp cao ASEAN (ASLOM) nhằm thảo luận về việc phát triển pháp luật và các vấn đề pháp lý có mối quan tâm và lợi ích chung đối với các quốc gia thành viên ASEAN.</w:t>
            </w:r>
          </w:p>
          <w:p w14:paraId="722043D0" w14:textId="1CE3FEF9" w:rsidR="00977459" w:rsidRPr="001B2302" w:rsidRDefault="001E7D91" w:rsidP="001E7D91">
            <w:pPr>
              <w:spacing w:line="276" w:lineRule="auto"/>
              <w:cnfStyle w:val="000000100000" w:firstRow="0" w:lastRow="0" w:firstColumn="0" w:lastColumn="0" w:oddVBand="0" w:evenVBand="0" w:oddHBand="1" w:evenHBand="0" w:firstRowFirstColumn="0" w:firstRowLastColumn="0" w:lastRowFirstColumn="0" w:lastRowLastColumn="0"/>
            </w:pPr>
            <w:r>
              <w:t>ASLOM có nhiệm vụ xử lý tất cả các vấn đề chung liên quan đến hợp tác pháp lý nhằm hỗ trợ các sáng kiến hội nhập ASEAN tại tất cả các nước thành viên. Hợp tác pháp lý ban đầu giữa ASLOM và Hội nghị Bộ trưởng Pháp luật ASEAN (ALAWMM) bao gồm các lĩnh vực sau</w:t>
            </w:r>
            <w:r w:rsidR="00977459" w:rsidRPr="001B2302">
              <w:t>:</w:t>
            </w:r>
          </w:p>
          <w:p w14:paraId="455AAB50" w14:textId="0D3E27CE" w:rsidR="001E7D91" w:rsidRPr="001E7D91" w:rsidRDefault="001E7D91" w:rsidP="001E7D91">
            <w:pPr>
              <w:pStyle w:val="ListParagraph"/>
              <w:numPr>
                <w:ilvl w:val="0"/>
                <w:numId w:val="57"/>
              </w:numPr>
              <w:spacing w:after="0"/>
              <w:jc w:val="left"/>
              <w:cnfStyle w:val="000000100000" w:firstRow="0" w:lastRow="0" w:firstColumn="0" w:lastColumn="0" w:oddVBand="0" w:evenVBand="0" w:oddHBand="1" w:evenHBand="0" w:firstRowFirstColumn="0" w:firstRowLastColumn="0" w:lastRowFirstColumn="0" w:lastRowLastColumn="0"/>
              <w:rPr>
                <w:rFonts w:ascii="Arial" w:eastAsia="DengXian" w:hAnsi="Arial"/>
              </w:rPr>
            </w:pPr>
            <w:r w:rsidRPr="001E7D91">
              <w:rPr>
                <w:rFonts w:ascii="Arial" w:eastAsia="DengXian" w:hAnsi="Arial"/>
              </w:rPr>
              <w:t>Giáo dục pháp luật và nghiên cứu pháp lý.</w:t>
            </w:r>
          </w:p>
          <w:p w14:paraId="1994112F" w14:textId="23F55590" w:rsidR="001E7D91" w:rsidRPr="001E7D91" w:rsidRDefault="001E7D91" w:rsidP="001E7D91">
            <w:pPr>
              <w:pStyle w:val="ListParagraph"/>
              <w:numPr>
                <w:ilvl w:val="0"/>
                <w:numId w:val="57"/>
              </w:numPr>
              <w:spacing w:after="0"/>
              <w:jc w:val="left"/>
              <w:cnfStyle w:val="000000100000" w:firstRow="0" w:lastRow="0" w:firstColumn="0" w:lastColumn="0" w:oddVBand="0" w:evenVBand="0" w:oddHBand="1" w:evenHBand="0" w:firstRowFirstColumn="0" w:firstRowLastColumn="0" w:lastRowFirstColumn="0" w:lastRowLastColumn="0"/>
              <w:rPr>
                <w:rFonts w:ascii="Arial" w:eastAsia="DengXian" w:hAnsi="Arial"/>
              </w:rPr>
            </w:pPr>
            <w:r w:rsidRPr="001E7D91">
              <w:rPr>
                <w:rFonts w:ascii="Arial" w:eastAsia="DengXian" w:hAnsi="Arial"/>
              </w:rPr>
              <w:t>Trao đổi tài liệu pháp luật.</w:t>
            </w:r>
          </w:p>
          <w:p w14:paraId="6FB059E1" w14:textId="038243A3" w:rsidR="00977459" w:rsidRPr="001E7D91" w:rsidRDefault="001E7D91" w:rsidP="00977459">
            <w:pPr>
              <w:pStyle w:val="ListParagraph"/>
              <w:numPr>
                <w:ilvl w:val="0"/>
                <w:numId w:val="57"/>
              </w:numPr>
              <w:spacing w:after="0"/>
              <w:jc w:val="left"/>
              <w:cnfStyle w:val="000000100000" w:firstRow="0" w:lastRow="0" w:firstColumn="0" w:lastColumn="0" w:oddVBand="0" w:evenVBand="0" w:oddHBand="1" w:evenHBand="0" w:firstRowFirstColumn="0" w:firstRowLastColumn="0" w:lastRowFirstColumn="0" w:lastRowLastColumn="0"/>
              <w:rPr>
                <w:rFonts w:ascii="Arial" w:eastAsia="DengXian" w:hAnsi="Arial"/>
              </w:rPr>
            </w:pPr>
            <w:r w:rsidRPr="001E7D91">
              <w:rPr>
                <w:rFonts w:ascii="Arial" w:eastAsia="DengXian" w:hAnsi="Arial"/>
              </w:rPr>
              <w:t>Hợp tác tư pháp.</w:t>
            </w:r>
          </w:p>
        </w:tc>
        <w:tc>
          <w:tcPr>
            <w:tcW w:w="1662" w:type="dxa"/>
          </w:tcPr>
          <w:p w14:paraId="5B750FDD" w14:textId="77777777" w:rsidR="00977459" w:rsidRPr="001B2302" w:rsidRDefault="00977459" w:rsidP="00977459">
            <w:pPr>
              <w:spacing w:line="276" w:lineRule="auto"/>
              <w:cnfStyle w:val="000000100000" w:firstRow="0" w:lastRow="0" w:firstColumn="0" w:lastColumn="0" w:oddVBand="0" w:evenVBand="0" w:oddHBand="1" w:evenHBand="0" w:firstRowFirstColumn="0" w:firstRowLastColumn="0" w:lastRowFirstColumn="0" w:lastRowLastColumn="0"/>
            </w:pPr>
            <w:r w:rsidRPr="001B2302">
              <w:t>ASLOM -&gt; ALAWMM</w:t>
            </w:r>
          </w:p>
        </w:tc>
        <w:tc>
          <w:tcPr>
            <w:tcW w:w="2991" w:type="dxa"/>
          </w:tcPr>
          <w:p w14:paraId="34EE6654" w14:textId="77777777" w:rsidR="00977459" w:rsidRPr="001B2302" w:rsidRDefault="00977459" w:rsidP="00977459">
            <w:pPr>
              <w:spacing w:line="276" w:lineRule="auto"/>
              <w:cnfStyle w:val="000000100000" w:firstRow="0" w:lastRow="0" w:firstColumn="0" w:lastColumn="0" w:oddVBand="0" w:evenVBand="0" w:oddHBand="1" w:evenHBand="0" w:firstRowFirstColumn="0" w:firstRowLastColumn="0" w:lastRowFirstColumn="0" w:lastRowLastColumn="0"/>
            </w:pPr>
            <w:r w:rsidRPr="001B2302">
              <w:t>N/A</w:t>
            </w:r>
          </w:p>
        </w:tc>
      </w:tr>
      <w:tr w:rsidR="00977459" w:rsidRPr="001B2302" w14:paraId="28F5345B" w14:textId="77777777" w:rsidTr="008D2047">
        <w:tc>
          <w:tcPr>
            <w:cnfStyle w:val="001000000000" w:firstRow="0" w:lastRow="0" w:firstColumn="1" w:lastColumn="0" w:oddVBand="0" w:evenVBand="0" w:oddHBand="0" w:evenHBand="0" w:firstRowFirstColumn="0" w:firstRowLastColumn="0" w:lastRowFirstColumn="0" w:lastRowLastColumn="0"/>
            <w:tcW w:w="2161" w:type="dxa"/>
          </w:tcPr>
          <w:p w14:paraId="4AEFE79E" w14:textId="72873CE2" w:rsidR="00977459" w:rsidRPr="001B2302" w:rsidRDefault="009449B4" w:rsidP="00977459">
            <w:pPr>
              <w:spacing w:line="276" w:lineRule="auto"/>
              <w:jc w:val="center"/>
            </w:pPr>
            <w:r w:rsidRPr="009449B4">
              <w:t>Ủy ban Chỉ đạo Cơ chế Một cửa ASEAN (ASWSC</w:t>
            </w:r>
            <w:r w:rsidR="00977459" w:rsidRPr="001B2302">
              <w:t>)</w:t>
            </w:r>
          </w:p>
        </w:tc>
        <w:tc>
          <w:tcPr>
            <w:tcW w:w="3458" w:type="dxa"/>
          </w:tcPr>
          <w:p w14:paraId="7095747C" w14:textId="72EFD0F4" w:rsidR="00977459" w:rsidRPr="001B2302" w:rsidRDefault="009449B4" w:rsidP="00977459">
            <w:pPr>
              <w:spacing w:line="276" w:lineRule="auto"/>
              <w:cnfStyle w:val="000000000000" w:firstRow="0" w:lastRow="0" w:firstColumn="0" w:lastColumn="0" w:oddVBand="0" w:evenVBand="0" w:oddHBand="0" w:evenHBand="0" w:firstRowFirstColumn="0" w:firstRowLastColumn="0" w:lastRowFirstColumn="0" w:lastRowLastColumn="0"/>
            </w:pPr>
            <w:r w:rsidRPr="009449B4">
              <w:t>Ủy ban Chỉ đạo Cơ chế Một cửa ASEAN (ASWSC) được thành lập nhằm</w:t>
            </w:r>
            <w:r w:rsidR="00977459" w:rsidRPr="001B2302">
              <w:t>:</w:t>
            </w:r>
            <w:r w:rsidR="007B352D" w:rsidRPr="001B2302">
              <w:rPr>
                <w:rStyle w:val="FootnoteReference"/>
              </w:rPr>
              <w:footnoteReference w:id="396"/>
            </w:r>
          </w:p>
          <w:p w14:paraId="30A29BF4" w14:textId="77777777" w:rsidR="00977459" w:rsidRPr="001B2302" w:rsidRDefault="00977459" w:rsidP="00977459">
            <w:pPr>
              <w:spacing w:line="276" w:lineRule="auto"/>
              <w:cnfStyle w:val="000000000000" w:firstRow="0" w:lastRow="0" w:firstColumn="0" w:lastColumn="0" w:oddVBand="0" w:evenVBand="0" w:oddHBand="0" w:evenHBand="0" w:firstRowFirstColumn="0" w:firstRowLastColumn="0" w:lastRowFirstColumn="0" w:lastRowLastColumn="0"/>
            </w:pPr>
          </w:p>
          <w:p w14:paraId="02F72218" w14:textId="77777777" w:rsidR="009449B4" w:rsidRPr="009449B4" w:rsidRDefault="009449B4" w:rsidP="006043C2">
            <w:pPr>
              <w:numPr>
                <w:ilvl w:val="0"/>
                <w:numId w:val="59"/>
              </w:numPr>
              <w:spacing w:line="276" w:lineRule="auto"/>
              <w:jc w:val="left"/>
              <w:cnfStyle w:val="000000000000" w:firstRow="0" w:lastRow="0" w:firstColumn="0" w:lastColumn="0" w:oddVBand="0" w:evenVBand="0" w:oddHBand="0" w:evenHBand="0" w:firstRowFirstColumn="0" w:firstRowLastColumn="0" w:lastRowFirstColumn="0" w:lastRowLastColumn="0"/>
            </w:pPr>
            <w:r w:rsidRPr="009449B4">
              <w:t>Giám sát việc điều phối tổng thể và sự đồng bộ cần thiết giữa các hành động ở cấp quốc gia và cấp khu vực để thúc đẩy triển khai và vận hành hiệu quả Cơ chế Một cửa ASEAN (ASW); và</w:t>
            </w:r>
          </w:p>
          <w:p w14:paraId="319084E0" w14:textId="1D2E24BE" w:rsidR="00977459" w:rsidRPr="001B2302" w:rsidRDefault="009449B4" w:rsidP="006043C2">
            <w:pPr>
              <w:numPr>
                <w:ilvl w:val="0"/>
                <w:numId w:val="59"/>
              </w:numPr>
              <w:spacing w:line="276" w:lineRule="auto"/>
              <w:jc w:val="left"/>
              <w:cnfStyle w:val="000000000000" w:firstRow="0" w:lastRow="0" w:firstColumn="0" w:lastColumn="0" w:oddVBand="0" w:evenVBand="0" w:oddHBand="0" w:evenHBand="0" w:firstRowFirstColumn="0" w:firstRowLastColumn="0" w:lastRowFirstColumn="0" w:lastRowLastColumn="0"/>
            </w:pPr>
            <w:r w:rsidRPr="009449B4">
              <w:t xml:space="preserve">Xem xét nhu cầu phát triển trong tương lai của ASW, bao gồm việc mở rộng ASW để </w:t>
            </w:r>
            <w:r w:rsidRPr="009449B4">
              <w:lastRenderedPageBreak/>
              <w:t>cho phép trao đổi thêm các chứng từ liên quan đến thương mại thông qua hệ thống ASW, cũng như khả năng kết nối và mở rộng ASW với các Đối tác Đối thoại</w:t>
            </w:r>
            <w:r w:rsidR="00977459" w:rsidRPr="001B2302">
              <w:t>.</w:t>
            </w:r>
          </w:p>
          <w:p w14:paraId="10465A92" w14:textId="77777777" w:rsidR="00977459" w:rsidRPr="001B2302" w:rsidRDefault="00977459" w:rsidP="00977459">
            <w:pPr>
              <w:spacing w:line="276" w:lineRule="auto"/>
              <w:cnfStyle w:val="000000000000" w:firstRow="0" w:lastRow="0" w:firstColumn="0" w:lastColumn="0" w:oddVBand="0" w:evenVBand="0" w:oddHBand="0" w:evenHBand="0" w:firstRowFirstColumn="0" w:firstRowLastColumn="0" w:lastRowFirstColumn="0" w:lastRowLastColumn="0"/>
            </w:pPr>
          </w:p>
        </w:tc>
        <w:tc>
          <w:tcPr>
            <w:tcW w:w="1662" w:type="dxa"/>
          </w:tcPr>
          <w:p w14:paraId="795C44D5" w14:textId="22B4A510" w:rsidR="00977459" w:rsidRPr="001B2302" w:rsidRDefault="009449B4" w:rsidP="00977459">
            <w:pPr>
              <w:spacing w:line="276" w:lineRule="auto"/>
              <w:cnfStyle w:val="000000000000" w:firstRow="0" w:lastRow="0" w:firstColumn="0" w:lastColumn="0" w:oddVBand="0" w:evenVBand="0" w:oddHBand="0" w:evenHBand="0" w:firstRowFirstColumn="0" w:firstRowLastColumn="0" w:lastRowFirstColumn="0" w:lastRowLastColumn="0"/>
            </w:pPr>
            <w:r w:rsidRPr="009449B4">
              <w:lastRenderedPageBreak/>
              <w:t xml:space="preserve">ASWSC </w:t>
            </w:r>
            <w:r w:rsidRPr="009449B4">
              <w:rPr>
                <w:rFonts w:hint="eastAsia"/>
              </w:rPr>
              <w:t>→</w:t>
            </w:r>
            <w:r w:rsidRPr="009449B4">
              <w:t xml:space="preserve"> Họp Tổng cục trưởng Hải quan ASEAN (ASEAN DGs of Customs) </w:t>
            </w:r>
            <w:r w:rsidRPr="009449B4">
              <w:rPr>
                <w:rFonts w:hint="eastAsia"/>
              </w:rPr>
              <w:t>→</w:t>
            </w:r>
            <w:r w:rsidRPr="009449B4">
              <w:t xml:space="preserve"> SEOM</w:t>
            </w:r>
          </w:p>
        </w:tc>
        <w:tc>
          <w:tcPr>
            <w:tcW w:w="2991" w:type="dxa"/>
          </w:tcPr>
          <w:p w14:paraId="63C9A32D" w14:textId="4F61D604" w:rsidR="00977459" w:rsidRPr="001B2302" w:rsidRDefault="006F2B2B" w:rsidP="00977459">
            <w:pPr>
              <w:spacing w:line="276" w:lineRule="auto"/>
              <w:cnfStyle w:val="000000000000" w:firstRow="0" w:lastRow="0" w:firstColumn="0" w:lastColumn="0" w:oddVBand="0" w:evenVBand="0" w:oddHBand="0" w:evenHBand="0" w:firstRowFirstColumn="0" w:firstRowLastColumn="0" w:lastRowFirstColumn="0" w:lastRowLastColumn="0"/>
            </w:pPr>
            <w:r w:rsidRPr="006F2B2B">
              <w:t>ASWSC được hỗ trợ bởi hai cơ quan trực thuộc</w:t>
            </w:r>
            <w:r w:rsidR="00977459" w:rsidRPr="001B2302">
              <w:t>:</w:t>
            </w:r>
            <w:r w:rsidR="00775701" w:rsidRPr="001B2302">
              <w:rPr>
                <w:rStyle w:val="FootnoteReference"/>
              </w:rPr>
              <w:footnoteReference w:id="397"/>
            </w:r>
          </w:p>
          <w:p w14:paraId="6E0C0EE8" w14:textId="77777777" w:rsidR="006F2B2B" w:rsidRPr="006F2B2B" w:rsidRDefault="006F2B2B" w:rsidP="006043C2">
            <w:pPr>
              <w:numPr>
                <w:ilvl w:val="0"/>
                <w:numId w:val="60"/>
              </w:numPr>
              <w:spacing w:line="276" w:lineRule="auto"/>
              <w:jc w:val="left"/>
              <w:cnfStyle w:val="000000000000" w:firstRow="0" w:lastRow="0" w:firstColumn="0" w:lastColumn="0" w:oddVBand="0" w:evenVBand="0" w:oddHBand="0" w:evenHBand="0" w:firstRowFirstColumn="0" w:firstRowLastColumn="0" w:lastRowFirstColumn="0" w:lastRowLastColumn="0"/>
            </w:pPr>
            <w:r w:rsidRPr="006F2B2B">
              <w:t>Nhóm Công tác về Các vấn đề kỹ thuật của ASW (TWG): tập trung vào phân tích quy trình nghiệp vụ và phát triển hệ thống Công nghệ Thông tin và Truyền thông (ICT).</w:t>
            </w:r>
          </w:p>
          <w:p w14:paraId="5E2E3522" w14:textId="0249A072" w:rsidR="00977459" w:rsidRPr="006F2B2B" w:rsidRDefault="006F2B2B" w:rsidP="006F2B2B">
            <w:pPr>
              <w:pStyle w:val="ListParagraph"/>
              <w:numPr>
                <w:ilvl w:val="0"/>
                <w:numId w:val="60"/>
              </w:numPr>
              <w:spacing w:after="0"/>
              <w:cnfStyle w:val="000000000000" w:firstRow="0" w:lastRow="0" w:firstColumn="0" w:lastColumn="0" w:oddVBand="0" w:evenVBand="0" w:oddHBand="0" w:evenHBand="0" w:firstRowFirstColumn="0" w:firstRowLastColumn="0" w:lastRowFirstColumn="0" w:lastRowLastColumn="0"/>
              <w:rPr>
                <w:rFonts w:eastAsia="DengXian"/>
              </w:rPr>
            </w:pPr>
            <w:r w:rsidRPr="006F2B2B">
              <w:rPr>
                <w:rFonts w:ascii="Arial" w:eastAsia="DengXian" w:hAnsi="Arial"/>
                <w:color w:val="auto"/>
                <w:lang w:val="en-GB"/>
              </w:rPr>
              <w:t xml:space="preserve">Nhóm Công tác về Pháp lý – Quy định cho ASW (LWG): được thành lập </w:t>
            </w:r>
            <w:r w:rsidRPr="006F2B2B">
              <w:rPr>
                <w:rFonts w:ascii="Arial" w:eastAsia="DengXian" w:hAnsi="Arial"/>
                <w:color w:val="auto"/>
                <w:lang w:val="en-GB"/>
              </w:rPr>
              <w:lastRenderedPageBreak/>
              <w:t>nhằm hỗ trợ xây dựng khung pháp lý cho việc thiết lập, vận hành và mở rộng ASW.</w:t>
            </w:r>
          </w:p>
        </w:tc>
      </w:tr>
      <w:tr w:rsidR="00977459" w:rsidRPr="001B2302" w14:paraId="1B4D80AA" w14:textId="77777777" w:rsidTr="008D2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14:paraId="61E64F36" w14:textId="66AF10F5" w:rsidR="00977459" w:rsidRPr="005A21E8" w:rsidRDefault="006F2B2B" w:rsidP="00977459">
            <w:pPr>
              <w:spacing w:line="276" w:lineRule="auto"/>
              <w:jc w:val="center"/>
            </w:pPr>
            <w:r w:rsidRPr="006F2B2B">
              <w:lastRenderedPageBreak/>
              <w:t>Nhóm Công tác ASEAN về Quản trị Trí tuệ Nhân tạo (AI-WG)</w:t>
            </w:r>
          </w:p>
        </w:tc>
        <w:tc>
          <w:tcPr>
            <w:tcW w:w="3458" w:type="dxa"/>
          </w:tcPr>
          <w:p w14:paraId="449E8856" w14:textId="77777777" w:rsidR="006F2B2B" w:rsidRDefault="006F2B2B" w:rsidP="00977459">
            <w:pPr>
              <w:spacing w:line="276" w:lineRule="auto"/>
              <w:cnfStyle w:val="000000100000" w:firstRow="0" w:lastRow="0" w:firstColumn="0" w:lastColumn="0" w:oddVBand="0" w:evenVBand="0" w:oddHBand="1" w:evenHBand="0" w:firstRowFirstColumn="0" w:firstRowLastColumn="0" w:lastRowFirstColumn="0" w:lastRowLastColumn="0"/>
              <w:rPr>
                <w:lang w:val="vi-VN"/>
              </w:rPr>
            </w:pPr>
            <w:r w:rsidRPr="006F2B2B">
              <w:t>Nhóm Công tác ASEAN về Quản trị Trí tuệ Nhân tạo (AI-WG) được thành lập vào tháng 3/2024 sau khi Hướng dẫn ASEAN về Quản trị và Đạo đức AI (2024) được thông qua, nhằm thúc đẩy và giám sát các sáng kiến về quản trị AI trong khu vực.</w:t>
            </w:r>
          </w:p>
          <w:p w14:paraId="5698E03D" w14:textId="697B920A" w:rsidR="00977459" w:rsidRPr="005A21E8" w:rsidRDefault="006F2B2B" w:rsidP="00977459">
            <w:pPr>
              <w:spacing w:line="276" w:lineRule="auto"/>
              <w:cnfStyle w:val="000000100000" w:firstRow="0" w:lastRow="0" w:firstColumn="0" w:lastColumn="0" w:oddVBand="0" w:evenVBand="0" w:oddHBand="1" w:evenHBand="0" w:firstRowFirstColumn="0" w:firstRowLastColumn="0" w:lastRowFirstColumn="0" w:lastRowLastColumn="0"/>
            </w:pPr>
            <w:r w:rsidRPr="006F2B2B">
              <w:t>Nhóm Công tác bao gồm đại diện của từng quốc gia thành viên ASEAN (AMS). Nhóm đóng vai trò hỗ trợ ADGSOM với tư cách là cơ quan chuyên trách chính của ASEAN chịu trách nhiệm điều phối và tư vấn về mọi vấn đề liên quan đến AI trong ASEAN.</w:t>
            </w:r>
          </w:p>
          <w:p w14:paraId="32DAE404" w14:textId="77777777" w:rsidR="00977459" w:rsidRPr="005A21E8" w:rsidRDefault="00977459" w:rsidP="00977459">
            <w:pPr>
              <w:spacing w:line="276" w:lineRule="auto"/>
              <w:cnfStyle w:val="000000100000" w:firstRow="0" w:lastRow="0" w:firstColumn="0" w:lastColumn="0" w:oddVBand="0" w:evenVBand="0" w:oddHBand="1" w:evenHBand="0" w:firstRowFirstColumn="0" w:firstRowLastColumn="0" w:lastRowFirstColumn="0" w:lastRowLastColumn="0"/>
            </w:pPr>
          </w:p>
          <w:p w14:paraId="126A3A42" w14:textId="6C05D460" w:rsidR="00977459" w:rsidRPr="005A21E8" w:rsidRDefault="00E33F8C" w:rsidP="00977459">
            <w:pPr>
              <w:spacing w:line="276" w:lineRule="auto"/>
              <w:cnfStyle w:val="000000100000" w:firstRow="0" w:lastRow="0" w:firstColumn="0" w:lastColumn="0" w:oddVBand="0" w:evenVBand="0" w:oddHBand="1" w:evenHBand="0" w:firstRowFirstColumn="0" w:firstRowLastColumn="0" w:lastRowFirstColumn="0" w:lastRowLastColumn="0"/>
            </w:pPr>
            <w:r w:rsidRPr="00E33F8C">
              <w:t xml:space="preserve">Nhóm Công tác đã hoàn tất việc xây dựng Bản mở rộng của Hướng dẫn ASEAN về Quản trị và Đạo đức AI – Trí tuệ Nhân tạo Sinh tạo (Generative AI), trong đó nêu rõ các cơ hội và rủi ro của GenAI, đồng thời đưa ra các khuyến nghị chính sách cho việc sử dụng AI một cách có trách nhiệm. Bản mở rộng này đã được thông qua tại Hội nghị Bộ trưởng </w:t>
            </w:r>
            <w:r w:rsidR="00616696">
              <w:t>Số</w:t>
            </w:r>
            <w:r w:rsidRPr="00E33F8C">
              <w:t xml:space="preserve"> ASEAN lần thứ 5, tổ chức tại Thái Lan vào tháng 1/2025.</w:t>
            </w:r>
          </w:p>
        </w:tc>
        <w:tc>
          <w:tcPr>
            <w:tcW w:w="1662" w:type="dxa"/>
          </w:tcPr>
          <w:p w14:paraId="7601ECC8" w14:textId="71CBF1C0" w:rsidR="00977459" w:rsidRPr="001B2302" w:rsidRDefault="00E33F8C" w:rsidP="00977459">
            <w:pPr>
              <w:spacing w:line="276" w:lineRule="auto"/>
              <w:cnfStyle w:val="000000100000" w:firstRow="0" w:lastRow="0" w:firstColumn="0" w:lastColumn="0" w:oddVBand="0" w:evenVBand="0" w:oddHBand="1" w:evenHBand="0" w:firstRowFirstColumn="0" w:firstRowLastColumn="0" w:lastRowFirstColumn="0" w:lastRowLastColumn="0"/>
            </w:pPr>
            <w:r w:rsidRPr="00E33F8C">
              <w:rPr>
                <w:rFonts w:hint="eastAsia"/>
              </w:rPr>
              <w:t xml:space="preserve">Working Group on AI Governance (WG-AI) </w:t>
            </w:r>
            <w:r w:rsidRPr="00E33F8C">
              <w:rPr>
                <w:rFonts w:hint="eastAsia"/>
              </w:rPr>
              <w:t>→</w:t>
            </w:r>
            <w:r w:rsidRPr="00E33F8C">
              <w:rPr>
                <w:rFonts w:hint="eastAsia"/>
              </w:rPr>
              <w:t xml:space="preserve"> ASEAN Digital Senior Officials Meeting (ADGSOM) </w:t>
            </w:r>
            <w:r w:rsidRPr="00E33F8C">
              <w:rPr>
                <w:rFonts w:hint="eastAsia"/>
              </w:rPr>
              <w:t>→</w:t>
            </w:r>
            <w:r w:rsidRPr="00E33F8C">
              <w:rPr>
                <w:rFonts w:hint="eastAsia"/>
              </w:rPr>
              <w:t xml:space="preserve"> ASEAN Digital Ministers Meeting (ADGMIN)</w:t>
            </w:r>
          </w:p>
        </w:tc>
        <w:tc>
          <w:tcPr>
            <w:tcW w:w="2991" w:type="dxa"/>
          </w:tcPr>
          <w:p w14:paraId="42E5B4C9" w14:textId="77777777" w:rsidR="00977459" w:rsidRPr="001B2302" w:rsidRDefault="00977459" w:rsidP="00977459">
            <w:pPr>
              <w:spacing w:line="276" w:lineRule="auto"/>
              <w:cnfStyle w:val="000000100000" w:firstRow="0" w:lastRow="0" w:firstColumn="0" w:lastColumn="0" w:oddVBand="0" w:evenVBand="0" w:oddHBand="1" w:evenHBand="0" w:firstRowFirstColumn="0" w:firstRowLastColumn="0" w:lastRowFirstColumn="0" w:lastRowLastColumn="0"/>
            </w:pPr>
            <w:r w:rsidRPr="001B2302">
              <w:t>N/A</w:t>
            </w:r>
          </w:p>
        </w:tc>
      </w:tr>
      <w:tr w:rsidR="00977459" w:rsidRPr="001B2302" w14:paraId="1AF6560C" w14:textId="77777777" w:rsidTr="008D2047">
        <w:tc>
          <w:tcPr>
            <w:cnfStyle w:val="001000000000" w:firstRow="0" w:lastRow="0" w:firstColumn="1" w:lastColumn="0" w:oddVBand="0" w:evenVBand="0" w:oddHBand="0" w:evenHBand="0" w:firstRowFirstColumn="0" w:firstRowLastColumn="0" w:lastRowFirstColumn="0" w:lastRowLastColumn="0"/>
            <w:tcW w:w="2161" w:type="dxa"/>
          </w:tcPr>
          <w:p w14:paraId="074DA9DE" w14:textId="522576DB" w:rsidR="00977459" w:rsidRPr="005A21E8" w:rsidRDefault="00C46F6F" w:rsidP="00977459">
            <w:pPr>
              <w:spacing w:line="276" w:lineRule="auto"/>
              <w:jc w:val="center"/>
            </w:pPr>
            <w:r w:rsidRPr="00C46F6F">
              <w:t xml:space="preserve">Ủy ban ASEAN về Khoa học, Công nghệ và </w:t>
            </w:r>
            <w:r w:rsidRPr="00C46F6F">
              <w:lastRenderedPageBreak/>
              <w:t>Đổi mới sáng tạo (COSTI)</w:t>
            </w:r>
          </w:p>
        </w:tc>
        <w:tc>
          <w:tcPr>
            <w:tcW w:w="3458" w:type="dxa"/>
          </w:tcPr>
          <w:p w14:paraId="497A4E4A" w14:textId="2C865ABB" w:rsidR="00977459" w:rsidRPr="005A21E8" w:rsidRDefault="00C46F6F" w:rsidP="00977459">
            <w:pPr>
              <w:spacing w:line="276" w:lineRule="auto"/>
              <w:cnfStyle w:val="000000000000" w:firstRow="0" w:lastRow="0" w:firstColumn="0" w:lastColumn="0" w:oddVBand="0" w:evenVBand="0" w:oddHBand="0" w:evenHBand="0" w:firstRowFirstColumn="0" w:firstRowLastColumn="0" w:lastRowFirstColumn="0" w:lastRowLastColumn="0"/>
            </w:pPr>
            <w:r w:rsidRPr="00C46F6F">
              <w:lastRenderedPageBreak/>
              <w:t xml:space="preserve">Các chính sách hợp tác Khoa học &amp; Công nghệ của ASEAN được thiết lập bởi các Hội nghị thường niên của Bộ trưởng </w:t>
            </w:r>
            <w:r w:rsidRPr="00C46F6F">
              <w:lastRenderedPageBreak/>
              <w:t>Khoa học và Công nghệ ASEAN. COSTI chịu trách nhiệm định hướng, điều phối các hoạt động của các nhóm trực thuộc, nâng cao nhận thức cộng đồng về các hoạt động KH&amp;CN trong khu vực và những đóng góp của chúng đối với phát triển kinh tế, cũng như rà soát tiến độ hợp tác tổng thể — bao gồm tiến độ hợp tác với các Đối tác Đối thoại của ASEAN và các đối tác bên ngoài khác.</w:t>
            </w:r>
          </w:p>
        </w:tc>
        <w:tc>
          <w:tcPr>
            <w:tcW w:w="1662" w:type="dxa"/>
          </w:tcPr>
          <w:p w14:paraId="741A3FE7" w14:textId="67AAC685" w:rsidR="00977459" w:rsidRPr="001B2302" w:rsidRDefault="00C46F6F" w:rsidP="00977459">
            <w:pPr>
              <w:spacing w:line="276" w:lineRule="auto"/>
              <w:cnfStyle w:val="000000000000" w:firstRow="0" w:lastRow="0" w:firstColumn="0" w:lastColumn="0" w:oddVBand="0" w:evenVBand="0" w:oddHBand="0" w:evenHBand="0" w:firstRowFirstColumn="0" w:firstRowLastColumn="0" w:lastRowFirstColumn="0" w:lastRowLastColumn="0"/>
            </w:pPr>
            <w:r w:rsidRPr="00C46F6F">
              <w:lastRenderedPageBreak/>
              <w:t xml:space="preserve">(Hội nghị Bộ trưởng ASEAN về Khoa học, </w:t>
            </w:r>
            <w:r w:rsidRPr="00C46F6F">
              <w:lastRenderedPageBreak/>
              <w:t>Công nghệ và Đổi mới sáng tạo)</w:t>
            </w:r>
          </w:p>
        </w:tc>
        <w:tc>
          <w:tcPr>
            <w:tcW w:w="2991" w:type="dxa"/>
          </w:tcPr>
          <w:p w14:paraId="2E1264A6" w14:textId="7E41DB3E" w:rsidR="00977459" w:rsidRPr="001B2302" w:rsidRDefault="00C46F6F" w:rsidP="00977459">
            <w:pPr>
              <w:spacing w:line="276" w:lineRule="auto"/>
              <w:cnfStyle w:val="000000000000" w:firstRow="0" w:lastRow="0" w:firstColumn="0" w:lastColumn="0" w:oddVBand="0" w:evenVBand="0" w:oddHBand="0" w:evenHBand="0" w:firstRowFirstColumn="0" w:firstRowLastColumn="0" w:lastRowFirstColumn="0" w:lastRowLastColumn="0"/>
            </w:pPr>
            <w:r w:rsidRPr="00C46F6F">
              <w:lastRenderedPageBreak/>
              <w:t xml:space="preserve">Vụ Khoa học và Công nghệ thuộc Ban Phát triển Lĩnh vực của Bộ phận Cộng đồng Kinh tế </w:t>
            </w:r>
            <w:r w:rsidRPr="00C46F6F">
              <w:lastRenderedPageBreak/>
              <w:t>ASEAN (AEC) – Ban Thư ký ASEAN – cung cấp chức năng điều phối và hỗ trợ kỹ thuật cho COSTI.</w:t>
            </w:r>
          </w:p>
        </w:tc>
      </w:tr>
      <w:tr w:rsidR="00977459" w:rsidRPr="001B2302" w14:paraId="5CACABC4" w14:textId="77777777" w:rsidTr="008D2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14:paraId="774FD210" w14:textId="749E9326" w:rsidR="00977459" w:rsidRPr="001B2302" w:rsidRDefault="00DF70A6" w:rsidP="00977459">
            <w:pPr>
              <w:spacing w:line="276" w:lineRule="auto"/>
              <w:jc w:val="center"/>
            </w:pPr>
            <w:r w:rsidRPr="00DF70A6">
              <w:lastRenderedPageBreak/>
              <w:t>Nhóm Công tác về Thủ tục Hải quan và Tạo thuận lợi Thương mại (CPTFWG)</w:t>
            </w:r>
          </w:p>
        </w:tc>
        <w:tc>
          <w:tcPr>
            <w:tcW w:w="3458" w:type="dxa"/>
          </w:tcPr>
          <w:p w14:paraId="4C3AA97F" w14:textId="7C7B9F50" w:rsidR="00977459" w:rsidRPr="001B2302" w:rsidRDefault="00DF70A6" w:rsidP="00977459">
            <w:pPr>
              <w:spacing w:line="276" w:lineRule="auto"/>
              <w:cnfStyle w:val="000000100000" w:firstRow="0" w:lastRow="0" w:firstColumn="0" w:lastColumn="0" w:oddVBand="0" w:evenVBand="0" w:oddHBand="1" w:evenHBand="0" w:firstRowFirstColumn="0" w:firstRowLastColumn="0" w:lastRowFirstColumn="0" w:lastRowLastColumn="0"/>
            </w:pPr>
            <w:r w:rsidRPr="00DF70A6">
              <w:t>Đây là nhóm công tác hải quan chịu trách nhiệm điều phối các nỗ lực kỹ thuật nhằm đảm bảo việc thông quan và giải phóng hàng hóa nhanh chóng, tạo điều kiện cho dòng chảy tự do của hàng hóa, sản phẩm và các yếu tố sản xuất trong ASEAN cũng như trong thương mại quốc tế.</w:t>
            </w:r>
          </w:p>
        </w:tc>
        <w:tc>
          <w:tcPr>
            <w:tcW w:w="1662" w:type="dxa"/>
          </w:tcPr>
          <w:p w14:paraId="717FEA8D" w14:textId="77777777" w:rsidR="00DF70A6" w:rsidRDefault="00DF70A6" w:rsidP="00DF70A6">
            <w:pPr>
              <w:spacing w:line="276" w:lineRule="auto"/>
              <w:cnfStyle w:val="000000100000" w:firstRow="0" w:lastRow="0" w:firstColumn="0" w:lastColumn="0" w:oddVBand="0" w:evenVBand="0" w:oddHBand="1" w:evenHBand="0" w:firstRowFirstColumn="0" w:firstRowLastColumn="0" w:lastRowFirstColumn="0" w:lastRowLastColumn="0"/>
            </w:pPr>
            <w:r>
              <w:t>ASEAN Customs thông qua hai cơ chế sau:</w:t>
            </w:r>
          </w:p>
          <w:p w14:paraId="53561AE2" w14:textId="77777777" w:rsidR="00DF70A6" w:rsidRDefault="00DF70A6" w:rsidP="00DF70A6">
            <w:pPr>
              <w:spacing w:line="276" w:lineRule="auto"/>
              <w:cnfStyle w:val="000000100000" w:firstRow="0" w:lastRow="0" w:firstColumn="0" w:lastColumn="0" w:oddVBand="0" w:evenVBand="0" w:oddHBand="1" w:evenHBand="0" w:firstRowFirstColumn="0" w:firstRowLastColumn="0" w:lastRowFirstColumn="0" w:lastRowLastColumn="0"/>
            </w:pPr>
            <w:r>
              <w:t>• Cuộc họp Tổng cục trưởng Hải quan ASEAN (ASEAN DGs of Customs Meeting)</w:t>
            </w:r>
          </w:p>
          <w:p w14:paraId="49FDF01B" w14:textId="29522D17" w:rsidR="00DF70A6" w:rsidRDefault="00DF70A6" w:rsidP="00DF70A6">
            <w:pPr>
              <w:spacing w:line="276" w:lineRule="auto"/>
              <w:cnfStyle w:val="000000100000" w:firstRow="0" w:lastRow="0" w:firstColumn="0" w:lastColumn="0" w:oddVBand="0" w:evenVBand="0" w:oddHBand="1" w:evenHBand="0" w:firstRowFirstColumn="0" w:firstRowLastColumn="0" w:lastRowFirstColumn="0" w:lastRowLastColumn="0"/>
              <w:rPr>
                <w:lang w:val="vi-VN"/>
              </w:rPr>
            </w:pPr>
            <w:r>
              <w:t>• Ủy ban Điều phối về Hải quan (Coordinating Committee on Customs – CCC)</w:t>
            </w:r>
          </w:p>
          <w:p w14:paraId="07AAC782" w14:textId="77777777" w:rsidR="00DF70A6" w:rsidRPr="00DF70A6" w:rsidRDefault="00DF70A6" w:rsidP="00DF70A6">
            <w:pPr>
              <w:spacing w:line="276" w:lineRule="auto"/>
              <w:cnfStyle w:val="000000100000" w:firstRow="0" w:lastRow="0" w:firstColumn="0" w:lastColumn="0" w:oddVBand="0" w:evenVBand="0" w:oddHBand="1" w:evenHBand="0" w:firstRowFirstColumn="0" w:firstRowLastColumn="0" w:lastRowFirstColumn="0" w:lastRowLastColumn="0"/>
              <w:rPr>
                <w:lang w:val="vi-VN"/>
              </w:rPr>
            </w:pPr>
          </w:p>
          <w:p w14:paraId="1C09BFF4" w14:textId="77777777" w:rsidR="00DF70A6" w:rsidRDefault="00DF70A6" w:rsidP="00DF70A6">
            <w:pPr>
              <w:spacing w:line="276" w:lineRule="auto"/>
              <w:cnfStyle w:val="000000100000" w:firstRow="0" w:lastRow="0" w:firstColumn="0" w:lastColumn="0" w:oddVBand="0" w:evenVBand="0" w:oddHBand="1" w:evenHBand="0" w:firstRowFirstColumn="0" w:firstRowLastColumn="0" w:lastRowFirstColumn="0" w:lastRowLastColumn="0"/>
            </w:pPr>
            <w:r>
              <w:t>Chuỗi báo cáo đầy đủ:</w:t>
            </w:r>
          </w:p>
          <w:p w14:paraId="70E9B786" w14:textId="3D15A89E" w:rsidR="00977459" w:rsidRPr="001B2302" w:rsidRDefault="00DF70A6" w:rsidP="00DF70A6">
            <w:pPr>
              <w:spacing w:line="276" w:lineRule="auto"/>
              <w:cnfStyle w:val="000000100000" w:firstRow="0" w:lastRow="0" w:firstColumn="0" w:lastColumn="0" w:oddVBand="0" w:evenVBand="0" w:oddHBand="1" w:evenHBand="0" w:firstRowFirstColumn="0" w:firstRowLastColumn="0" w:lastRowFirstColumn="0" w:lastRowLastColumn="0"/>
            </w:pPr>
            <w:r>
              <w:rPr>
                <w:rFonts w:hint="eastAsia"/>
              </w:rPr>
              <w:t xml:space="preserve">CPTFWG </w:t>
            </w:r>
            <w:r>
              <w:rPr>
                <w:rFonts w:hint="eastAsia"/>
              </w:rPr>
              <w:t>→</w:t>
            </w:r>
            <w:r>
              <w:rPr>
                <w:rFonts w:hint="eastAsia"/>
              </w:rPr>
              <w:t xml:space="preserve"> Coordinating Committee on Customs (CCC) </w:t>
            </w:r>
            <w:r>
              <w:rPr>
                <w:rFonts w:hint="eastAsia"/>
              </w:rPr>
              <w:t>→</w:t>
            </w:r>
            <w:r>
              <w:rPr>
                <w:rFonts w:hint="eastAsia"/>
              </w:rPr>
              <w:t xml:space="preserve"> ASEAN Directors-General of Customs Meeting </w:t>
            </w:r>
            <w:r>
              <w:rPr>
                <w:rFonts w:hint="eastAsia"/>
              </w:rPr>
              <w:t>→</w:t>
            </w:r>
            <w:r>
              <w:rPr>
                <w:rFonts w:hint="eastAsia"/>
              </w:rPr>
              <w:t xml:space="preserve"> SEOM</w:t>
            </w:r>
          </w:p>
        </w:tc>
        <w:tc>
          <w:tcPr>
            <w:tcW w:w="2991" w:type="dxa"/>
          </w:tcPr>
          <w:p w14:paraId="51328A0A" w14:textId="7B6834C3" w:rsidR="00977459" w:rsidRPr="001B2302" w:rsidRDefault="00CE547B" w:rsidP="00977459">
            <w:pPr>
              <w:spacing w:line="276" w:lineRule="auto"/>
              <w:cnfStyle w:val="000000100000" w:firstRow="0" w:lastRow="0" w:firstColumn="0" w:lastColumn="0" w:oddVBand="0" w:evenVBand="0" w:oddHBand="1" w:evenHBand="0" w:firstRowFirstColumn="0" w:firstRowLastColumn="0" w:lastRowFirstColumn="0" w:lastRowLastColumn="0"/>
            </w:pPr>
            <w:r w:rsidRPr="00CE547B">
              <w:t xml:space="preserve">Nhóm Công tác Nhánh về Hệ thống Quá cảnh Hải quan ASEAN </w:t>
            </w:r>
            <w:r w:rsidR="00977459" w:rsidRPr="001B2302">
              <w:t>(SWG-ACTS)</w:t>
            </w:r>
          </w:p>
          <w:p w14:paraId="1AE6787A" w14:textId="77777777" w:rsidR="00977459" w:rsidRPr="001B2302" w:rsidRDefault="00977459" w:rsidP="00977459">
            <w:pPr>
              <w:spacing w:line="276" w:lineRule="auto"/>
              <w:cnfStyle w:val="000000100000" w:firstRow="0" w:lastRow="0" w:firstColumn="0" w:lastColumn="0" w:oddVBand="0" w:evenVBand="0" w:oddHBand="1" w:evenHBand="0" w:firstRowFirstColumn="0" w:firstRowLastColumn="0" w:lastRowFirstColumn="0" w:lastRowLastColumn="0"/>
            </w:pPr>
          </w:p>
          <w:p w14:paraId="16A8A7CE" w14:textId="489FC89A" w:rsidR="00977459" w:rsidRPr="001B2302" w:rsidRDefault="00CE547B" w:rsidP="00977459">
            <w:pPr>
              <w:spacing w:line="276" w:lineRule="auto"/>
              <w:cnfStyle w:val="000000100000" w:firstRow="0" w:lastRow="0" w:firstColumn="0" w:lastColumn="0" w:oddVBand="0" w:evenVBand="0" w:oddHBand="1" w:evenHBand="0" w:firstRowFirstColumn="0" w:firstRowLastColumn="0" w:lastRowFirstColumn="0" w:lastRowLastColumn="0"/>
            </w:pPr>
            <w:r>
              <w:t>N</w:t>
            </w:r>
            <w:r w:rsidRPr="00CE547B">
              <w:t xml:space="preserve">hóm Công tác Nhánh Kỹ thuật về Phân loại </w:t>
            </w:r>
            <w:r w:rsidR="00977459" w:rsidRPr="001B2302">
              <w:t>(TSWGC)</w:t>
            </w:r>
          </w:p>
          <w:p w14:paraId="5F3A4840" w14:textId="77777777" w:rsidR="00977459" w:rsidRPr="001B2302" w:rsidRDefault="00977459" w:rsidP="00977459">
            <w:pPr>
              <w:spacing w:line="276" w:lineRule="auto"/>
              <w:cnfStyle w:val="000000100000" w:firstRow="0" w:lastRow="0" w:firstColumn="0" w:lastColumn="0" w:oddVBand="0" w:evenVBand="0" w:oddHBand="1" w:evenHBand="0" w:firstRowFirstColumn="0" w:firstRowLastColumn="0" w:lastRowFirstColumn="0" w:lastRowLastColumn="0"/>
            </w:pPr>
          </w:p>
          <w:p w14:paraId="59F2A4DA" w14:textId="32AAB2B0" w:rsidR="00977459" w:rsidRPr="001B2302" w:rsidRDefault="00CE547B" w:rsidP="00977459">
            <w:pPr>
              <w:spacing w:line="276" w:lineRule="auto"/>
              <w:cnfStyle w:val="000000100000" w:firstRow="0" w:lastRow="0" w:firstColumn="0" w:lastColumn="0" w:oddVBand="0" w:evenVBand="0" w:oddHBand="1" w:evenHBand="0" w:firstRowFirstColumn="0" w:firstRowLastColumn="0" w:lastRowFirstColumn="0" w:lastRowLastColumn="0"/>
            </w:pPr>
            <w:r>
              <w:t>N</w:t>
            </w:r>
            <w:r w:rsidRPr="00CE547B">
              <w:t xml:space="preserve">hóm Công tác Nhánh về Thỏa thuận Công nhận lẫn nhau AEO ASEAN </w:t>
            </w:r>
            <w:r w:rsidR="00977459" w:rsidRPr="001B2302">
              <w:t>(SWG-AAMRA)</w:t>
            </w:r>
          </w:p>
        </w:tc>
      </w:tr>
      <w:tr w:rsidR="00977459" w:rsidRPr="001B2302" w14:paraId="6CD150EE" w14:textId="77777777" w:rsidTr="008D2047">
        <w:tc>
          <w:tcPr>
            <w:cnfStyle w:val="001000000000" w:firstRow="0" w:lastRow="0" w:firstColumn="1" w:lastColumn="0" w:oddVBand="0" w:evenVBand="0" w:oddHBand="0" w:evenHBand="0" w:firstRowFirstColumn="0" w:firstRowLastColumn="0" w:lastRowFirstColumn="0" w:lastRowLastColumn="0"/>
            <w:tcW w:w="2161" w:type="dxa"/>
          </w:tcPr>
          <w:p w14:paraId="674660E2" w14:textId="0AE20631" w:rsidR="00977459" w:rsidRPr="001B2302" w:rsidRDefault="00CE547B" w:rsidP="00977459">
            <w:pPr>
              <w:spacing w:line="276" w:lineRule="auto"/>
              <w:jc w:val="center"/>
            </w:pPr>
            <w:r w:rsidRPr="00CE547B">
              <w:lastRenderedPageBreak/>
              <w:t xml:space="preserve">Nhóm Công tác về Tiêu chuẩn và Đánh giá Sự phù hợp trong Thương mại Số </w:t>
            </w:r>
            <w:r w:rsidR="00977459" w:rsidRPr="001B2302">
              <w:t>(DTSCWG)</w:t>
            </w:r>
          </w:p>
        </w:tc>
        <w:tc>
          <w:tcPr>
            <w:tcW w:w="3458" w:type="dxa"/>
          </w:tcPr>
          <w:p w14:paraId="11FFA069" w14:textId="4F3ACB81" w:rsidR="00977459" w:rsidRPr="001B2302" w:rsidRDefault="00CE547B" w:rsidP="00977459">
            <w:pPr>
              <w:spacing w:line="276" w:lineRule="auto"/>
              <w:cnfStyle w:val="000000000000" w:firstRow="0" w:lastRow="0" w:firstColumn="0" w:lastColumn="0" w:oddVBand="0" w:evenVBand="0" w:oddHBand="0" w:evenHBand="0" w:firstRowFirstColumn="0" w:firstRowLastColumn="0" w:lastRowFirstColumn="0" w:lastRowLastColumn="0"/>
            </w:pPr>
            <w:r w:rsidRPr="00CE547B">
              <w:t>Được thành lập vào tháng 3/2020 dưới Ủy ban Tư vấn ASEAN về Tiêu chuẩn và Chất lượng (ACCSQ), DTSCWG có các nhiệm vụ sau</w:t>
            </w:r>
            <w:r w:rsidR="00977459" w:rsidRPr="001B2302">
              <w:t>:</w:t>
            </w:r>
            <w:r w:rsidR="00A96D8A" w:rsidRPr="001B2302">
              <w:rPr>
                <w:rStyle w:val="FootnoteReference"/>
              </w:rPr>
              <w:footnoteReference w:id="398"/>
            </w:r>
          </w:p>
          <w:p w14:paraId="16B99B9D" w14:textId="6EC52030" w:rsidR="00977459" w:rsidRPr="001B2302" w:rsidRDefault="00CE547B" w:rsidP="006043C2">
            <w:pPr>
              <w:pStyle w:val="ListParagraph"/>
              <w:numPr>
                <w:ilvl w:val="0"/>
                <w:numId w:val="54"/>
              </w:numPr>
              <w:spacing w:after="0"/>
              <w:jc w:val="left"/>
              <w:cnfStyle w:val="000000000000" w:firstRow="0" w:lastRow="0" w:firstColumn="0" w:lastColumn="0" w:oddVBand="0" w:evenVBand="0" w:oddHBand="0" w:evenHBand="0" w:firstRowFirstColumn="0" w:firstRowLastColumn="0" w:lastRowFirstColumn="0" w:lastRowLastColumn="0"/>
              <w:rPr>
                <w:rFonts w:ascii="Arial" w:eastAsia="DengXian" w:hAnsi="Arial"/>
                <w:lang w:val="en-GB"/>
              </w:rPr>
            </w:pPr>
            <w:r w:rsidRPr="00CE547B">
              <w:rPr>
                <w:rFonts w:ascii="Arial" w:eastAsia="DengXian" w:hAnsi="Arial"/>
                <w:lang w:val="en-GB"/>
              </w:rPr>
              <w:t>Trao đổi thông tin về tiêu chuẩn, quy định, thủ tục, chính sách, thực tiễn tốt nhất, yêu cầu kỹ thuật và cơ chế quản trị liên quan đến thương mại điện tử/thương mại số và các dịch vụ/hoạt động kinh doanh hỗ trợ liên quan tại các quốc gia thành viên ASEAN</w:t>
            </w:r>
            <w:r w:rsidR="00977459" w:rsidRPr="001B2302">
              <w:rPr>
                <w:rFonts w:ascii="Arial" w:eastAsia="DengXian" w:hAnsi="Arial"/>
                <w:lang w:val="en-GB"/>
              </w:rPr>
              <w:t>.</w:t>
            </w:r>
          </w:p>
          <w:p w14:paraId="3143F0E3" w14:textId="77777777" w:rsidR="00CE547B" w:rsidRPr="00CE547B" w:rsidRDefault="00CE547B" w:rsidP="006043C2">
            <w:pPr>
              <w:pStyle w:val="ListParagraph"/>
              <w:numPr>
                <w:ilvl w:val="0"/>
                <w:numId w:val="54"/>
              </w:numPr>
              <w:spacing w:after="0"/>
              <w:jc w:val="left"/>
              <w:cnfStyle w:val="000000000000" w:firstRow="0" w:lastRow="0" w:firstColumn="0" w:lastColumn="0" w:oddVBand="0" w:evenVBand="0" w:oddHBand="0" w:evenHBand="0" w:firstRowFirstColumn="0" w:firstRowLastColumn="0" w:lastRowFirstColumn="0" w:lastRowLastColumn="0"/>
              <w:rPr>
                <w:rFonts w:ascii="Arial" w:eastAsia="DengXian" w:hAnsi="Arial"/>
                <w:lang w:val="en-GB"/>
              </w:rPr>
            </w:pPr>
            <w:r w:rsidRPr="00CE547B">
              <w:rPr>
                <w:rFonts w:ascii="Arial" w:eastAsia="DengXian" w:hAnsi="Arial"/>
                <w:lang w:val="en-GB"/>
              </w:rPr>
              <w:t>Xác định các lĩnh vực cần hài hòa tiêu chuẩn, quy định, yêu cầu kỹ thuật, thủ tục và thực tiễn tốt nhất, xây dựng và giám sát các Thỏa thuận công nhận lẫn nhau theo ngành (MRAs).</w:t>
            </w:r>
          </w:p>
          <w:p w14:paraId="5B31E238" w14:textId="2FCC2909" w:rsidR="00977459" w:rsidRPr="001B2302" w:rsidRDefault="00CE547B" w:rsidP="006043C2">
            <w:pPr>
              <w:pStyle w:val="ListParagraph"/>
              <w:numPr>
                <w:ilvl w:val="0"/>
                <w:numId w:val="54"/>
              </w:numPr>
              <w:spacing w:after="0"/>
              <w:jc w:val="left"/>
              <w:cnfStyle w:val="000000000000" w:firstRow="0" w:lastRow="0" w:firstColumn="0" w:lastColumn="0" w:oddVBand="0" w:evenVBand="0" w:oddHBand="0" w:evenHBand="0" w:firstRowFirstColumn="0" w:firstRowLastColumn="0" w:lastRowFirstColumn="0" w:lastRowLastColumn="0"/>
              <w:rPr>
                <w:rFonts w:ascii="Arial" w:eastAsia="DengXian" w:hAnsi="Arial"/>
                <w:lang w:val="en-GB"/>
              </w:rPr>
            </w:pPr>
            <w:r w:rsidRPr="00CE547B">
              <w:rPr>
                <w:rFonts w:ascii="Arial" w:eastAsia="DengXian" w:hAnsi="Arial"/>
                <w:lang w:val="en-GB"/>
              </w:rPr>
              <w:t>Xác định nhu cầu về hạ tầng kỹ thuật liên quan đến tiêu chuẩn, đánh giá sự phù hợp và quy định kỹ thuật nhằm hỗ trợ các sáng kiến về thương mại điện tử/thương mại số</w:t>
            </w:r>
            <w:r w:rsidR="00977459" w:rsidRPr="001B2302">
              <w:rPr>
                <w:rFonts w:ascii="Arial" w:eastAsia="DengXian" w:hAnsi="Arial"/>
                <w:lang w:val="en-GB"/>
              </w:rPr>
              <w:t>.</w:t>
            </w:r>
          </w:p>
          <w:p w14:paraId="61EB2848" w14:textId="4FD17182" w:rsidR="00CE547B" w:rsidRPr="00CE547B" w:rsidRDefault="00CE547B" w:rsidP="006043C2">
            <w:pPr>
              <w:pStyle w:val="ListParagraph"/>
              <w:numPr>
                <w:ilvl w:val="0"/>
                <w:numId w:val="54"/>
              </w:numPr>
              <w:spacing w:after="0"/>
              <w:jc w:val="left"/>
              <w:cnfStyle w:val="000000000000" w:firstRow="0" w:lastRow="0" w:firstColumn="0" w:lastColumn="0" w:oddVBand="0" w:evenVBand="0" w:oddHBand="0" w:evenHBand="0" w:firstRowFirstColumn="0" w:firstRowLastColumn="0" w:lastRowFirstColumn="0" w:lastRowLastColumn="0"/>
              <w:rPr>
                <w:rFonts w:ascii="Arial" w:eastAsia="DengXian" w:hAnsi="Arial"/>
                <w:lang w:val="en-GB"/>
              </w:rPr>
            </w:pPr>
            <w:r w:rsidRPr="00CE547B">
              <w:rPr>
                <w:rFonts w:ascii="Arial" w:eastAsia="DengXian" w:hAnsi="Arial"/>
                <w:lang w:val="en-GB"/>
              </w:rPr>
              <w:t>Thúc đẩy nhận thức và việc áp dụng các yêu cầu kỹ thuật/tiêu chuẩn hài hòa trong ASEAN khi phù hợp.</w:t>
            </w:r>
          </w:p>
          <w:p w14:paraId="271D72F7" w14:textId="5FAD9361" w:rsidR="00CE547B" w:rsidRPr="00CE547B" w:rsidRDefault="00CE547B" w:rsidP="006043C2">
            <w:pPr>
              <w:pStyle w:val="ListParagraph"/>
              <w:numPr>
                <w:ilvl w:val="0"/>
                <w:numId w:val="54"/>
              </w:numPr>
              <w:spacing w:after="0"/>
              <w:jc w:val="left"/>
              <w:cnfStyle w:val="000000000000" w:firstRow="0" w:lastRow="0" w:firstColumn="0" w:lastColumn="0" w:oddVBand="0" w:evenVBand="0" w:oddHBand="0" w:evenHBand="0" w:firstRowFirstColumn="0" w:firstRowLastColumn="0" w:lastRowFirstColumn="0" w:lastRowLastColumn="0"/>
              <w:rPr>
                <w:rFonts w:ascii="Arial" w:eastAsia="DengXian" w:hAnsi="Arial"/>
                <w:lang w:val="en-GB"/>
              </w:rPr>
            </w:pPr>
            <w:r w:rsidRPr="00CE547B">
              <w:rPr>
                <w:rFonts w:ascii="Arial" w:eastAsia="DengXian" w:hAnsi="Arial"/>
                <w:lang w:val="en-GB"/>
              </w:rPr>
              <w:t xml:space="preserve">Xác định nhu cầu về hỗ trợ kỹ thuật và nâng cao năng lực nhằm hỗ </w:t>
            </w:r>
            <w:r w:rsidRPr="00CE547B">
              <w:rPr>
                <w:rFonts w:ascii="Arial" w:eastAsia="DengXian" w:hAnsi="Arial"/>
                <w:lang w:val="en-GB"/>
              </w:rPr>
              <w:lastRenderedPageBreak/>
              <w:t>trợ các sáng kiến trong thương mại điện tử/thương mại số.</w:t>
            </w:r>
          </w:p>
          <w:p w14:paraId="699A803B" w14:textId="61360560" w:rsidR="00977459" w:rsidRPr="001B2302" w:rsidRDefault="00CE547B" w:rsidP="006043C2">
            <w:pPr>
              <w:pStyle w:val="ListParagraph"/>
              <w:numPr>
                <w:ilvl w:val="0"/>
                <w:numId w:val="54"/>
              </w:numPr>
              <w:spacing w:after="0"/>
              <w:jc w:val="left"/>
              <w:cnfStyle w:val="000000000000" w:firstRow="0" w:lastRow="0" w:firstColumn="0" w:lastColumn="0" w:oddVBand="0" w:evenVBand="0" w:oddHBand="0" w:evenHBand="0" w:firstRowFirstColumn="0" w:firstRowLastColumn="0" w:lastRowFirstColumn="0" w:lastRowLastColumn="0"/>
              <w:rPr>
                <w:rFonts w:ascii="Arial" w:eastAsia="DengXian" w:hAnsi="Arial"/>
                <w:lang w:val="en-GB"/>
              </w:rPr>
            </w:pPr>
            <w:r w:rsidRPr="00CE547B">
              <w:rPr>
                <w:rFonts w:ascii="Arial" w:eastAsia="DengXian" w:hAnsi="Arial"/>
                <w:lang w:val="en-GB"/>
              </w:rPr>
              <w:t>Tương tác với các cơ quan quản lý liên quan, tổ chức khu vực tư nhân, cơ quan chuyên ngành ASEAN và các tổ chức liên quan khác để rà soát các vấn đề triển khai liên quan đến thương mại, đồng thời thúc đẩy các sáng kiến hợp tác trong hài hòa hóa, tiêu chuẩn hóa và đánh giá sự phù hợp của thương mại số.</w:t>
            </w:r>
          </w:p>
        </w:tc>
        <w:tc>
          <w:tcPr>
            <w:tcW w:w="1662" w:type="dxa"/>
          </w:tcPr>
          <w:p w14:paraId="6736577C" w14:textId="713FAEB7" w:rsidR="00977459" w:rsidRPr="007260B2" w:rsidRDefault="007260B2" w:rsidP="00977459">
            <w:pPr>
              <w:spacing w:line="276" w:lineRule="auto"/>
              <w:cnfStyle w:val="000000000000" w:firstRow="0" w:lastRow="0" w:firstColumn="0" w:lastColumn="0" w:oddVBand="0" w:evenVBand="0" w:oddHBand="0" w:evenHBand="0" w:firstRowFirstColumn="0" w:firstRowLastColumn="0" w:lastRowFirstColumn="0" w:lastRowLastColumn="0"/>
              <w:rPr>
                <w:lang w:val="en-US"/>
              </w:rPr>
            </w:pPr>
            <w:r w:rsidRPr="007260B2">
              <w:lastRenderedPageBreak/>
              <w:t xml:space="preserve">DTSCWG </w:t>
            </w:r>
            <w:r w:rsidRPr="007260B2">
              <w:rPr>
                <w:rFonts w:hint="eastAsia"/>
              </w:rPr>
              <w:t>→</w:t>
            </w:r>
            <w:r w:rsidRPr="007260B2">
              <w:t xml:space="preserve"> Ủy ban Tư vấn ASEAN về Tiêu chuẩn và Chất lượng (ACCSQ) </w:t>
            </w:r>
            <w:r w:rsidRPr="007260B2">
              <w:rPr>
                <w:rFonts w:hint="eastAsia"/>
              </w:rPr>
              <w:t>→</w:t>
            </w:r>
            <w:r w:rsidRPr="007260B2">
              <w:t xml:space="preserve"> Cuộc họp Quan chức Kinh tế Cấp cao (SEOM) </w:t>
            </w:r>
            <w:r w:rsidRPr="007260B2">
              <w:rPr>
                <w:rFonts w:hint="eastAsia"/>
              </w:rPr>
              <w:t>→</w:t>
            </w:r>
            <w:r w:rsidRPr="007260B2">
              <w:t xml:space="preserve"> Bộ trưởng Kinh tế ASEAN (AEM)</w:t>
            </w:r>
          </w:p>
        </w:tc>
        <w:tc>
          <w:tcPr>
            <w:tcW w:w="2991" w:type="dxa"/>
          </w:tcPr>
          <w:p w14:paraId="2AC71A26" w14:textId="77777777" w:rsidR="00977459" w:rsidRPr="001B2302" w:rsidRDefault="00977459" w:rsidP="00977459">
            <w:pPr>
              <w:spacing w:line="276" w:lineRule="auto"/>
              <w:cnfStyle w:val="000000000000" w:firstRow="0" w:lastRow="0" w:firstColumn="0" w:lastColumn="0" w:oddVBand="0" w:evenVBand="0" w:oddHBand="0" w:evenHBand="0" w:firstRowFirstColumn="0" w:firstRowLastColumn="0" w:lastRowFirstColumn="0" w:lastRowLastColumn="0"/>
            </w:pPr>
            <w:r w:rsidRPr="001B2302">
              <w:t>N/A</w:t>
            </w:r>
          </w:p>
        </w:tc>
      </w:tr>
      <w:tr w:rsidR="00977459" w:rsidRPr="001B2302" w14:paraId="11DF7F5C" w14:textId="77777777" w:rsidTr="008D2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14:paraId="351A9E57" w14:textId="316C34C3" w:rsidR="00977459" w:rsidRPr="001B2302" w:rsidRDefault="007260B2" w:rsidP="00977459">
            <w:pPr>
              <w:spacing w:line="276" w:lineRule="auto"/>
              <w:jc w:val="center"/>
            </w:pPr>
            <w:r w:rsidRPr="007260B2">
              <w:t>Nhóm Công tác SOMTC về Tội phạm mạng (WG on CC)</w:t>
            </w:r>
          </w:p>
        </w:tc>
        <w:tc>
          <w:tcPr>
            <w:tcW w:w="3458" w:type="dxa"/>
          </w:tcPr>
          <w:p w14:paraId="59394E63" w14:textId="5484F1E5" w:rsidR="00977459" w:rsidRDefault="007260B2" w:rsidP="007260B2">
            <w:pPr>
              <w:spacing w:line="276" w:lineRule="auto"/>
              <w:cnfStyle w:val="000000100000" w:firstRow="0" w:lastRow="0" w:firstColumn="0" w:lastColumn="0" w:oddVBand="0" w:evenVBand="0" w:oddHBand="1" w:evenHBand="0" w:firstRowFirstColumn="0" w:firstRowLastColumn="0" w:lastRowFirstColumn="0" w:lastRowLastColumn="0"/>
            </w:pPr>
            <w:r w:rsidRPr="007260B2">
              <w:t>Nhóm Công tác về Tội phạm mạng (WG on CC) cung cấp một nền tảng để các quốc gia thành viên ASEAN (AMS) hợp tác về xây dựng năng lực, đào tạo và chia sẻ thông tin liên quan đến đấu tranh chống tội phạm mạng. Nhóm cũng là diễn đàn để các AMS</w:t>
            </w:r>
            <w:r w:rsidR="00977459" w:rsidRPr="001B2302">
              <w:t xml:space="preserve">: </w:t>
            </w:r>
            <w:r>
              <w:t>(a) thảo luận và thông qua cách tiếp cận phối hợp nhằm xử lý tội phạm mạng; (b) theo dõi việc triển khai các khuyến nghị về tội phạm mạng từ các diễn đàn liên quan của ASEAN; và (c) hợp tác với các Đối tác Đối thoại về tội phạm mạng</w:t>
            </w:r>
            <w:r w:rsidR="00977459" w:rsidRPr="001B2302">
              <w:t>.</w:t>
            </w:r>
            <w:r w:rsidR="000C75C5" w:rsidRPr="001B2302">
              <w:rPr>
                <w:rStyle w:val="FootnoteReference"/>
              </w:rPr>
              <w:footnoteReference w:id="399"/>
            </w:r>
          </w:p>
          <w:p w14:paraId="057E9C8B" w14:textId="77777777" w:rsidR="00504923" w:rsidRDefault="00504923" w:rsidP="007260B2">
            <w:pPr>
              <w:spacing w:line="276" w:lineRule="auto"/>
              <w:cnfStyle w:val="000000100000" w:firstRow="0" w:lastRow="0" w:firstColumn="0" w:lastColumn="0" w:oddVBand="0" w:evenVBand="0" w:oddHBand="1" w:evenHBand="0" w:firstRowFirstColumn="0" w:firstRowLastColumn="0" w:lastRowFirstColumn="0" w:lastRowLastColumn="0"/>
            </w:pPr>
          </w:p>
          <w:p w14:paraId="6366618E" w14:textId="77777777" w:rsidR="00504923" w:rsidRDefault="00504923" w:rsidP="00504923">
            <w:pPr>
              <w:spacing w:line="276" w:lineRule="auto"/>
              <w:cnfStyle w:val="000000100000" w:firstRow="0" w:lastRow="0" w:firstColumn="0" w:lastColumn="0" w:oddVBand="0" w:evenVBand="0" w:oddHBand="1" w:evenHBand="0" w:firstRowFirstColumn="0" w:firstRowLastColumn="0" w:lastRowFirstColumn="0" w:lastRowLastColumn="0"/>
            </w:pPr>
            <w:r>
              <w:t>Phạm vi hoạt động của WG on CC bao gồm:</w:t>
            </w:r>
          </w:p>
          <w:p w14:paraId="69B98204" w14:textId="77777777" w:rsidR="00504923" w:rsidRDefault="00504923" w:rsidP="00504923">
            <w:pPr>
              <w:spacing w:line="276" w:lineRule="auto"/>
              <w:cnfStyle w:val="000000100000" w:firstRow="0" w:lastRow="0" w:firstColumn="0" w:lastColumn="0" w:oddVBand="0" w:evenVBand="0" w:oddHBand="1" w:evenHBand="0" w:firstRowFirstColumn="0" w:firstRowLastColumn="0" w:lastRowFirstColumn="0" w:lastRowLastColumn="0"/>
            </w:pPr>
            <w:r>
              <w:t xml:space="preserve">(a) Tạo điều kiện chia sẻ thông tin về các vấn đề liên quan đến tội phạm mạng, như xu hướng, thực tiễn tốt, kỹ thuật và công cụ mới. Nhóm sẽ xây dựng một khung chia sẻ thông tin </w:t>
            </w:r>
            <w:r>
              <w:lastRenderedPageBreak/>
              <w:t>giữa các cơ quan liên quan ở các AMS tham gia phòng ngừa và đấu tranh chống tội phạm mạng. Điều này cũng giúp tăng cường hợp tác và phối hợp trong khu vực về các vấn đề liên quan đến tội phạm mạng.</w:t>
            </w:r>
          </w:p>
          <w:p w14:paraId="0CBDAFD8" w14:textId="77777777" w:rsidR="00504923" w:rsidRDefault="00504923" w:rsidP="00504923">
            <w:pPr>
              <w:spacing w:line="276" w:lineRule="auto"/>
              <w:cnfStyle w:val="000000100000" w:firstRow="0" w:lastRow="0" w:firstColumn="0" w:lastColumn="0" w:oddVBand="0" w:evenVBand="0" w:oddHBand="1" w:evenHBand="0" w:firstRowFirstColumn="0" w:firstRowLastColumn="0" w:lastRowFirstColumn="0" w:lastRowLastColumn="0"/>
            </w:pPr>
          </w:p>
          <w:p w14:paraId="640FA385" w14:textId="77777777" w:rsidR="00504923" w:rsidRDefault="00504923" w:rsidP="00504923">
            <w:pPr>
              <w:spacing w:line="276" w:lineRule="auto"/>
              <w:cnfStyle w:val="000000100000" w:firstRow="0" w:lastRow="0" w:firstColumn="0" w:lastColumn="0" w:oddVBand="0" w:evenVBand="0" w:oddHBand="1" w:evenHBand="0" w:firstRowFirstColumn="0" w:firstRowLastColumn="0" w:lastRowFirstColumn="0" w:lastRowLastColumn="0"/>
            </w:pPr>
            <w:r>
              <w:t>(b) Thiết lập các đầu mối liên lạc thường xuyên về hợp tác tội phạm mạng. Nhóm sẽ xác định một đầu mối liên lạc duy nhất trong các cơ quan chính sách, an ninh và thực thi pháp luật của AMS nhằm thúc đẩy kết nối và phối hợp ngang trong thực thi pháp luật và xây dựng năng lực về tội phạm mạng. Các đầu mối này cũng sẽ báo cáo các vấn đề hoặc kết quả làm việc của WG on CC thông qua đầu mối SOMTC quốc gia để trình SOMTC/AMMTC quyết định.</w:t>
            </w:r>
          </w:p>
          <w:p w14:paraId="47010C0B" w14:textId="77777777" w:rsidR="00504923" w:rsidRDefault="00504923" w:rsidP="00504923">
            <w:pPr>
              <w:spacing w:line="276" w:lineRule="auto"/>
              <w:cnfStyle w:val="000000100000" w:firstRow="0" w:lastRow="0" w:firstColumn="0" w:lastColumn="0" w:oddVBand="0" w:evenVBand="0" w:oddHBand="1" w:evenHBand="0" w:firstRowFirstColumn="0" w:firstRowLastColumn="0" w:lastRowFirstColumn="0" w:lastRowLastColumn="0"/>
            </w:pPr>
          </w:p>
          <w:p w14:paraId="0E37DCF6" w14:textId="77777777" w:rsidR="00504923" w:rsidRDefault="00504923" w:rsidP="00504923">
            <w:pPr>
              <w:spacing w:line="276" w:lineRule="auto"/>
              <w:cnfStyle w:val="000000100000" w:firstRow="0" w:lastRow="0" w:firstColumn="0" w:lastColumn="0" w:oddVBand="0" w:evenVBand="0" w:oddHBand="1" w:evenHBand="0" w:firstRowFirstColumn="0" w:firstRowLastColumn="0" w:lastRowFirstColumn="0" w:lastRowLastColumn="0"/>
            </w:pPr>
            <w:r>
              <w:t>(c) Phát triển các sáng kiến xây dựng năng lực và đào tạo. Nhóm sẽ xây dựng các chương trình đào tạo khu vực và hội nghị thường kỳ nhằm nâng cao năng lực đấu tranh chống tội phạm mạng.</w:t>
            </w:r>
          </w:p>
          <w:p w14:paraId="1024907A" w14:textId="77777777" w:rsidR="00504923" w:rsidRDefault="00504923" w:rsidP="00504923">
            <w:pPr>
              <w:spacing w:line="276" w:lineRule="auto"/>
              <w:cnfStyle w:val="000000100000" w:firstRow="0" w:lastRow="0" w:firstColumn="0" w:lastColumn="0" w:oddVBand="0" w:evenVBand="0" w:oddHBand="1" w:evenHBand="0" w:firstRowFirstColumn="0" w:firstRowLastColumn="0" w:lastRowFirstColumn="0" w:lastRowLastColumn="0"/>
            </w:pPr>
          </w:p>
          <w:p w14:paraId="65C75A41" w14:textId="77777777" w:rsidR="00504923" w:rsidRDefault="00504923" w:rsidP="00504923">
            <w:pPr>
              <w:spacing w:line="276" w:lineRule="auto"/>
              <w:cnfStyle w:val="000000100000" w:firstRow="0" w:lastRow="0" w:firstColumn="0" w:lastColumn="0" w:oddVBand="0" w:evenVBand="0" w:oddHBand="1" w:evenHBand="0" w:firstRowFirstColumn="0" w:firstRowLastColumn="0" w:lastRowFirstColumn="0" w:lastRowLastColumn="0"/>
            </w:pPr>
            <w:r>
              <w:t>(d) Xác định các lĩnh vực trọng tâm để hợp tác trong nội khối ASEAN và với Đối tác Đối thoại về tội phạm mạng. Nhóm sẽ giúp AMS nêu ra nhu cầu để tìm ra các giải pháp hợp tác, với sự hỗ trợ từ Đối tác Đối thoại khi phù hợp, nhằm nâng cao hiệu quả chống tội phạm mạng.</w:t>
            </w:r>
          </w:p>
          <w:p w14:paraId="2BDE69D3" w14:textId="77777777" w:rsidR="00504923" w:rsidRDefault="00504923" w:rsidP="00504923">
            <w:pPr>
              <w:spacing w:line="276" w:lineRule="auto"/>
              <w:cnfStyle w:val="000000100000" w:firstRow="0" w:lastRow="0" w:firstColumn="0" w:lastColumn="0" w:oddVBand="0" w:evenVBand="0" w:oddHBand="1" w:evenHBand="0" w:firstRowFirstColumn="0" w:firstRowLastColumn="0" w:lastRowFirstColumn="0" w:lastRowLastColumn="0"/>
            </w:pPr>
          </w:p>
          <w:p w14:paraId="233DAE2B" w14:textId="664AA275" w:rsidR="00977459" w:rsidRPr="001B2302" w:rsidRDefault="00504923" w:rsidP="00977459">
            <w:pPr>
              <w:spacing w:line="276" w:lineRule="auto"/>
              <w:cnfStyle w:val="000000100000" w:firstRow="0" w:lastRow="0" w:firstColumn="0" w:lastColumn="0" w:oddVBand="0" w:evenVBand="0" w:oddHBand="1" w:evenHBand="0" w:firstRowFirstColumn="0" w:firstRowLastColumn="0" w:lastRowFirstColumn="0" w:lastRowLastColumn="0"/>
            </w:pPr>
            <w:r>
              <w:t xml:space="preserve">(e) Khám phá khả năng hợp tác với các đối tác chiến lược trong khu vực tư nhân. Bên </w:t>
            </w:r>
            <w:r>
              <w:lastRenderedPageBreak/>
              <w:t>cạnh thực thi pháp luật hiệu quả, việc huy động tất cả các bên liên quan — đặc biệt là khu vực công nghệ — cũng rất quan trọng để tăng cường năng lực của AMS trong phát hiện, ngăn chặn và đấu tranh chống tội phạm mạng. Nhóm sẽ tận dụng sức mạnh và chuyên môn của AMS, xây dựng các quan hệ hợp tác chiến lược với các tổ chức khu vực, quốc tế, khu vực tư nhân và học thuật trong nghiên cứu và đổi mới.</w:t>
            </w:r>
          </w:p>
        </w:tc>
        <w:tc>
          <w:tcPr>
            <w:tcW w:w="1662" w:type="dxa"/>
          </w:tcPr>
          <w:p w14:paraId="104F6836" w14:textId="67E362C2" w:rsidR="00977459" w:rsidRPr="001B2302" w:rsidRDefault="00CA0FCE" w:rsidP="00977459">
            <w:pPr>
              <w:spacing w:line="276" w:lineRule="auto"/>
              <w:cnfStyle w:val="000000100000" w:firstRow="0" w:lastRow="0" w:firstColumn="0" w:lastColumn="0" w:oddVBand="0" w:evenVBand="0" w:oddHBand="1" w:evenHBand="0" w:firstRowFirstColumn="0" w:firstRowLastColumn="0" w:lastRowFirstColumn="0" w:lastRowLastColumn="0"/>
            </w:pPr>
            <w:r w:rsidRPr="00CA0FCE">
              <w:lastRenderedPageBreak/>
              <w:t xml:space="preserve">WG on CC </w:t>
            </w:r>
            <w:r w:rsidRPr="00CA0FCE">
              <w:rPr>
                <w:rFonts w:hint="eastAsia"/>
              </w:rPr>
              <w:t>→</w:t>
            </w:r>
            <w:r w:rsidRPr="00CA0FCE">
              <w:t xml:space="preserve"> Cuộc họp Quan chức Cấp cao về Tội phạm Xuyên quốc gia (SOMTC) </w:t>
            </w:r>
            <w:r w:rsidRPr="00CA0FCE">
              <w:rPr>
                <w:rFonts w:hint="eastAsia"/>
              </w:rPr>
              <w:t>→</w:t>
            </w:r>
            <w:r w:rsidRPr="00CA0FCE">
              <w:t xml:space="preserve"> Cuộc họp Quan chức Cấp cao </w:t>
            </w:r>
            <w:r w:rsidR="00616696">
              <w:t>Số</w:t>
            </w:r>
            <w:r w:rsidRPr="00CA0FCE">
              <w:t xml:space="preserve"> ASEAN (ADGSOM) </w:t>
            </w:r>
            <w:r w:rsidRPr="00CA0FCE">
              <w:rPr>
                <w:rFonts w:hint="eastAsia"/>
              </w:rPr>
              <w:t>→</w:t>
            </w:r>
            <w:r w:rsidRPr="00CA0FCE">
              <w:t xml:space="preserve"> Hội nghị Bộ trưởng </w:t>
            </w:r>
            <w:r w:rsidR="00616696">
              <w:t>Số</w:t>
            </w:r>
            <w:r w:rsidRPr="00CA0FCE">
              <w:t xml:space="preserve"> ASEAN (ADGMIN)</w:t>
            </w:r>
          </w:p>
        </w:tc>
        <w:tc>
          <w:tcPr>
            <w:tcW w:w="2991" w:type="dxa"/>
          </w:tcPr>
          <w:p w14:paraId="515DA91F" w14:textId="77777777" w:rsidR="00977459" w:rsidRPr="001B2302" w:rsidRDefault="00977459" w:rsidP="00977459">
            <w:pPr>
              <w:spacing w:line="276" w:lineRule="auto"/>
              <w:cnfStyle w:val="000000100000" w:firstRow="0" w:lastRow="0" w:firstColumn="0" w:lastColumn="0" w:oddVBand="0" w:evenVBand="0" w:oddHBand="1" w:evenHBand="0" w:firstRowFirstColumn="0" w:firstRowLastColumn="0" w:lastRowFirstColumn="0" w:lastRowLastColumn="0"/>
            </w:pPr>
            <w:r w:rsidRPr="001B2302">
              <w:t>N/A</w:t>
            </w:r>
          </w:p>
        </w:tc>
      </w:tr>
      <w:tr w:rsidR="00977459" w:rsidRPr="001B2302" w14:paraId="656E3DE4" w14:textId="77777777" w:rsidTr="008D2047">
        <w:tc>
          <w:tcPr>
            <w:cnfStyle w:val="001000000000" w:firstRow="0" w:lastRow="0" w:firstColumn="1" w:lastColumn="0" w:oddVBand="0" w:evenVBand="0" w:oddHBand="0" w:evenHBand="0" w:firstRowFirstColumn="0" w:firstRowLastColumn="0" w:lastRowFirstColumn="0" w:lastRowLastColumn="0"/>
            <w:tcW w:w="2161" w:type="dxa"/>
          </w:tcPr>
          <w:p w14:paraId="4625AAFD" w14:textId="1F4CC056" w:rsidR="00977459" w:rsidRPr="001B2302" w:rsidRDefault="00CA0FCE" w:rsidP="00977459">
            <w:pPr>
              <w:spacing w:line="276" w:lineRule="auto"/>
              <w:jc w:val="center"/>
            </w:pPr>
            <w:r w:rsidRPr="00CA0FCE">
              <w:lastRenderedPageBreak/>
              <w:t>Nhóm Công tác về Hệ thống Thanh toán và Bù trừ (WC-PSS)</w:t>
            </w:r>
          </w:p>
        </w:tc>
        <w:tc>
          <w:tcPr>
            <w:tcW w:w="3458" w:type="dxa"/>
          </w:tcPr>
          <w:p w14:paraId="3BBB1E47" w14:textId="2A1EA3AD" w:rsidR="00977459" w:rsidRDefault="00CA0FCE" w:rsidP="00977459">
            <w:pPr>
              <w:spacing w:line="276" w:lineRule="auto"/>
              <w:cnfStyle w:val="000000000000" w:firstRow="0" w:lastRow="0" w:firstColumn="0" w:lastColumn="0" w:oddVBand="0" w:evenVBand="0" w:oddHBand="0" w:evenHBand="0" w:firstRowFirstColumn="0" w:firstRowLastColumn="0" w:lastRowFirstColumn="0" w:lastRowLastColumn="0"/>
            </w:pPr>
            <w:r w:rsidRPr="00CA0FCE">
              <w:t>WC-PSS được thành lập vào năm 2010 nhằm chuẩn bị cho hệ thống thanh toán và bù trừ (PSS) của các quốc gia thành viên ASEAN (AMS) trong tiến trình hội nhập vào Cộng đồng Kinh tế ASEAN (AEC) thông qua việc thực hiện các nghiên cứu và đưa ra khuyến nghị chính sách cho việc phát triển PSS, tăng cường hợp tác và hài hòa hóa hệ thống PSS trong khu vực ASEAN.</w:t>
            </w:r>
          </w:p>
          <w:p w14:paraId="05DE07EF" w14:textId="77777777" w:rsidR="00CA0FCE" w:rsidRPr="001B2302" w:rsidRDefault="00CA0FCE" w:rsidP="00977459">
            <w:pPr>
              <w:spacing w:line="276" w:lineRule="auto"/>
              <w:cnfStyle w:val="000000000000" w:firstRow="0" w:lastRow="0" w:firstColumn="0" w:lastColumn="0" w:oddVBand="0" w:evenVBand="0" w:oddHBand="0" w:evenHBand="0" w:firstRowFirstColumn="0" w:firstRowLastColumn="0" w:lastRowFirstColumn="0" w:lastRowLastColumn="0"/>
            </w:pPr>
          </w:p>
          <w:p w14:paraId="1485691B" w14:textId="5C7D118C" w:rsidR="00977459" w:rsidRPr="001B2302" w:rsidRDefault="00CA0FCE" w:rsidP="00977459">
            <w:pPr>
              <w:spacing w:line="276" w:lineRule="auto"/>
              <w:cnfStyle w:val="000000000000" w:firstRow="0" w:lastRow="0" w:firstColumn="0" w:lastColumn="0" w:oddVBand="0" w:evenVBand="0" w:oddHBand="0" w:evenHBand="0" w:firstRowFirstColumn="0" w:firstRowLastColumn="0" w:lastRowFirstColumn="0" w:lastRowLastColumn="0"/>
            </w:pPr>
            <w:r w:rsidRPr="00CA0FCE">
              <w:t>WC-PSS đã hoàn tất báo cáo đánh giá tổng quan (environmental scan) về hệ thống thanh toán bán lẻ tức thời (real-time retail payment systems) của các AMS. Nhóm cũng đã hoàn thiện Khung Chính sách Thanh toán ASEAN cho Thanh toán Bán lẻ Xuyên biên giới Theo thời gian thực và Hướng dẫn Triển khai của Khung chính sách này.</w:t>
            </w:r>
          </w:p>
        </w:tc>
        <w:tc>
          <w:tcPr>
            <w:tcW w:w="1662" w:type="dxa"/>
          </w:tcPr>
          <w:p w14:paraId="5D1DE615" w14:textId="78D4C434" w:rsidR="00977459" w:rsidRPr="001B2302" w:rsidRDefault="00CA0FCE" w:rsidP="00977459">
            <w:pPr>
              <w:spacing w:line="276" w:lineRule="auto"/>
              <w:cnfStyle w:val="000000000000" w:firstRow="0" w:lastRow="0" w:firstColumn="0" w:lastColumn="0" w:oddVBand="0" w:evenVBand="0" w:oddHBand="0" w:evenHBand="0" w:firstRowFirstColumn="0" w:firstRowLastColumn="0" w:lastRowFirstColumn="0" w:lastRowLastColumn="0"/>
            </w:pPr>
            <w:r w:rsidRPr="00CA0FCE">
              <w:t xml:space="preserve">WC-PSS </w:t>
            </w:r>
            <w:r w:rsidRPr="00CA0FCE">
              <w:rPr>
                <w:rFonts w:hint="eastAsia"/>
              </w:rPr>
              <w:t>→</w:t>
            </w:r>
            <w:r w:rsidRPr="00CA0FCE">
              <w:t xml:space="preserve"> Cuộc họp Thứ trưởng Tài chính ASEAN (AFDM) và Cuộc họp Phó Thống đốc Ngân hàng Trung ương ASEAN (ACDM) </w:t>
            </w:r>
            <w:r w:rsidRPr="00CA0FCE">
              <w:rPr>
                <w:rFonts w:hint="eastAsia"/>
              </w:rPr>
              <w:t>→</w:t>
            </w:r>
            <w:r w:rsidRPr="00CA0FCE">
              <w:t xml:space="preserve"> Cuộc họp Bộ trưởng Tài chính và Thống đốc Ngân hàng Trung ương ASEAN (AFMGM)</w:t>
            </w:r>
          </w:p>
        </w:tc>
        <w:tc>
          <w:tcPr>
            <w:tcW w:w="2991" w:type="dxa"/>
          </w:tcPr>
          <w:p w14:paraId="5F109316" w14:textId="77777777" w:rsidR="00977459" w:rsidRPr="001B2302" w:rsidRDefault="00977459" w:rsidP="00977459">
            <w:pPr>
              <w:spacing w:line="276" w:lineRule="auto"/>
              <w:cnfStyle w:val="000000000000" w:firstRow="0" w:lastRow="0" w:firstColumn="0" w:lastColumn="0" w:oddVBand="0" w:evenVBand="0" w:oddHBand="0" w:evenHBand="0" w:firstRowFirstColumn="0" w:firstRowLastColumn="0" w:lastRowFirstColumn="0" w:lastRowLastColumn="0"/>
            </w:pPr>
            <w:r w:rsidRPr="001B2302">
              <w:t>N/A</w:t>
            </w:r>
          </w:p>
        </w:tc>
      </w:tr>
      <w:tr w:rsidR="00977459" w:rsidRPr="001B2302" w14:paraId="6134DC85" w14:textId="77777777" w:rsidTr="008D2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14:paraId="51493E27" w14:textId="42A29426" w:rsidR="00977459" w:rsidRPr="001B2302" w:rsidRDefault="00CA0FCE" w:rsidP="00977459">
            <w:pPr>
              <w:spacing w:line="276" w:lineRule="auto"/>
              <w:jc w:val="center"/>
            </w:pPr>
            <w:r w:rsidRPr="00CA0FCE">
              <w:t>Nhóm Công tác về Quản trị Dữ liệu Số (WG-DDG)</w:t>
            </w:r>
          </w:p>
        </w:tc>
        <w:tc>
          <w:tcPr>
            <w:tcW w:w="3458" w:type="dxa"/>
          </w:tcPr>
          <w:p w14:paraId="01E22E58" w14:textId="57E2CBF4" w:rsidR="00977459" w:rsidRPr="001B2302" w:rsidRDefault="00CA0FCE" w:rsidP="00977459">
            <w:pPr>
              <w:spacing w:line="276" w:lineRule="auto"/>
              <w:cnfStyle w:val="000000100000" w:firstRow="0" w:lastRow="0" w:firstColumn="0" w:lastColumn="0" w:oddVBand="0" w:evenVBand="0" w:oddHBand="1" w:evenHBand="0" w:firstRowFirstColumn="0" w:firstRowLastColumn="0" w:lastRowFirstColumn="0" w:lastRowLastColumn="0"/>
            </w:pPr>
            <w:r w:rsidRPr="00CA0FCE">
              <w:t xml:space="preserve">WG-DDG được thành lập vào năm 2018 nhằm xây dựng Khung Quản trị Dữ liệu Số ASEAN và triển khai các sáng </w:t>
            </w:r>
            <w:r w:rsidRPr="00CA0FCE">
              <w:lastRenderedPageBreak/>
              <w:t>kiến trọng tâm của Khung này</w:t>
            </w:r>
            <w:r w:rsidR="00977459" w:rsidRPr="001B2302">
              <w:t>.</w:t>
            </w:r>
            <w:r w:rsidR="005B7257" w:rsidRPr="001B2302">
              <w:rPr>
                <w:rStyle w:val="FootnoteReference"/>
              </w:rPr>
              <w:footnoteReference w:id="400"/>
            </w:r>
          </w:p>
        </w:tc>
        <w:tc>
          <w:tcPr>
            <w:tcW w:w="1662" w:type="dxa"/>
          </w:tcPr>
          <w:p w14:paraId="15CEA48E" w14:textId="2EDE90A9" w:rsidR="00977459" w:rsidRPr="001B2302" w:rsidRDefault="00CA0FCE" w:rsidP="00977459">
            <w:pPr>
              <w:spacing w:line="276" w:lineRule="auto"/>
              <w:cnfStyle w:val="000000100000" w:firstRow="0" w:lastRow="0" w:firstColumn="0" w:lastColumn="0" w:oddVBand="0" w:evenVBand="0" w:oddHBand="1" w:evenHBand="0" w:firstRowFirstColumn="0" w:firstRowLastColumn="0" w:lastRowFirstColumn="0" w:lastRowLastColumn="0"/>
              <w:rPr>
                <w:lang w:val="en-SG"/>
              </w:rPr>
            </w:pPr>
            <w:r w:rsidRPr="00CA0FCE">
              <w:lastRenderedPageBreak/>
              <w:t xml:space="preserve">Working Group on Digital Data Governance (WG-DDG) </w:t>
            </w:r>
            <w:r w:rsidRPr="00CA0FCE">
              <w:rPr>
                <w:rFonts w:hint="eastAsia"/>
              </w:rPr>
              <w:lastRenderedPageBreak/>
              <w:t>→</w:t>
            </w:r>
            <w:r w:rsidRPr="00CA0FCE">
              <w:t xml:space="preserve"> Cuộc họp Quan chức Cấp cao </w:t>
            </w:r>
            <w:r w:rsidR="00616696">
              <w:t>Số</w:t>
            </w:r>
            <w:r w:rsidRPr="00CA0FCE">
              <w:t xml:space="preserve"> ASEAN (ADGSOM) </w:t>
            </w:r>
            <w:r w:rsidRPr="00CA0FCE">
              <w:rPr>
                <w:rFonts w:hint="eastAsia"/>
              </w:rPr>
              <w:t>→</w:t>
            </w:r>
            <w:r w:rsidRPr="00CA0FCE">
              <w:t xml:space="preserve"> Hội nghị Bộ trưởng </w:t>
            </w:r>
            <w:r w:rsidR="00616696">
              <w:t>Số</w:t>
            </w:r>
            <w:r w:rsidRPr="00CA0FCE">
              <w:t xml:space="preserve"> ASEAN (ADGMIN)</w:t>
            </w:r>
          </w:p>
        </w:tc>
        <w:tc>
          <w:tcPr>
            <w:tcW w:w="2991" w:type="dxa"/>
          </w:tcPr>
          <w:p w14:paraId="338B907D" w14:textId="77777777" w:rsidR="00977459" w:rsidRPr="001B2302" w:rsidRDefault="00977459" w:rsidP="00977459">
            <w:pPr>
              <w:spacing w:line="276" w:lineRule="auto"/>
              <w:cnfStyle w:val="000000100000" w:firstRow="0" w:lastRow="0" w:firstColumn="0" w:lastColumn="0" w:oddVBand="0" w:evenVBand="0" w:oddHBand="1" w:evenHBand="0" w:firstRowFirstColumn="0" w:firstRowLastColumn="0" w:lastRowFirstColumn="0" w:lastRowLastColumn="0"/>
            </w:pPr>
            <w:r w:rsidRPr="001B2302">
              <w:lastRenderedPageBreak/>
              <w:t>N/A</w:t>
            </w:r>
          </w:p>
        </w:tc>
      </w:tr>
    </w:tbl>
    <w:p w14:paraId="253699C5" w14:textId="77777777" w:rsidR="00B405B3" w:rsidRPr="00B405B3" w:rsidRDefault="00B405B3" w:rsidP="00CA0FCE"/>
    <w:sectPr w:rsidR="00B405B3" w:rsidRPr="00B405B3" w:rsidSect="00676FFB">
      <w:pgSz w:w="11907" w:h="16839"/>
      <w:pgMar w:top="720" w:right="720" w:bottom="720" w:left="72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3CBBCA" w14:textId="77777777" w:rsidR="00A277F1" w:rsidRPr="004F1D15" w:rsidRDefault="00A277F1" w:rsidP="007664A3">
      <w:r w:rsidRPr="004F1D15">
        <w:separator/>
      </w:r>
    </w:p>
  </w:endnote>
  <w:endnote w:type="continuationSeparator" w:id="0">
    <w:p w14:paraId="2CCC5EB9" w14:textId="77777777" w:rsidR="00A277F1" w:rsidRPr="004F1D15" w:rsidRDefault="00A277F1" w:rsidP="007664A3">
      <w:r w:rsidRPr="004F1D15">
        <w:continuationSeparator/>
      </w:r>
    </w:p>
  </w:endnote>
  <w:endnote w:type="continuationNotice" w:id="1">
    <w:p w14:paraId="2C8B6947" w14:textId="77777777" w:rsidR="00A277F1" w:rsidRPr="004F1D15" w:rsidRDefault="00A277F1" w:rsidP="007664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Quattrocento Sans">
    <w:charset w:val="00"/>
    <w:family w:val="swiss"/>
    <w:pitch w:val="variable"/>
    <w:sig w:usb0="800000BF" w:usb1="4000005B"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Light">
    <w:panose1 w:val="020B0502040204020203"/>
    <w:charset w:val="00"/>
    <w:family w:val="swiss"/>
    <w:pitch w:val="variable"/>
    <w:sig w:usb0="E4002EFF" w:usb1="C000E47F" w:usb2="00000009" w:usb3="00000000" w:csb0="000001FF" w:csb1="00000000"/>
  </w:font>
  <w:font w:name="MetaWebPr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66A2B" w14:textId="48242EE7" w:rsidR="0081310A" w:rsidRPr="009E716C" w:rsidRDefault="00CA3EAA" w:rsidP="00903709">
    <w:pPr>
      <w:pStyle w:val="Footer"/>
      <w:jc w:val="center"/>
      <w:rPr>
        <w:i/>
        <w:iCs/>
        <w:sz w:val="18"/>
        <w:szCs w:val="18"/>
      </w:rPr>
    </w:pPr>
    <w:r>
      <w:rPr>
        <w:i/>
        <w:iCs/>
        <w:sz w:val="18"/>
        <w:szCs w:val="18"/>
      </w:rPr>
      <w:t>Dự thảo cuối</w:t>
    </w:r>
    <w:r w:rsidR="000A50D1">
      <w:rPr>
        <w:i/>
        <w:iCs/>
        <w:sz w:val="18"/>
        <w:szCs w:val="18"/>
      </w:rPr>
      <w:t>, 14</w:t>
    </w:r>
    <w:r>
      <w:rPr>
        <w:i/>
        <w:iCs/>
        <w:sz w:val="18"/>
        <w:szCs w:val="18"/>
      </w:rPr>
      <w:t>/4/</w:t>
    </w:r>
    <w:r w:rsidR="00A3373E" w:rsidRPr="009E716C">
      <w:rPr>
        <w:i/>
        <w:iCs/>
        <w:sz w:val="18"/>
        <w:szCs w:val="18"/>
      </w:rPr>
      <w:t>2025</w:t>
    </w:r>
  </w:p>
  <w:sdt>
    <w:sdtPr>
      <w:rPr>
        <w:sz w:val="18"/>
        <w:szCs w:val="18"/>
      </w:rPr>
      <w:id w:val="576019587"/>
      <w:docPartObj>
        <w:docPartGallery w:val="Page Numbers (Bottom of Page)"/>
        <w:docPartUnique/>
      </w:docPartObj>
    </w:sdtPr>
    <w:sdtEndPr>
      <w:rPr>
        <w:noProof/>
      </w:rPr>
    </w:sdtEndPr>
    <w:sdtContent>
      <w:p w14:paraId="1183D674" w14:textId="77777777" w:rsidR="0081310A" w:rsidRPr="00090DFD" w:rsidRDefault="0081310A" w:rsidP="0074467A">
        <w:pPr>
          <w:pStyle w:val="Footer"/>
          <w:jc w:val="center"/>
          <w:rPr>
            <w:sz w:val="18"/>
            <w:szCs w:val="18"/>
          </w:rPr>
        </w:pPr>
        <w:r w:rsidRPr="00090DFD">
          <w:rPr>
            <w:sz w:val="18"/>
            <w:szCs w:val="18"/>
          </w:rPr>
          <w:fldChar w:fldCharType="begin"/>
        </w:r>
        <w:r w:rsidRPr="00090DFD">
          <w:rPr>
            <w:sz w:val="18"/>
            <w:szCs w:val="18"/>
          </w:rPr>
          <w:instrText xml:space="preserve"> PAGE   \* MERGEFORMAT </w:instrText>
        </w:r>
        <w:r w:rsidRPr="00090DFD">
          <w:rPr>
            <w:sz w:val="18"/>
            <w:szCs w:val="18"/>
          </w:rPr>
          <w:fldChar w:fldCharType="separate"/>
        </w:r>
        <w:r w:rsidRPr="00090DFD">
          <w:rPr>
            <w:noProof/>
            <w:sz w:val="18"/>
            <w:szCs w:val="18"/>
          </w:rPr>
          <w:t>2</w:t>
        </w:r>
        <w:r w:rsidRPr="00090DFD">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EFA81" w14:textId="1805436E" w:rsidR="0081310A" w:rsidRPr="000E007B" w:rsidRDefault="001F0999" w:rsidP="00903709">
    <w:pPr>
      <w:pStyle w:val="Footer"/>
      <w:jc w:val="center"/>
      <w:rPr>
        <w:i/>
        <w:iCs/>
        <w:sz w:val="18"/>
        <w:szCs w:val="18"/>
      </w:rPr>
    </w:pPr>
    <w:r>
      <w:rPr>
        <w:i/>
        <w:iCs/>
        <w:sz w:val="18"/>
        <w:szCs w:val="18"/>
      </w:rPr>
      <w:t>Bản cuối, 23/4/2025</w:t>
    </w:r>
  </w:p>
  <w:sdt>
    <w:sdtPr>
      <w:rPr>
        <w:sz w:val="18"/>
        <w:szCs w:val="18"/>
      </w:rPr>
      <w:id w:val="1646936345"/>
      <w:docPartObj>
        <w:docPartGallery w:val="Page Numbers (Bottom of Page)"/>
        <w:docPartUnique/>
      </w:docPartObj>
    </w:sdtPr>
    <w:sdtContent>
      <w:p w14:paraId="2520AE36" w14:textId="5D10249F" w:rsidR="0081310A" w:rsidRPr="004F1D15" w:rsidRDefault="0081310A" w:rsidP="0074467A">
        <w:pPr>
          <w:pStyle w:val="Footer"/>
          <w:jc w:val="center"/>
          <w:rPr>
            <w:sz w:val="18"/>
            <w:szCs w:val="18"/>
          </w:rPr>
        </w:pPr>
        <w:r w:rsidRPr="004F1D15">
          <w:rPr>
            <w:sz w:val="18"/>
            <w:szCs w:val="18"/>
          </w:rPr>
          <w:fldChar w:fldCharType="begin"/>
        </w:r>
        <w:r w:rsidRPr="004F1D15">
          <w:rPr>
            <w:sz w:val="18"/>
            <w:szCs w:val="18"/>
          </w:rPr>
          <w:instrText xml:space="preserve"> PAGE   \* MERGEFORMAT </w:instrText>
        </w:r>
        <w:r w:rsidRPr="004F1D15">
          <w:rPr>
            <w:sz w:val="18"/>
            <w:szCs w:val="18"/>
          </w:rPr>
          <w:fldChar w:fldCharType="separate"/>
        </w:r>
        <w:r w:rsidRPr="004F1D15">
          <w:rPr>
            <w:sz w:val="18"/>
            <w:szCs w:val="18"/>
          </w:rPr>
          <w:t>2</w:t>
        </w:r>
        <w:r w:rsidRPr="004F1D15">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6EF562" w14:textId="77777777" w:rsidR="00A277F1" w:rsidRPr="004F1D15" w:rsidRDefault="00A277F1" w:rsidP="007664A3">
      <w:r w:rsidRPr="004F1D15">
        <w:separator/>
      </w:r>
    </w:p>
  </w:footnote>
  <w:footnote w:type="continuationSeparator" w:id="0">
    <w:p w14:paraId="5970D757" w14:textId="77777777" w:rsidR="00A277F1" w:rsidRPr="004F1D15" w:rsidRDefault="00A277F1" w:rsidP="007664A3">
      <w:r w:rsidRPr="004F1D15">
        <w:continuationSeparator/>
      </w:r>
    </w:p>
  </w:footnote>
  <w:footnote w:type="continuationNotice" w:id="1">
    <w:p w14:paraId="3FA48964" w14:textId="77777777" w:rsidR="00A277F1" w:rsidRPr="004F1D15" w:rsidRDefault="00A277F1" w:rsidP="007664A3"/>
  </w:footnote>
  <w:footnote w:id="2">
    <w:p w14:paraId="1ADAC8E0" w14:textId="71485A6B" w:rsidR="0081310A" w:rsidRPr="00C1535B" w:rsidRDefault="0081310A" w:rsidP="00071E1D">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5E2179">
        <w:rPr>
          <w:rFonts w:asciiTheme="minorBidi" w:hAnsiTheme="minorBidi" w:cstheme="minorBidi"/>
        </w:rPr>
        <w:t xml:space="preserve">Tài liệu khái niệm Sáng kiến ưu tiên kinh tế </w:t>
      </w:r>
      <w:r w:rsidRPr="00C1535B">
        <w:rPr>
          <w:rFonts w:asciiTheme="minorBidi" w:hAnsiTheme="minorBidi" w:cstheme="minorBidi"/>
        </w:rPr>
        <w:t xml:space="preserve">ASEAN </w:t>
      </w:r>
      <w:r w:rsidR="005E2179" w:rsidRPr="005E2179">
        <w:rPr>
          <w:rFonts w:asciiTheme="minorBidi" w:hAnsiTheme="minorBidi" w:cstheme="minorBidi"/>
        </w:rPr>
        <w:t xml:space="preserve">của Lào </w:t>
      </w:r>
      <w:r w:rsidRPr="00C1535B">
        <w:rPr>
          <w:rFonts w:asciiTheme="minorBidi" w:hAnsiTheme="minorBidi" w:cstheme="minorBidi"/>
        </w:rPr>
        <w:t>(</w:t>
      </w:r>
      <w:r w:rsidR="005E2179">
        <w:rPr>
          <w:rFonts w:asciiTheme="minorBidi" w:hAnsiTheme="minorBidi" w:cstheme="minorBidi"/>
        </w:rPr>
        <w:t xml:space="preserve">năm </w:t>
      </w:r>
      <w:r w:rsidRPr="00C1535B">
        <w:rPr>
          <w:rFonts w:asciiTheme="minorBidi" w:hAnsiTheme="minorBidi" w:cstheme="minorBidi"/>
        </w:rPr>
        <w:t xml:space="preserve">2024): </w:t>
      </w:r>
      <w:r w:rsidR="005E2179">
        <w:rPr>
          <w:rFonts w:asciiTheme="minorBidi" w:hAnsiTheme="minorBidi" w:cstheme="minorBidi"/>
        </w:rPr>
        <w:t>Hoàn thành nghiên cứu về ASW thế hệ mới</w:t>
      </w:r>
    </w:p>
  </w:footnote>
  <w:footnote w:id="3">
    <w:p w14:paraId="5659061A" w14:textId="21CEEADD" w:rsidR="0081310A" w:rsidRPr="00C1535B" w:rsidRDefault="0081310A" w:rsidP="00071E1D">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5E2179" w:rsidRPr="005E2179">
        <w:rPr>
          <w:rFonts w:asciiTheme="minorBidi" w:hAnsiTheme="minorBidi" w:cstheme="minorBidi"/>
        </w:rPr>
        <w:t>Tài liệu khái niệm Sáng kiến ưu tiên kinh tế ASEAN của Lào (năm 2024): Hoàn thành nghiên cứu về ASW thế hệ mới</w:t>
      </w:r>
    </w:p>
  </w:footnote>
  <w:footnote w:id="4">
    <w:p w14:paraId="1ACE56AA" w14:textId="307DE38D" w:rsidR="00F939E1" w:rsidRPr="00C1535B" w:rsidRDefault="00F939E1" w:rsidP="00F939E1">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(2019) </w:t>
      </w:r>
      <w:r w:rsidR="00516936">
        <w:rPr>
          <w:rFonts w:asciiTheme="minorBidi" w:hAnsiTheme="minorBidi" w:cstheme="minorBidi"/>
        </w:rPr>
        <w:t>Thương mại điện tử ASEAN</w:t>
      </w:r>
      <w:r w:rsidRPr="00C1535B">
        <w:rPr>
          <w:rFonts w:asciiTheme="minorBidi" w:hAnsiTheme="minorBidi" w:cstheme="minorBidi"/>
        </w:rPr>
        <w:t xml:space="preserve">, </w:t>
      </w:r>
      <w:hyperlink r:id="rId1" w:history="1">
        <w:r w:rsidRPr="00C1535B">
          <w:rPr>
            <w:rStyle w:val="Hyperlink"/>
            <w:rFonts w:asciiTheme="minorBidi" w:hAnsiTheme="minorBidi" w:cstheme="minorBidi"/>
            <w:color w:val="auto"/>
          </w:rPr>
          <w:t>https://asean.org/our-communities/economic-community/asean-e-commerce/</w:t>
        </w:r>
      </w:hyperlink>
    </w:p>
  </w:footnote>
  <w:footnote w:id="5">
    <w:p w14:paraId="7809A4B7" w14:textId="5F5AE3CD" w:rsidR="0081310A" w:rsidRPr="00C1535B" w:rsidRDefault="0081310A" w:rsidP="00081454">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8F53FC" w:rsidRPr="008F53FC">
        <w:rPr>
          <w:rFonts w:asciiTheme="minorBidi" w:hAnsiTheme="minorBidi" w:cstheme="minorBidi"/>
        </w:rPr>
        <w:t>Tài liệu khái niệm Sáng kiến ưu tiên kinh tế ASEAN của Lào (năm 2024): Hoàn thành nghiên cứu về ASW thế hệ mới</w:t>
      </w:r>
    </w:p>
  </w:footnote>
  <w:footnote w:id="6">
    <w:p w14:paraId="68196E8F" w14:textId="72396D45" w:rsidR="001C6EAB" w:rsidRPr="00C1535B" w:rsidRDefault="001C6EAB" w:rsidP="001C6EAB">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(1997) </w:t>
      </w:r>
      <w:r w:rsidR="00924C64">
        <w:rPr>
          <w:rFonts w:asciiTheme="minorBidi" w:hAnsiTheme="minorBidi" w:cstheme="minorBidi"/>
        </w:rPr>
        <w:t>Hiệp định Hải quan ASEAN</w:t>
      </w:r>
      <w:r w:rsidRPr="00C1535B">
        <w:rPr>
          <w:rFonts w:asciiTheme="minorBidi" w:hAnsiTheme="minorBidi" w:cstheme="minorBidi"/>
        </w:rPr>
        <w:t xml:space="preserve">, </w:t>
      </w:r>
      <w:hyperlink r:id="rId2" w:history="1">
        <w:r w:rsidRPr="00C1535B">
          <w:rPr>
            <w:rStyle w:val="Hyperlink"/>
            <w:rFonts w:asciiTheme="minorBidi" w:hAnsiTheme="minorBidi" w:cstheme="minorBidi"/>
            <w:color w:val="auto"/>
          </w:rPr>
          <w:t>https://asean.org/wp-content/uploads/2020/12/ASEAN-Agreement-on-Customs-2.pdf</w:t>
        </w:r>
      </w:hyperlink>
    </w:p>
  </w:footnote>
  <w:footnote w:id="7">
    <w:p w14:paraId="2E644B18" w14:textId="7E29DE87" w:rsidR="00FD02CA" w:rsidRPr="00497D3C" w:rsidRDefault="00FD02CA" w:rsidP="00FD02CA">
      <w:pPr>
        <w:pStyle w:val="FootnoteText"/>
      </w:pPr>
      <w:r>
        <w:rPr>
          <w:rStyle w:val="FootnoteReference"/>
        </w:rPr>
        <w:footnoteRef/>
      </w:r>
      <w:r>
        <w:t xml:space="preserve"> </w:t>
      </w:r>
      <w:r w:rsidR="00C16F63">
        <w:t xml:space="preserve">Tuyên bố báo chí chung </w:t>
      </w:r>
      <w:r w:rsidRPr="005D4180">
        <w:t>ASEAN (</w:t>
      </w:r>
      <w:r w:rsidR="00C16F63">
        <w:t xml:space="preserve">năm </w:t>
      </w:r>
      <w:r w:rsidRPr="005D4180">
        <w:t xml:space="preserve">2024) </w:t>
      </w:r>
      <w:r w:rsidR="00C16F63">
        <w:t xml:space="preserve">về Hội nghị lần thứ </w:t>
      </w:r>
      <w:r w:rsidRPr="005D4180">
        <w:t xml:space="preserve">33 </w:t>
      </w:r>
      <w:r w:rsidR="00C16F63">
        <w:t>các Cục trưởng phụ trách Hải quan ASEAN</w:t>
      </w:r>
      <w:r w:rsidRPr="005D4180">
        <w:t xml:space="preserve">, </w:t>
      </w:r>
      <w:hyperlink r:id="rId3" w:history="1">
        <w:r w:rsidRPr="005D4180">
          <w:rPr>
            <w:rStyle w:val="Hyperlink"/>
            <w:color w:val="auto"/>
          </w:rPr>
          <w:t>https://asean.org/wp-content/uploads/2024/06/Final-Joint-Media-Statement-of-the-33rd-ASEAN-DGs-of-Customs-Meeting.pdf</w:t>
        </w:r>
      </w:hyperlink>
      <w:r w:rsidRPr="005D4180">
        <w:t xml:space="preserve"> </w:t>
      </w:r>
    </w:p>
  </w:footnote>
  <w:footnote w:id="8">
    <w:p w14:paraId="573EBD5F" w14:textId="251F7409" w:rsidR="0081310A" w:rsidRPr="00C1535B" w:rsidRDefault="0081310A" w:rsidP="00081454">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C16F63">
        <w:rPr>
          <w:rFonts w:asciiTheme="minorBidi" w:hAnsiTheme="minorBidi" w:cstheme="minorBidi"/>
        </w:rPr>
        <w:t xml:space="preserve">Diễn đàn Kinh tế thế giới </w:t>
      </w:r>
      <w:r w:rsidRPr="00C1535B">
        <w:rPr>
          <w:rFonts w:asciiTheme="minorBidi" w:hAnsiTheme="minorBidi" w:cstheme="minorBidi"/>
        </w:rPr>
        <w:t>(</w:t>
      </w:r>
      <w:r w:rsidR="00C16F63">
        <w:rPr>
          <w:rFonts w:asciiTheme="minorBidi" w:hAnsiTheme="minorBidi" w:cstheme="minorBidi"/>
        </w:rPr>
        <w:t xml:space="preserve">năm </w:t>
      </w:r>
      <w:r w:rsidRPr="00C1535B">
        <w:rPr>
          <w:rFonts w:asciiTheme="minorBidi" w:hAnsiTheme="minorBidi" w:cstheme="minorBidi"/>
        </w:rPr>
        <w:t>2023)</w:t>
      </w:r>
      <w:r w:rsidR="00C16F63">
        <w:rPr>
          <w:rFonts w:asciiTheme="minorBidi" w:hAnsiTheme="minorBidi" w:cstheme="minorBidi"/>
        </w:rPr>
        <w:t>,</w:t>
      </w:r>
      <w:r w:rsidRPr="00C1535B">
        <w:rPr>
          <w:rFonts w:asciiTheme="minorBidi" w:hAnsiTheme="minorBidi" w:cstheme="minorBidi"/>
        </w:rPr>
        <w:t xml:space="preserve"> </w:t>
      </w:r>
      <w:r w:rsidR="00C16F63">
        <w:rPr>
          <w:rFonts w:asciiTheme="minorBidi" w:hAnsiTheme="minorBidi" w:cstheme="minorBidi"/>
        </w:rPr>
        <w:t xml:space="preserve">Thanh toán xuyên biên giới </w:t>
      </w:r>
      <w:r w:rsidRPr="00C1535B">
        <w:rPr>
          <w:rFonts w:asciiTheme="minorBidi" w:hAnsiTheme="minorBidi" w:cstheme="minorBidi"/>
        </w:rPr>
        <w:t xml:space="preserve">ASEAN, </w:t>
      </w:r>
      <w:hyperlink r:id="rId4" w:history="1">
        <w:r w:rsidRPr="00C1535B">
          <w:rPr>
            <w:rStyle w:val="Hyperlink"/>
            <w:rFonts w:asciiTheme="minorBidi" w:hAnsiTheme="minorBidi" w:cstheme="minorBidi"/>
            <w:color w:val="auto"/>
          </w:rPr>
          <w:t>https://www.weforum.org/agenda/2023/11/asean-instant-cross-border-payments-paynow-promptpay/</w:t>
        </w:r>
      </w:hyperlink>
      <w:r w:rsidRPr="00C1535B">
        <w:rPr>
          <w:rFonts w:asciiTheme="minorBidi" w:hAnsiTheme="minorBidi" w:cstheme="minorBidi"/>
        </w:rPr>
        <w:t xml:space="preserve"> </w:t>
      </w:r>
    </w:p>
  </w:footnote>
  <w:footnote w:id="9">
    <w:p w14:paraId="1CF3D0BD" w14:textId="51DFE38A" w:rsidR="0081310A" w:rsidRPr="00C1535B" w:rsidRDefault="0081310A" w:rsidP="00081454">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(2021) </w:t>
      </w:r>
      <w:r w:rsidR="00C16F63">
        <w:rPr>
          <w:rFonts w:asciiTheme="minorBidi" w:hAnsiTheme="minorBidi" w:cstheme="minorBidi"/>
        </w:rPr>
        <w:t xml:space="preserve">Chiến lược số </w:t>
      </w:r>
      <w:r w:rsidRPr="00C1535B">
        <w:rPr>
          <w:rFonts w:asciiTheme="minorBidi" w:hAnsiTheme="minorBidi" w:cstheme="minorBidi"/>
        </w:rPr>
        <w:t xml:space="preserve">ASEAN, </w:t>
      </w:r>
      <w:hyperlink r:id="rId5" w:history="1">
        <w:r w:rsidRPr="00C1535B">
          <w:rPr>
            <w:rStyle w:val="Hyperlink"/>
            <w:rFonts w:asciiTheme="minorBidi" w:hAnsiTheme="minorBidi" w:cstheme="minorBidi"/>
            <w:color w:val="auto"/>
          </w:rPr>
          <w:t>https://asean.org/wp-content/uploads/2021/09/ASEAN-Digital-Masterplan-EDITED.pdf</w:t>
        </w:r>
      </w:hyperlink>
    </w:p>
  </w:footnote>
  <w:footnote w:id="10">
    <w:p w14:paraId="509B935D" w14:textId="1318B007" w:rsidR="0081310A" w:rsidRPr="00C1535B" w:rsidRDefault="0081310A" w:rsidP="00081454">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Cyfirma (2023) Singapore </w:t>
      </w:r>
      <w:r w:rsidR="00C16F63">
        <w:rPr>
          <w:rFonts w:asciiTheme="minorBidi" w:hAnsiTheme="minorBidi" w:cstheme="minorBidi"/>
        </w:rPr>
        <w:t>và</w:t>
      </w:r>
      <w:r w:rsidRPr="00C1535B">
        <w:rPr>
          <w:rFonts w:asciiTheme="minorBidi" w:hAnsiTheme="minorBidi" w:cstheme="minorBidi"/>
        </w:rPr>
        <w:t xml:space="preserve"> </w:t>
      </w:r>
      <w:r w:rsidR="00C16F63">
        <w:rPr>
          <w:rFonts w:asciiTheme="minorBidi" w:hAnsiTheme="minorBidi" w:cstheme="minorBidi"/>
        </w:rPr>
        <w:t>Bối cảnh đe dọa Đông Nam Á</w:t>
      </w:r>
      <w:r w:rsidRPr="00C1535B">
        <w:rPr>
          <w:rFonts w:asciiTheme="minorBidi" w:hAnsiTheme="minorBidi" w:cstheme="minorBidi"/>
        </w:rPr>
        <w:t xml:space="preserve">, </w:t>
      </w:r>
      <w:hyperlink r:id="rId6" w:history="1">
        <w:r w:rsidRPr="00C1535B">
          <w:rPr>
            <w:rStyle w:val="Hyperlink"/>
            <w:rFonts w:asciiTheme="minorBidi" w:hAnsiTheme="minorBidi" w:cstheme="minorBidi"/>
            <w:color w:val="auto"/>
          </w:rPr>
          <w:t>https://www.cyfirma.com/research/singapore-and-southeast-asia-threat-landscape/</w:t>
        </w:r>
      </w:hyperlink>
    </w:p>
  </w:footnote>
  <w:footnote w:id="11">
    <w:p w14:paraId="7B71332B" w14:textId="7EB2DF50" w:rsidR="0081310A" w:rsidRPr="00C1535B" w:rsidRDefault="0081310A" w:rsidP="00081454">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Brookings (2019) </w:t>
      </w:r>
      <w:r w:rsidR="00C16F63">
        <w:rPr>
          <w:rFonts w:asciiTheme="minorBidi" w:hAnsiTheme="minorBidi" w:cstheme="minorBidi"/>
        </w:rPr>
        <w:t>An ninh mạng và Thương mại số</w:t>
      </w:r>
      <w:r w:rsidRPr="00C1535B">
        <w:rPr>
          <w:rFonts w:asciiTheme="minorBidi" w:hAnsiTheme="minorBidi" w:cstheme="minorBidi"/>
        </w:rPr>
        <w:t xml:space="preserve">: </w:t>
      </w:r>
      <w:r w:rsidR="00C16F63">
        <w:rPr>
          <w:rFonts w:asciiTheme="minorBidi" w:hAnsiTheme="minorBidi" w:cstheme="minorBidi"/>
        </w:rPr>
        <w:t>Làm cho đúng</w:t>
      </w:r>
      <w:r w:rsidRPr="00C1535B">
        <w:rPr>
          <w:rFonts w:asciiTheme="minorBidi" w:hAnsiTheme="minorBidi" w:cstheme="minorBidi"/>
        </w:rPr>
        <w:t xml:space="preserve">, </w:t>
      </w:r>
      <w:hyperlink r:id="rId7" w:history="1">
        <w:r w:rsidRPr="00C1535B">
          <w:rPr>
            <w:rStyle w:val="Hyperlink"/>
            <w:rFonts w:asciiTheme="minorBidi" w:hAnsiTheme="minorBidi" w:cstheme="minorBidi"/>
            <w:color w:val="auto"/>
          </w:rPr>
          <w:t>https://www.brookings.edu/articles/cybersecurity-and-digital-trade-getting-it-right/</w:t>
        </w:r>
      </w:hyperlink>
    </w:p>
  </w:footnote>
  <w:footnote w:id="12">
    <w:p w14:paraId="6B8E2578" w14:textId="2C1C74D0" w:rsidR="0035082A" w:rsidRPr="00C1535B" w:rsidRDefault="0035082A" w:rsidP="0035082A">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IMDA (2023) </w:t>
      </w:r>
      <w:r w:rsidR="00C16F63">
        <w:rPr>
          <w:rFonts w:asciiTheme="minorBidi" w:hAnsiTheme="minorBidi" w:cstheme="minorBidi"/>
        </w:rPr>
        <w:t xml:space="preserve">Tiêu chuẩn công nghệ </w:t>
      </w:r>
      <w:r w:rsidRPr="00C1535B">
        <w:rPr>
          <w:rFonts w:asciiTheme="minorBidi" w:hAnsiTheme="minorBidi" w:cstheme="minorBidi"/>
        </w:rPr>
        <w:t xml:space="preserve">Singapore, </w:t>
      </w:r>
      <w:hyperlink r:id="rId8" w:history="1">
        <w:r w:rsidRPr="00C1535B">
          <w:rPr>
            <w:rStyle w:val="Hyperlink"/>
            <w:rFonts w:asciiTheme="minorBidi" w:hAnsiTheme="minorBidi" w:cstheme="minorBidi"/>
            <w:color w:val="auto"/>
          </w:rPr>
          <w:t>https://www.imda.gov.sg/-/media/imda/files/regulations-and-licensing/licensing/ict-standards-and-quality-of-service/industry-committees-and-working-groups/it-standards-committee/singapore-it-standards.pdf</w:t>
        </w:r>
      </w:hyperlink>
    </w:p>
  </w:footnote>
  <w:footnote w:id="13">
    <w:p w14:paraId="6AB417E2" w14:textId="55E3E8BF" w:rsidR="0035082A" w:rsidRPr="00C1535B" w:rsidRDefault="0035082A" w:rsidP="0035082A">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C16F63">
        <w:rPr>
          <w:rFonts w:asciiTheme="minorBidi" w:hAnsiTheme="minorBidi" w:cstheme="minorBidi"/>
        </w:rPr>
        <w:t>Diễn đàn quốc tế Thái Bình Dương</w:t>
      </w:r>
      <w:r w:rsidRPr="00C1535B">
        <w:rPr>
          <w:rFonts w:asciiTheme="minorBidi" w:hAnsiTheme="minorBidi" w:cstheme="minorBidi"/>
        </w:rPr>
        <w:t xml:space="preserve"> (2024) </w:t>
      </w:r>
      <w:r w:rsidR="00C16F63">
        <w:rPr>
          <w:rFonts w:asciiTheme="minorBidi" w:hAnsiTheme="minorBidi" w:cstheme="minorBidi"/>
        </w:rPr>
        <w:t xml:space="preserve">Mạng </w:t>
      </w:r>
      <w:r w:rsidRPr="00C1535B">
        <w:rPr>
          <w:rFonts w:asciiTheme="minorBidi" w:hAnsiTheme="minorBidi" w:cstheme="minorBidi"/>
        </w:rPr>
        <w:t xml:space="preserve">ASEAN: </w:t>
      </w:r>
      <w:r w:rsidR="00C16F63">
        <w:rPr>
          <w:rFonts w:asciiTheme="minorBidi" w:hAnsiTheme="minorBidi" w:cstheme="minorBidi"/>
        </w:rPr>
        <w:t xml:space="preserve">Thúc đẩy mạng và </w:t>
      </w:r>
      <w:r w:rsidR="00625AB4">
        <w:rPr>
          <w:rFonts w:asciiTheme="minorBidi" w:hAnsiTheme="minorBidi" w:cstheme="minorBidi"/>
        </w:rPr>
        <w:t xml:space="preserve">năng lực </w:t>
      </w:r>
      <w:r w:rsidR="00625AB4" w:rsidRPr="00625AB4">
        <w:rPr>
          <w:rFonts w:asciiTheme="minorBidi" w:hAnsiTheme="minorBidi" w:cstheme="minorBidi"/>
        </w:rPr>
        <w:t>bền vững</w:t>
      </w:r>
      <w:r w:rsidR="00625AB4">
        <w:rPr>
          <w:rFonts w:asciiTheme="minorBidi" w:hAnsiTheme="minorBidi" w:cstheme="minorBidi"/>
        </w:rPr>
        <w:t xml:space="preserve"> ở Đông Nam Á</w:t>
      </w:r>
      <w:r w:rsidRPr="00C1535B">
        <w:rPr>
          <w:rFonts w:asciiTheme="minorBidi" w:hAnsiTheme="minorBidi" w:cstheme="minorBidi"/>
        </w:rPr>
        <w:t xml:space="preserve">, </w:t>
      </w:r>
      <w:hyperlink r:id="rId9" w:history="1">
        <w:r w:rsidRPr="00C1535B">
          <w:rPr>
            <w:rStyle w:val="Hyperlink"/>
            <w:rFonts w:asciiTheme="minorBidi" w:hAnsiTheme="minorBidi" w:cstheme="minorBidi"/>
            <w:color w:val="auto"/>
          </w:rPr>
          <w:t>https://downloads.ctfassets.net/corl1354p0t3/750MZKJ7tfh9NSwTdPviqG/9dec46e2d311f2f8b130c28600a55fba/CyberAsean_Report.pdf</w:t>
        </w:r>
      </w:hyperlink>
    </w:p>
  </w:footnote>
  <w:footnote w:id="14">
    <w:p w14:paraId="6668987C" w14:textId="48B56562" w:rsidR="006A0C99" w:rsidRPr="00C1535B" w:rsidRDefault="006A0C99" w:rsidP="006A0C99">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625AB4">
        <w:rPr>
          <w:rFonts w:asciiTheme="minorBidi" w:hAnsiTheme="minorBidi" w:cstheme="minorBidi"/>
        </w:rPr>
        <w:t xml:space="preserve">Triển vọng </w:t>
      </w:r>
      <w:r w:rsidRPr="00C1535B">
        <w:rPr>
          <w:rFonts w:asciiTheme="minorBidi" w:hAnsiTheme="minorBidi" w:cstheme="minorBidi"/>
        </w:rPr>
        <w:t xml:space="preserve">ACI (2024) </w:t>
      </w:r>
      <w:r w:rsidR="00625AB4">
        <w:rPr>
          <w:rFonts w:asciiTheme="minorBidi" w:hAnsiTheme="minorBidi" w:cstheme="minorBidi"/>
        </w:rPr>
        <w:t xml:space="preserve">Khung pháp lý Dữ liệu phân mảnh của </w:t>
      </w:r>
      <w:r w:rsidRPr="00C1535B">
        <w:rPr>
          <w:rFonts w:asciiTheme="minorBidi" w:hAnsiTheme="minorBidi" w:cstheme="minorBidi"/>
        </w:rPr>
        <w:t xml:space="preserve">ASEAN: </w:t>
      </w:r>
      <w:r w:rsidR="00625AB4">
        <w:rPr>
          <w:rFonts w:asciiTheme="minorBidi" w:hAnsiTheme="minorBidi" w:cstheme="minorBidi"/>
        </w:rPr>
        <w:t>Nên hành động tiếp thế nào</w:t>
      </w:r>
      <w:r w:rsidRPr="00C1535B">
        <w:rPr>
          <w:rFonts w:asciiTheme="minorBidi" w:hAnsiTheme="minorBidi" w:cstheme="minorBidi"/>
        </w:rPr>
        <w:t xml:space="preserve">?, </w:t>
      </w:r>
      <w:hyperlink r:id="rId10" w:history="1">
        <w:r w:rsidRPr="00C1535B">
          <w:rPr>
            <w:rStyle w:val="Hyperlink"/>
            <w:rFonts w:asciiTheme="minorBidi" w:hAnsiTheme="minorBidi" w:cstheme="minorBidi"/>
            <w:color w:val="auto"/>
          </w:rPr>
          <w:t>https://aciperspectives.com/2024/04/17/aseans-fragmenting-data-regulatory-framework-whats-the-way-forward/</w:t>
        </w:r>
      </w:hyperlink>
    </w:p>
  </w:footnote>
  <w:footnote w:id="15">
    <w:p w14:paraId="4D444D1F" w14:textId="37D33F40" w:rsidR="0081310A" w:rsidRPr="00C1535B" w:rsidRDefault="0081310A" w:rsidP="00081454">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Kearney (2020) </w:t>
      </w:r>
      <w:r w:rsidR="00625AB4">
        <w:rPr>
          <w:rFonts w:asciiTheme="minorBidi" w:hAnsiTheme="minorBidi" w:cstheme="minorBidi"/>
        </w:rPr>
        <w:t>Chạy đua đến tương lai</w:t>
      </w:r>
      <w:r w:rsidRPr="00C1535B">
        <w:rPr>
          <w:rFonts w:asciiTheme="minorBidi" w:hAnsiTheme="minorBidi" w:cstheme="minorBidi"/>
        </w:rPr>
        <w:t xml:space="preserve">: </w:t>
      </w:r>
      <w:r w:rsidR="00625AB4">
        <w:rPr>
          <w:rFonts w:asciiTheme="minorBidi" w:hAnsiTheme="minorBidi" w:cstheme="minorBidi"/>
        </w:rPr>
        <w:t>trí thông minh nhân tạo trong Đông Nam Á</w:t>
      </w:r>
      <w:r w:rsidRPr="00C1535B">
        <w:rPr>
          <w:rFonts w:asciiTheme="minorBidi" w:hAnsiTheme="minorBidi" w:cstheme="minorBidi"/>
        </w:rPr>
        <w:t xml:space="preserve">, </w:t>
      </w:r>
      <w:hyperlink r:id="rId11" w:anchor=":~:text=AI%20has%20the%20potential%20to%20add%20%241%20trillion%20to%20the%20region's%20GDP&amp;text=Our%20study%20reveals%20that%20AI,trillion%20(see%20figure%204)" w:history="1">
        <w:r w:rsidRPr="00C1535B">
          <w:rPr>
            <w:rStyle w:val="Hyperlink"/>
            <w:rFonts w:asciiTheme="minorBidi" w:hAnsiTheme="minorBidi" w:cstheme="minorBidi"/>
            <w:color w:val="auto"/>
          </w:rPr>
          <w:t>https://www.middle-east.kearney.com/service/digital-analytics/article/-/insights/racing-toward-the-future-artificial-intelligence-in-southeast-asia</w:t>
        </w:r>
      </w:hyperlink>
      <w:r w:rsidRPr="00C1535B">
        <w:rPr>
          <w:rFonts w:asciiTheme="minorBidi" w:hAnsiTheme="minorBidi" w:cstheme="minorBidi"/>
        </w:rPr>
        <w:t xml:space="preserve"> </w:t>
      </w:r>
    </w:p>
  </w:footnote>
  <w:footnote w:id="16">
    <w:p w14:paraId="6E499140" w14:textId="67287050" w:rsidR="006167CD" w:rsidRPr="00C1535B" w:rsidRDefault="006167CD" w:rsidP="006167CD">
      <w:pPr>
        <w:spacing w:after="0"/>
        <w:jc w:val="left"/>
        <w:rPr>
          <w:rFonts w:asciiTheme="minorBidi" w:hAnsiTheme="minorBidi" w:cstheme="minorBidi"/>
          <w:sz w:val="20"/>
          <w:szCs w:val="20"/>
        </w:rPr>
      </w:pPr>
      <w:r w:rsidRPr="00C1535B">
        <w:rPr>
          <w:rStyle w:val="FootnoteReference"/>
          <w:rFonts w:asciiTheme="minorBidi" w:hAnsiTheme="minorBidi" w:cstheme="minorBidi"/>
          <w:sz w:val="20"/>
          <w:szCs w:val="20"/>
        </w:rPr>
        <w:footnoteRef/>
      </w:r>
      <w:r w:rsidRPr="00C1535B">
        <w:rPr>
          <w:rFonts w:asciiTheme="minorBidi" w:hAnsiTheme="minorBidi" w:cstheme="minorBidi"/>
          <w:sz w:val="20"/>
          <w:szCs w:val="20"/>
        </w:rPr>
        <w:t xml:space="preserve"> ASEAN (2024) </w:t>
      </w:r>
      <w:r w:rsidR="00625AB4">
        <w:rPr>
          <w:rFonts w:asciiTheme="minorBidi" w:hAnsiTheme="minorBidi" w:cstheme="minorBidi"/>
          <w:sz w:val="20"/>
          <w:szCs w:val="20"/>
        </w:rPr>
        <w:t xml:space="preserve">Hướng dẫn </w:t>
      </w:r>
      <w:r w:rsidRPr="00C1535B">
        <w:rPr>
          <w:rFonts w:asciiTheme="minorBidi" w:hAnsiTheme="minorBidi" w:cstheme="minorBidi"/>
          <w:sz w:val="20"/>
          <w:szCs w:val="20"/>
        </w:rPr>
        <w:t xml:space="preserve">ASEAN </w:t>
      </w:r>
      <w:r w:rsidR="00625AB4">
        <w:rPr>
          <w:rFonts w:asciiTheme="minorBidi" w:hAnsiTheme="minorBidi" w:cstheme="minorBidi"/>
          <w:sz w:val="20"/>
          <w:szCs w:val="20"/>
        </w:rPr>
        <w:t>về quản lý và đạo đức AI</w:t>
      </w:r>
      <w:r w:rsidRPr="00C1535B">
        <w:rPr>
          <w:rFonts w:asciiTheme="minorBidi" w:hAnsiTheme="minorBidi" w:cstheme="minorBidi"/>
          <w:sz w:val="20"/>
          <w:szCs w:val="20"/>
        </w:rPr>
        <w:t xml:space="preserve">, </w:t>
      </w:r>
      <w:hyperlink r:id="rId12" w:history="1">
        <w:r w:rsidRPr="00C1535B">
          <w:rPr>
            <w:rStyle w:val="Hyperlink"/>
            <w:rFonts w:asciiTheme="minorBidi" w:hAnsiTheme="minorBidi" w:cstheme="minorBidi"/>
            <w:color w:val="auto"/>
            <w:sz w:val="20"/>
            <w:szCs w:val="20"/>
          </w:rPr>
          <w:t>https://asean.org/book/asean-guide-on-ai-governance-and-ethics/</w:t>
        </w:r>
      </w:hyperlink>
      <w:r w:rsidRPr="00C1535B">
        <w:rPr>
          <w:rFonts w:asciiTheme="minorBidi" w:hAnsiTheme="minorBidi" w:cstheme="minorBidi"/>
          <w:sz w:val="20"/>
          <w:szCs w:val="20"/>
        </w:rPr>
        <w:t xml:space="preserve"> </w:t>
      </w:r>
    </w:p>
  </w:footnote>
  <w:footnote w:id="17">
    <w:p w14:paraId="1537DE2E" w14:textId="15ED8C7C" w:rsidR="0081310A" w:rsidRPr="00C1535B" w:rsidRDefault="0081310A" w:rsidP="00081454">
      <w:pPr>
        <w:pStyle w:val="FootnoteText"/>
        <w:rPr>
          <w:rFonts w:asciiTheme="minorBidi" w:hAnsiTheme="minorBidi" w:cstheme="minorBidi"/>
        </w:rPr>
      </w:pPr>
      <w:r w:rsidRPr="00C1535B">
        <w:rPr>
          <w:rStyle w:val="FootnoteReference"/>
          <w:rFonts w:asciiTheme="minorBidi" w:hAnsiTheme="minorBidi" w:cstheme="minorBidi"/>
        </w:rPr>
        <w:footnoteRef/>
      </w:r>
      <w:r w:rsidR="00CF1836">
        <w:rPr>
          <w:rFonts w:asciiTheme="minorBidi" w:hAnsiTheme="minorBidi" w:cstheme="minorBidi"/>
        </w:rPr>
        <w:t xml:space="preserve">Báo cáo </w:t>
      </w:r>
      <w:r w:rsidRPr="00C1535B">
        <w:rPr>
          <w:rFonts w:asciiTheme="minorBidi" w:hAnsiTheme="minorBidi" w:cstheme="minorBidi"/>
        </w:rPr>
        <w:t xml:space="preserve">IDC (2022) </w:t>
      </w:r>
      <w:r w:rsidR="00CF1836">
        <w:rPr>
          <w:rFonts w:asciiTheme="minorBidi" w:hAnsiTheme="minorBidi" w:cstheme="minorBidi"/>
        </w:rPr>
        <w:t xml:space="preserve">Chi tiêu số ở Châu Á Thái Bình Dương đạt </w:t>
      </w:r>
      <w:r w:rsidRPr="00C1535B">
        <w:rPr>
          <w:rFonts w:asciiTheme="minorBidi" w:hAnsiTheme="minorBidi" w:cstheme="minorBidi"/>
        </w:rPr>
        <w:t xml:space="preserve">1.05 </w:t>
      </w:r>
      <w:r w:rsidR="00CF1836">
        <w:rPr>
          <w:rFonts w:asciiTheme="minorBidi" w:hAnsiTheme="minorBidi" w:cstheme="minorBidi"/>
        </w:rPr>
        <w:t xml:space="preserve">tỷ USD vào năm </w:t>
      </w:r>
      <w:r w:rsidRPr="00C1535B">
        <w:rPr>
          <w:rFonts w:asciiTheme="minorBidi" w:hAnsiTheme="minorBidi" w:cstheme="minorBidi"/>
        </w:rPr>
        <w:t xml:space="preserve">2026, </w:t>
      </w:r>
      <w:hyperlink r:id="rId13" w:history="1">
        <w:r w:rsidRPr="00C1535B">
          <w:rPr>
            <w:rStyle w:val="Hyperlink"/>
            <w:rFonts w:asciiTheme="minorBidi" w:hAnsiTheme="minorBidi" w:cstheme="minorBidi"/>
            <w:color w:val="auto"/>
          </w:rPr>
          <w:t>https://www.idc.com/getdoc.jsp?containerId=prAP49852022</w:t>
        </w:r>
      </w:hyperlink>
      <w:r w:rsidRPr="00C1535B">
        <w:rPr>
          <w:rFonts w:asciiTheme="minorBidi" w:hAnsiTheme="minorBidi" w:cstheme="minorBidi"/>
        </w:rPr>
        <w:t xml:space="preserve"> </w:t>
      </w:r>
    </w:p>
  </w:footnote>
  <w:footnote w:id="18">
    <w:p w14:paraId="1B533AF8" w14:textId="77777777" w:rsidR="0081310A" w:rsidRPr="00C1535B" w:rsidRDefault="0081310A" w:rsidP="00081454">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ISO (2024) ISO/TC 307, </w:t>
      </w:r>
      <w:hyperlink r:id="rId14" w:history="1">
        <w:r w:rsidRPr="00C1535B">
          <w:rPr>
            <w:rStyle w:val="Hyperlink"/>
            <w:rFonts w:asciiTheme="minorBidi" w:hAnsiTheme="minorBidi" w:cstheme="minorBidi"/>
            <w:color w:val="auto"/>
          </w:rPr>
          <w:t>https://www.iso.org/committee/6266604.html?view=participation</w:t>
        </w:r>
      </w:hyperlink>
      <w:r w:rsidRPr="00C1535B">
        <w:rPr>
          <w:rFonts w:asciiTheme="minorBidi" w:hAnsiTheme="minorBidi" w:cstheme="minorBidi"/>
        </w:rPr>
        <w:t xml:space="preserve"> </w:t>
      </w:r>
    </w:p>
  </w:footnote>
  <w:footnote w:id="19">
    <w:p w14:paraId="70CD306E" w14:textId="232B2241" w:rsidR="00921D8B" w:rsidRPr="00C1535B" w:rsidRDefault="00921D8B" w:rsidP="00921D8B">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CMU (2012) </w:t>
      </w:r>
      <w:r w:rsidR="00CF1836">
        <w:rPr>
          <w:rFonts w:asciiTheme="minorBidi" w:hAnsiTheme="minorBidi" w:cstheme="minorBidi"/>
        </w:rPr>
        <w:t>Vai trò của Tiêu chuẩn về khả năng tương tác của điện toán đám mây</w:t>
      </w:r>
      <w:r w:rsidRPr="00C1535B">
        <w:rPr>
          <w:rFonts w:asciiTheme="minorBidi" w:hAnsiTheme="minorBidi" w:cstheme="minorBidi"/>
        </w:rPr>
        <w:t xml:space="preserve">, </w:t>
      </w:r>
      <w:hyperlink r:id="rId15" w:history="1">
        <w:r w:rsidRPr="00C1535B">
          <w:rPr>
            <w:rStyle w:val="Hyperlink"/>
            <w:rFonts w:asciiTheme="minorBidi" w:hAnsiTheme="minorBidi" w:cstheme="minorBidi"/>
            <w:color w:val="auto"/>
          </w:rPr>
          <w:t>https://insights.sei.cmu.edu/documents/2235/2012_004_001_28143.pdf</w:t>
        </w:r>
      </w:hyperlink>
      <w:r w:rsidRPr="00C1535B">
        <w:rPr>
          <w:rFonts w:asciiTheme="minorBidi" w:hAnsiTheme="minorBidi" w:cstheme="minorBidi"/>
        </w:rPr>
        <w:t xml:space="preserve"> </w:t>
      </w:r>
    </w:p>
  </w:footnote>
  <w:footnote w:id="20">
    <w:p w14:paraId="19376972" w14:textId="7EEABE2C" w:rsidR="00921D8B" w:rsidRPr="00C1535B" w:rsidRDefault="00921D8B" w:rsidP="00921D8B">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CF1836">
        <w:rPr>
          <w:rFonts w:asciiTheme="minorBidi" w:hAnsiTheme="minorBidi" w:cstheme="minorBidi"/>
        </w:rPr>
        <w:t>Tác động kinh tế học</w:t>
      </w:r>
      <w:r w:rsidRPr="00C1535B">
        <w:rPr>
          <w:rFonts w:asciiTheme="minorBidi" w:hAnsiTheme="minorBidi" w:cstheme="minorBidi"/>
        </w:rPr>
        <w:t xml:space="preserve"> (2020) </w:t>
      </w:r>
      <w:r w:rsidR="00CF1836">
        <w:rPr>
          <w:rFonts w:asciiTheme="minorBidi" w:hAnsiTheme="minorBidi" w:cstheme="minorBidi"/>
        </w:rPr>
        <w:t xml:space="preserve">Hành trình đến đám mây ở </w:t>
      </w:r>
      <w:r w:rsidRPr="00C1535B">
        <w:rPr>
          <w:rFonts w:asciiTheme="minorBidi" w:hAnsiTheme="minorBidi" w:cstheme="minorBidi"/>
        </w:rPr>
        <w:t xml:space="preserve">ASEAN, </w:t>
      </w:r>
      <w:hyperlink r:id="rId16" w:history="1">
        <w:r w:rsidRPr="00C1535B">
          <w:rPr>
            <w:rStyle w:val="Hyperlink"/>
            <w:rFonts w:asciiTheme="minorBidi" w:hAnsiTheme="minorBidi" w:cstheme="minorBidi"/>
            <w:color w:val="auto"/>
          </w:rPr>
          <w:t>https://impact.economist.com/perspectives/sites/default/files/eiu_vmware_up_in_the_air_infographic.pdf</w:t>
        </w:r>
      </w:hyperlink>
    </w:p>
  </w:footnote>
  <w:footnote w:id="21">
    <w:p w14:paraId="32628591" w14:textId="69259E4B" w:rsidR="00921D8B" w:rsidRPr="00C1535B" w:rsidRDefault="00921D8B" w:rsidP="00921D8B">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Kloud9 (2024) </w:t>
      </w:r>
      <w:r w:rsidR="00CF1836">
        <w:rPr>
          <w:rFonts w:asciiTheme="minorBidi" w:hAnsiTheme="minorBidi" w:cstheme="minorBidi"/>
        </w:rPr>
        <w:t>Cuộc cách mạng và tác động của Điện toán đám mây trong kỷ nguyên số</w:t>
      </w:r>
      <w:r w:rsidRPr="00C1535B">
        <w:rPr>
          <w:rFonts w:asciiTheme="minorBidi" w:hAnsiTheme="minorBidi" w:cstheme="minorBidi"/>
        </w:rPr>
        <w:t xml:space="preserve">, </w:t>
      </w:r>
      <w:hyperlink r:id="rId17" w:history="1">
        <w:r w:rsidRPr="00C1535B">
          <w:rPr>
            <w:rStyle w:val="Hyperlink"/>
            <w:rFonts w:asciiTheme="minorBidi" w:hAnsiTheme="minorBidi" w:cstheme="minorBidi"/>
            <w:color w:val="auto"/>
          </w:rPr>
          <w:t>https://www.kloud9it.com/2024/03/the-evolution-and-impact-of-cloud-computing-in-the-digital-age/</w:t>
        </w:r>
      </w:hyperlink>
      <w:r w:rsidRPr="00C1535B">
        <w:rPr>
          <w:rFonts w:asciiTheme="minorBidi" w:hAnsiTheme="minorBidi" w:cstheme="minorBidi"/>
        </w:rPr>
        <w:t xml:space="preserve"> </w:t>
      </w:r>
    </w:p>
  </w:footnote>
  <w:footnote w:id="22">
    <w:p w14:paraId="14ED1874" w14:textId="77777777" w:rsidR="00921D8B" w:rsidRPr="00C1535B" w:rsidRDefault="00921D8B" w:rsidP="00921D8B">
      <w:pPr>
        <w:pStyle w:val="FootnoteText"/>
        <w:jc w:val="left"/>
        <w:rPr>
          <w:rFonts w:asciiTheme="minorBidi" w:hAnsiTheme="minorBidi" w:cstheme="minorBidi"/>
          <w:b/>
        </w:rPr>
      </w:pPr>
      <w:r w:rsidRPr="00C1535B">
        <w:rPr>
          <w:rStyle w:val="FootnoteReference"/>
          <w:rFonts w:asciiTheme="minorBidi" w:hAnsiTheme="minorBidi" w:cstheme="minorBidi"/>
        </w:rPr>
        <w:footnoteRef/>
      </w:r>
      <w:r w:rsidRPr="00C1535B">
        <w:rPr>
          <w:rFonts w:asciiTheme="minorBidi" w:hAnsiTheme="minorBidi" w:cstheme="minorBidi"/>
        </w:rPr>
        <w:t xml:space="preserve"> ISO (2024) ISO/IEC JTC 1/SC 27, </w:t>
      </w:r>
      <w:hyperlink r:id="rId18" w:history="1">
        <w:r w:rsidRPr="00C1535B">
          <w:rPr>
            <w:rStyle w:val="Hyperlink"/>
            <w:rFonts w:asciiTheme="minorBidi" w:hAnsiTheme="minorBidi" w:cstheme="minorBidi"/>
            <w:color w:val="auto"/>
          </w:rPr>
          <w:t>https://www.iso.org/committee/45306.html</w:t>
        </w:r>
      </w:hyperlink>
      <w:r w:rsidRPr="00C1535B">
        <w:rPr>
          <w:rFonts w:asciiTheme="minorBidi" w:hAnsiTheme="minorBidi" w:cstheme="minorBidi"/>
        </w:rPr>
        <w:t xml:space="preserve"> </w:t>
      </w:r>
    </w:p>
  </w:footnote>
  <w:footnote w:id="23">
    <w:p w14:paraId="168A8A78" w14:textId="77777777" w:rsidR="0081310A" w:rsidRPr="00C1535B" w:rsidRDefault="0081310A" w:rsidP="00081454">
      <w:pPr>
        <w:pStyle w:val="FootnoteText"/>
        <w:jc w:val="left"/>
        <w:rPr>
          <w:rFonts w:asciiTheme="minorBidi" w:hAnsiTheme="minorBidi" w:cstheme="minorBidi"/>
          <w:b/>
        </w:rPr>
      </w:pPr>
      <w:r w:rsidRPr="00C1535B">
        <w:rPr>
          <w:rStyle w:val="FootnoteReference"/>
          <w:rFonts w:asciiTheme="minorBidi" w:hAnsiTheme="minorBidi" w:cstheme="minorBidi"/>
        </w:rPr>
        <w:footnoteRef/>
      </w:r>
      <w:r w:rsidRPr="00C1535B">
        <w:rPr>
          <w:rFonts w:asciiTheme="minorBidi" w:hAnsiTheme="minorBidi" w:cstheme="minorBidi"/>
        </w:rPr>
        <w:t xml:space="preserve"> ISO (2024) ISO/IEC JTC 1/SC 27, </w:t>
      </w:r>
      <w:hyperlink r:id="rId19" w:history="1">
        <w:r w:rsidRPr="00C1535B">
          <w:rPr>
            <w:rStyle w:val="Hyperlink"/>
            <w:rFonts w:asciiTheme="minorBidi" w:hAnsiTheme="minorBidi" w:cstheme="minorBidi"/>
            <w:color w:val="auto"/>
          </w:rPr>
          <w:t>https://www.iso.org/committee/45306.html</w:t>
        </w:r>
      </w:hyperlink>
      <w:r w:rsidRPr="00C1535B">
        <w:rPr>
          <w:rFonts w:asciiTheme="minorBidi" w:hAnsiTheme="minorBidi" w:cstheme="minorBidi"/>
        </w:rPr>
        <w:t xml:space="preserve"> </w:t>
      </w:r>
    </w:p>
  </w:footnote>
  <w:footnote w:id="24">
    <w:p w14:paraId="6BE2A9E1" w14:textId="3DE66AA3" w:rsidR="00AC0974" w:rsidRPr="00C1535B" w:rsidRDefault="00AC0974" w:rsidP="00AC0974">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(2021) </w:t>
      </w:r>
      <w:r w:rsidR="00CF1836">
        <w:rPr>
          <w:rFonts w:asciiTheme="minorBidi" w:hAnsiTheme="minorBidi" w:cstheme="minorBidi"/>
        </w:rPr>
        <w:t xml:space="preserve">Lộ trình </w:t>
      </w:r>
      <w:r w:rsidRPr="00C1535B">
        <w:rPr>
          <w:rFonts w:asciiTheme="minorBidi" w:hAnsiTheme="minorBidi" w:cstheme="minorBidi"/>
        </w:rPr>
        <w:t xml:space="preserve">Bandar Seri Begawan, </w:t>
      </w:r>
      <w:hyperlink r:id="rId20" w:history="1">
        <w:r w:rsidRPr="00C1535B">
          <w:rPr>
            <w:rStyle w:val="Hyperlink"/>
            <w:rFonts w:asciiTheme="minorBidi" w:hAnsiTheme="minorBidi" w:cstheme="minorBidi"/>
            <w:color w:val="auto"/>
          </w:rPr>
          <w:t>https://asean.org/wp-content/uploads/2021/10/Bandar-Seri-Begawan-Roadmap-on-ASEAN-Digital-Transformation-Agenda_Endorsed.pdf</w:t>
        </w:r>
      </w:hyperlink>
      <w:r w:rsidRPr="00C1535B">
        <w:rPr>
          <w:rFonts w:asciiTheme="minorBidi" w:hAnsiTheme="minorBidi" w:cstheme="minorBidi"/>
        </w:rPr>
        <w:t xml:space="preserve"> </w:t>
      </w:r>
    </w:p>
  </w:footnote>
  <w:footnote w:id="25">
    <w:p w14:paraId="6D30823E" w14:textId="6C9A0180" w:rsidR="00AC0974" w:rsidRPr="00C1535B" w:rsidRDefault="00AC0974" w:rsidP="00AC0974">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(2021) </w:t>
      </w:r>
      <w:r w:rsidR="00CF1836">
        <w:rPr>
          <w:rFonts w:asciiTheme="minorBidi" w:hAnsiTheme="minorBidi" w:cstheme="minorBidi"/>
        </w:rPr>
        <w:t xml:space="preserve">Kế hoạch tổng thể số </w:t>
      </w:r>
      <w:r w:rsidRPr="00C1535B">
        <w:rPr>
          <w:rFonts w:asciiTheme="minorBidi" w:hAnsiTheme="minorBidi" w:cstheme="minorBidi"/>
        </w:rPr>
        <w:t xml:space="preserve">ASEAN 2025, </w:t>
      </w:r>
      <w:hyperlink r:id="rId21" w:history="1">
        <w:r w:rsidRPr="00C1535B">
          <w:rPr>
            <w:rStyle w:val="Hyperlink"/>
            <w:rFonts w:asciiTheme="minorBidi" w:hAnsiTheme="minorBidi" w:cstheme="minorBidi"/>
            <w:color w:val="auto"/>
          </w:rPr>
          <w:t>https://asean.org/book/asean-digital-masterplan-2025/</w:t>
        </w:r>
      </w:hyperlink>
      <w:r w:rsidRPr="00C1535B">
        <w:rPr>
          <w:rFonts w:asciiTheme="minorBidi" w:hAnsiTheme="minorBidi" w:cstheme="minorBidi"/>
        </w:rPr>
        <w:t xml:space="preserve"> </w:t>
      </w:r>
    </w:p>
  </w:footnote>
  <w:footnote w:id="26">
    <w:p w14:paraId="041C4FE1" w14:textId="1EC88B10" w:rsidR="00AC0974" w:rsidRPr="00C1535B" w:rsidRDefault="00AC0974" w:rsidP="00AC0974">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(2022) </w:t>
      </w:r>
      <w:r w:rsidR="00CF1836">
        <w:rPr>
          <w:rFonts w:asciiTheme="minorBidi" w:hAnsiTheme="minorBidi" w:cstheme="minorBidi"/>
        </w:rPr>
        <w:t xml:space="preserve">Chiến lược Hợp tác An ninh mạng </w:t>
      </w:r>
      <w:r w:rsidRPr="00C1535B">
        <w:rPr>
          <w:rFonts w:asciiTheme="minorBidi" w:hAnsiTheme="minorBidi" w:cstheme="minorBidi"/>
        </w:rPr>
        <w:t xml:space="preserve">ASEAN 2021-2025, </w:t>
      </w:r>
      <w:hyperlink r:id="rId22" w:history="1">
        <w:r w:rsidRPr="00C1535B">
          <w:rPr>
            <w:rStyle w:val="Hyperlink"/>
            <w:rFonts w:asciiTheme="minorBidi" w:hAnsiTheme="minorBidi" w:cstheme="minorBidi"/>
            <w:color w:val="auto"/>
          </w:rPr>
          <w:t>https://asean.org/wp-content/uploads/2022/02/01-ASEAN-Cybersecurity-Cooperation-Paper-2021-2025_final-23-0122.pdf</w:t>
        </w:r>
      </w:hyperlink>
      <w:r w:rsidRPr="00C1535B">
        <w:rPr>
          <w:rFonts w:asciiTheme="minorBidi" w:hAnsiTheme="minorBidi" w:cstheme="minorBidi"/>
        </w:rPr>
        <w:t xml:space="preserve"> </w:t>
      </w:r>
    </w:p>
  </w:footnote>
  <w:footnote w:id="27">
    <w:p w14:paraId="4115A4A6" w14:textId="7E86C2BF" w:rsidR="00AC0974" w:rsidRPr="00C1535B" w:rsidRDefault="00AC0974" w:rsidP="00AC0974">
      <w:pPr>
        <w:pStyle w:val="FootnoteText"/>
        <w:jc w:val="left"/>
        <w:rPr>
          <w:rFonts w:asciiTheme="minorBidi" w:hAnsiTheme="minorBidi" w:cstheme="minorBidi"/>
        </w:rPr>
      </w:pPr>
      <w:r w:rsidRPr="00C1535B">
        <w:rPr>
          <w:rFonts w:asciiTheme="minorBidi" w:hAnsiTheme="minorBidi" w:cstheme="minorBidi"/>
          <w:vertAlign w:val="superscript"/>
        </w:rPr>
        <w:footnoteRef/>
      </w:r>
      <w:r w:rsidRPr="00C1535B">
        <w:rPr>
          <w:rFonts w:asciiTheme="minorBidi" w:hAnsiTheme="minorBidi" w:cstheme="minorBidi"/>
        </w:rPr>
        <w:t xml:space="preserve"> ASEAN (2022) </w:t>
      </w:r>
      <w:r w:rsidR="00CF1836">
        <w:rPr>
          <w:rFonts w:asciiTheme="minorBidi" w:hAnsiTheme="minorBidi" w:cstheme="minorBidi"/>
        </w:rPr>
        <w:t xml:space="preserve">Hướng dẫn </w:t>
      </w:r>
      <w:r w:rsidRPr="00C1535B">
        <w:rPr>
          <w:rFonts w:asciiTheme="minorBidi" w:hAnsiTheme="minorBidi" w:cstheme="minorBidi"/>
        </w:rPr>
        <w:t xml:space="preserve">ASEAN </w:t>
      </w:r>
      <w:r w:rsidR="00CF1836">
        <w:rPr>
          <w:rFonts w:asciiTheme="minorBidi" w:hAnsiTheme="minorBidi" w:cstheme="minorBidi"/>
        </w:rPr>
        <w:t>về hài hòa hóa các tiêu chuẩn</w:t>
      </w:r>
      <w:r w:rsidRPr="00C1535B">
        <w:rPr>
          <w:rFonts w:asciiTheme="minorBidi" w:hAnsiTheme="minorBidi" w:cstheme="minorBidi"/>
        </w:rPr>
        <w:t xml:space="preserve">, </w:t>
      </w:r>
      <w:r w:rsidRPr="00C1535B">
        <w:rPr>
          <w:rFonts w:asciiTheme="minorBidi" w:hAnsiTheme="minorBidi" w:cstheme="minorBidi"/>
          <w:u w:val="single"/>
        </w:rPr>
        <w:t>https://asean.org/wp-content/uploads/2023/05/ASEAN-Guidelines-for-Harmonisation-of-Standards-2022-Version.pdf</w:t>
      </w:r>
    </w:p>
  </w:footnote>
  <w:footnote w:id="28">
    <w:p w14:paraId="034B0252" w14:textId="10B850A5" w:rsidR="002A09EA" w:rsidRPr="00C1535B" w:rsidRDefault="002A09EA" w:rsidP="002A09EA">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(2021) </w:t>
      </w:r>
      <w:r w:rsidR="00CF1836">
        <w:rPr>
          <w:rFonts w:asciiTheme="minorBidi" w:hAnsiTheme="minorBidi" w:cstheme="minorBidi"/>
        </w:rPr>
        <w:t xml:space="preserve">Hình ảnh minh họa </w:t>
      </w:r>
      <w:r w:rsidRPr="00C1535B">
        <w:rPr>
          <w:rFonts w:asciiTheme="minorBidi" w:hAnsiTheme="minorBidi" w:cstheme="minorBidi"/>
        </w:rPr>
        <w:t xml:space="preserve">DTSCWG, </w:t>
      </w:r>
      <w:hyperlink r:id="rId23" w:history="1">
        <w:r w:rsidRPr="00C1535B">
          <w:rPr>
            <w:rStyle w:val="Hyperlink"/>
            <w:rFonts w:asciiTheme="minorBidi" w:hAnsiTheme="minorBidi" w:cstheme="minorBidi"/>
            <w:color w:val="auto"/>
          </w:rPr>
          <w:t>https://asean.org/wp-content/uploads/2021/12/DTSCWG-Infographic-final.pdf</w:t>
        </w:r>
      </w:hyperlink>
      <w:r w:rsidRPr="00C1535B">
        <w:rPr>
          <w:rFonts w:asciiTheme="minorBidi" w:hAnsiTheme="minorBidi" w:cstheme="minorBidi"/>
        </w:rPr>
        <w:t xml:space="preserve"> </w:t>
      </w:r>
    </w:p>
  </w:footnote>
  <w:footnote w:id="29">
    <w:p w14:paraId="77E241EF" w14:textId="445B4B6F" w:rsidR="00120283" w:rsidRPr="00C1535B" w:rsidRDefault="00120283" w:rsidP="00120283">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(2021) </w:t>
      </w:r>
      <w:r w:rsidR="00E44250">
        <w:rPr>
          <w:rFonts w:asciiTheme="minorBidi" w:hAnsiTheme="minorBidi" w:cstheme="minorBidi"/>
        </w:rPr>
        <w:t xml:space="preserve">Kế hoạch tổng thế số </w:t>
      </w:r>
      <w:r w:rsidRPr="00C1535B">
        <w:rPr>
          <w:rFonts w:asciiTheme="minorBidi" w:hAnsiTheme="minorBidi" w:cstheme="minorBidi"/>
        </w:rPr>
        <w:t xml:space="preserve">ASEAN 2025, </w:t>
      </w:r>
      <w:hyperlink r:id="rId24" w:history="1">
        <w:r w:rsidRPr="00C1535B">
          <w:rPr>
            <w:rStyle w:val="Hyperlink"/>
            <w:rFonts w:asciiTheme="minorBidi" w:hAnsiTheme="minorBidi" w:cstheme="minorBidi"/>
            <w:color w:val="auto"/>
          </w:rPr>
          <w:t>https://asean.org/book/asean-digital-masterplan-2025/</w:t>
        </w:r>
      </w:hyperlink>
      <w:r w:rsidRPr="00C1535B">
        <w:rPr>
          <w:rStyle w:val="Hyperlink"/>
          <w:rFonts w:asciiTheme="minorBidi" w:hAnsiTheme="minorBidi" w:cstheme="minorBidi"/>
          <w:color w:val="auto"/>
        </w:rPr>
        <w:t xml:space="preserve"> </w:t>
      </w:r>
    </w:p>
  </w:footnote>
  <w:footnote w:id="30">
    <w:p w14:paraId="50F970F0" w14:textId="6613591C" w:rsidR="0081310A" w:rsidRPr="00C1535B" w:rsidRDefault="0081310A" w:rsidP="005F6D9A">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E44250">
        <w:rPr>
          <w:rFonts w:asciiTheme="minorBidi" w:hAnsiTheme="minorBidi" w:cstheme="minorBidi"/>
        </w:rPr>
        <w:t>Lưu ý</w:t>
      </w:r>
      <w:r w:rsidRPr="00C1535B">
        <w:rPr>
          <w:rFonts w:asciiTheme="minorBidi" w:hAnsiTheme="minorBidi" w:cstheme="minorBidi"/>
        </w:rPr>
        <w:t xml:space="preserve">: </w:t>
      </w:r>
      <w:r w:rsidR="00E44250">
        <w:rPr>
          <w:rFonts w:asciiTheme="minorBidi" w:hAnsiTheme="minorBidi" w:cstheme="minorBidi"/>
        </w:rPr>
        <w:t>Nội dung cụ thể các sáng kiến số này được nêu trong phần Phụ lục</w:t>
      </w:r>
      <w:r w:rsidRPr="00C1535B">
        <w:rPr>
          <w:rFonts w:asciiTheme="minorBidi" w:hAnsiTheme="minorBidi" w:cstheme="minorBidi"/>
        </w:rPr>
        <w:t xml:space="preserve">. </w:t>
      </w:r>
    </w:p>
  </w:footnote>
  <w:footnote w:id="31">
    <w:p w14:paraId="32FC69C5" w14:textId="686BC894" w:rsidR="00B83181" w:rsidRPr="00C1535B" w:rsidRDefault="00B83181" w:rsidP="00B83181">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(2021) </w:t>
      </w:r>
      <w:r w:rsidR="00FB6362">
        <w:rPr>
          <w:rFonts w:asciiTheme="minorBidi" w:hAnsiTheme="minorBidi" w:cstheme="minorBidi"/>
        </w:rPr>
        <w:t>Kế hoạch tổng thể số 2025</w:t>
      </w:r>
      <w:r w:rsidRPr="00C1535B">
        <w:rPr>
          <w:rFonts w:asciiTheme="minorBidi" w:hAnsiTheme="minorBidi" w:cstheme="minorBidi"/>
        </w:rPr>
        <w:t xml:space="preserve">, </w:t>
      </w:r>
      <w:hyperlink r:id="rId25" w:history="1">
        <w:r w:rsidRPr="00C1535B">
          <w:rPr>
            <w:rStyle w:val="Hyperlink"/>
            <w:rFonts w:asciiTheme="minorBidi" w:hAnsiTheme="minorBidi" w:cstheme="minorBidi"/>
            <w:color w:val="auto"/>
          </w:rPr>
          <w:t>https://asean.org/book/asean-digital-masterplan-2025/</w:t>
        </w:r>
      </w:hyperlink>
      <w:r w:rsidRPr="00C1535B">
        <w:rPr>
          <w:rFonts w:asciiTheme="minorBidi" w:hAnsiTheme="minorBidi" w:cstheme="minorBidi"/>
        </w:rPr>
        <w:t xml:space="preserve"> </w:t>
      </w:r>
    </w:p>
  </w:footnote>
  <w:footnote w:id="32">
    <w:p w14:paraId="033AF760" w14:textId="511F54C8" w:rsidR="00A50F82" w:rsidRPr="00C1535B" w:rsidRDefault="00A50F82" w:rsidP="00A50F82">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FB6362">
        <w:rPr>
          <w:lang w:val="es-ES"/>
        </w:rPr>
        <w:t>Tổ chức Thương mại Thế giới</w:t>
      </w:r>
      <w:r w:rsidRPr="00FD4695">
        <w:rPr>
          <w:lang w:val="es-ES"/>
        </w:rPr>
        <w:t xml:space="preserve"> (n.d.) </w:t>
      </w:r>
      <w:r w:rsidR="00FB6362">
        <w:rPr>
          <w:lang w:val="es-ES"/>
        </w:rPr>
        <w:t>Thông tin kỹ thuật về các rào cản kỹ thuật đối với thương mại</w:t>
      </w:r>
      <w:r w:rsidRPr="00FD4695">
        <w:rPr>
          <w:lang w:val="es-ES"/>
        </w:rPr>
        <w:t xml:space="preserve">, </w:t>
      </w:r>
      <w:hyperlink r:id="rId26" w:history="1">
        <w:r w:rsidRPr="00FD4695">
          <w:rPr>
            <w:rStyle w:val="Hyperlink"/>
            <w:color w:val="auto"/>
            <w:lang w:val="es-ES"/>
          </w:rPr>
          <w:t>https://www.wto.org/english/tratop_e/tbt_e/tbt_info_e.htm</w:t>
        </w:r>
      </w:hyperlink>
    </w:p>
  </w:footnote>
  <w:footnote w:id="33">
    <w:p w14:paraId="4364402E" w14:textId="5351B97D" w:rsidR="00A50F82" w:rsidRPr="00C1535B" w:rsidRDefault="00A50F82" w:rsidP="00A50F82">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FB6362">
        <w:rPr>
          <w:lang w:val="es-ES"/>
        </w:rPr>
        <w:t>Tổ chức Thương mại Thế giới</w:t>
      </w:r>
      <w:r w:rsidRPr="00FD4695">
        <w:rPr>
          <w:lang w:val="es-ES"/>
        </w:rPr>
        <w:t xml:space="preserve"> (n.d.) </w:t>
      </w:r>
      <w:r w:rsidR="00FB6362">
        <w:rPr>
          <w:lang w:val="es-ES"/>
        </w:rPr>
        <w:t>Thông tin kỹ thuật về các rào cản kỹ thuật đối với thương mại</w:t>
      </w:r>
      <w:r w:rsidRPr="00FD4695">
        <w:rPr>
          <w:lang w:val="es-ES"/>
        </w:rPr>
        <w:t xml:space="preserve">, </w:t>
      </w:r>
      <w:hyperlink r:id="rId27" w:history="1">
        <w:r w:rsidRPr="00FD4695">
          <w:rPr>
            <w:rStyle w:val="Hyperlink"/>
            <w:color w:val="auto"/>
            <w:lang w:val="es-ES"/>
          </w:rPr>
          <w:t>https://www.wto.org/english/tratop_e/tbt_e/tbt_info_e.htm</w:t>
        </w:r>
      </w:hyperlink>
    </w:p>
  </w:footnote>
  <w:footnote w:id="34">
    <w:p w14:paraId="5390E29D" w14:textId="00A8075F" w:rsidR="00A50F82" w:rsidRPr="00FD4695" w:rsidRDefault="00A50F82" w:rsidP="00A50F82">
      <w:pPr>
        <w:pStyle w:val="FootnoteText"/>
        <w:rPr>
          <w:lang w:val="es-ES"/>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FB6362">
        <w:rPr>
          <w:rFonts w:asciiTheme="minorBidi" w:hAnsiTheme="minorBidi" w:cstheme="minorBidi"/>
        </w:rPr>
        <w:t>Ủy ban Kỹ điện tử quốc tế</w:t>
      </w:r>
      <w:r w:rsidRPr="00C1535B">
        <w:rPr>
          <w:rFonts w:asciiTheme="minorBidi" w:hAnsiTheme="minorBidi" w:cstheme="minorBidi"/>
        </w:rPr>
        <w:t xml:space="preserve"> (n.d</w:t>
      </w:r>
      <w:r>
        <w:rPr>
          <w:rFonts w:asciiTheme="minorBidi" w:hAnsiTheme="minorBidi" w:cstheme="minorBidi"/>
        </w:rPr>
        <w:t>.</w:t>
      </w:r>
      <w:r w:rsidRPr="00C1535B">
        <w:rPr>
          <w:rFonts w:asciiTheme="minorBidi" w:hAnsiTheme="minorBidi" w:cstheme="minorBidi"/>
        </w:rPr>
        <w:t xml:space="preserve">) </w:t>
      </w:r>
      <w:r w:rsidR="00FB6362">
        <w:rPr>
          <w:rFonts w:asciiTheme="minorBidi" w:hAnsiTheme="minorBidi" w:cstheme="minorBidi"/>
        </w:rPr>
        <w:t>Tiêu chuẩn quốc tế</w:t>
      </w:r>
      <w:r w:rsidRPr="00C1535B">
        <w:rPr>
          <w:rFonts w:asciiTheme="minorBidi" w:hAnsiTheme="minorBidi" w:cstheme="minorBidi"/>
        </w:rPr>
        <w:t xml:space="preserve">, </w:t>
      </w:r>
      <w:hyperlink r:id="rId28" w:history="1">
        <w:r w:rsidRPr="00FD4695">
          <w:rPr>
            <w:rStyle w:val="Hyperlink"/>
            <w:color w:val="auto"/>
            <w:lang w:val="es-ES"/>
          </w:rPr>
          <w:t>https://www.iec.ch/publications/international-standards</w:t>
        </w:r>
      </w:hyperlink>
      <w:r w:rsidRPr="00FD4695">
        <w:rPr>
          <w:lang w:val="es-ES"/>
        </w:rPr>
        <w:t xml:space="preserve"> </w:t>
      </w:r>
    </w:p>
  </w:footnote>
  <w:footnote w:id="35">
    <w:p w14:paraId="299C2A06" w14:textId="6FA31171" w:rsidR="00A50F82" w:rsidRPr="00C1535B" w:rsidRDefault="00A50F82" w:rsidP="00A50F82">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FB6362">
        <w:rPr>
          <w:lang w:val="es-ES"/>
        </w:rPr>
        <w:t>Tổ chức Thương mại Thế giới</w:t>
      </w:r>
      <w:r w:rsidRPr="00FD4695">
        <w:rPr>
          <w:lang w:val="es-ES"/>
        </w:rPr>
        <w:t xml:space="preserve"> (n.d.) </w:t>
      </w:r>
      <w:r w:rsidR="00FB6362">
        <w:rPr>
          <w:lang w:val="es-ES"/>
        </w:rPr>
        <w:t>Thông tin kỹ thuật về các rào cản kỹ thuật đối với thương mại</w:t>
      </w:r>
      <w:r w:rsidRPr="00FD4695">
        <w:rPr>
          <w:lang w:val="es-ES"/>
        </w:rPr>
        <w:t xml:space="preserve">, </w:t>
      </w:r>
      <w:hyperlink r:id="rId29" w:history="1">
        <w:r w:rsidRPr="00FD4695">
          <w:rPr>
            <w:rStyle w:val="Hyperlink"/>
            <w:color w:val="auto"/>
            <w:lang w:val="es-ES"/>
          </w:rPr>
          <w:t>https://www.wto.org/english/tratop_e/tbt_e/tbt_info_e.htm</w:t>
        </w:r>
      </w:hyperlink>
    </w:p>
  </w:footnote>
  <w:footnote w:id="36">
    <w:p w14:paraId="08B2DE9B" w14:textId="376534F3" w:rsidR="00774710" w:rsidRPr="00C1535B" w:rsidRDefault="00774710" w:rsidP="00774710">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(2015) </w:t>
      </w:r>
      <w:r w:rsidR="00FB6362">
        <w:rPr>
          <w:rFonts w:asciiTheme="minorBidi" w:hAnsiTheme="minorBidi" w:cstheme="minorBidi"/>
        </w:rPr>
        <w:t>Hướng dẫn ASEAN về tiêu chuẩn, quy chuẩn kỹ thuật và thủ tục đánh giá sự phù hợp</w:t>
      </w:r>
      <w:r w:rsidRPr="00C1535B">
        <w:rPr>
          <w:rFonts w:asciiTheme="minorBidi" w:hAnsiTheme="minorBidi" w:cstheme="minorBidi"/>
        </w:rPr>
        <w:t xml:space="preserve">, </w:t>
      </w:r>
      <w:hyperlink r:id="rId30" w:history="1">
        <w:r w:rsidRPr="00C1535B">
          <w:rPr>
            <w:rStyle w:val="Hyperlink"/>
            <w:rFonts w:asciiTheme="minorBidi" w:hAnsiTheme="minorBidi" w:cstheme="minorBidi"/>
            <w:color w:val="auto"/>
          </w:rPr>
          <w:t>ASEAN-Guideline-on-Standards-Technical-Regulations-and-Conformity-Assessment-Procedures-1.pdf</w:t>
        </w:r>
      </w:hyperlink>
    </w:p>
  </w:footnote>
  <w:footnote w:id="37">
    <w:p w14:paraId="7E3E3DE4" w14:textId="7E49B7E9" w:rsidR="001A0BD1" w:rsidRPr="00C1535B" w:rsidRDefault="001A0BD1" w:rsidP="001A0BD1">
      <w:pPr>
        <w:pStyle w:val="FootnoteText"/>
        <w:rPr>
          <w:rFonts w:asciiTheme="minorBidi" w:hAnsiTheme="minorBidi" w:cstheme="minorBidi"/>
        </w:rPr>
      </w:pPr>
      <w:r w:rsidRPr="00C1535B">
        <w:rPr>
          <w:rStyle w:val="FootnoteReference"/>
          <w:rFonts w:asciiTheme="minorBidi" w:hAnsiTheme="minorBidi" w:cstheme="minorBidi"/>
        </w:rPr>
        <w:footnoteRef/>
      </w:r>
      <w:r w:rsidRPr="00FD4695">
        <w:t xml:space="preserve"> ASEAN (2009) </w:t>
      </w:r>
      <w:r w:rsidR="00FB6362">
        <w:t>Hiệp định Thương mại hàng hóa ASEAN</w:t>
      </w:r>
      <w:r w:rsidRPr="00FD4695">
        <w:t>,</w:t>
      </w:r>
      <w:hyperlink r:id="rId31" w:history="1">
        <w:r w:rsidRPr="00FD4695">
          <w:rPr>
            <w:rStyle w:val="Hyperlink"/>
            <w:color w:val="auto"/>
          </w:rPr>
          <w:t>https://asean.org/wp-content/uploads/2020/12/ASEAN-Trade-in-Goods-Agreement-Cha-am-Thailand-26-February-2009.pdf</w:t>
        </w:r>
      </w:hyperlink>
      <w:r w:rsidRPr="00FD4695">
        <w:t xml:space="preserve"> </w:t>
      </w:r>
    </w:p>
  </w:footnote>
  <w:footnote w:id="38">
    <w:p w14:paraId="5825FE95" w14:textId="6A6A56ED" w:rsidR="00477849" w:rsidRPr="00C1535B" w:rsidRDefault="00477849" w:rsidP="00477849">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FB6362">
        <w:t>Ban Thư ký ASEAN</w:t>
      </w:r>
      <w:r w:rsidRPr="00FD4695">
        <w:t xml:space="preserve"> (2015) </w:t>
      </w:r>
      <w:r w:rsidR="00FB6362">
        <w:t>Kế hoạch tổng thể Cộng đồng Kinh tế ASEAN 2025</w:t>
      </w:r>
      <w:r w:rsidRPr="00FD4695">
        <w:t>,</w:t>
      </w:r>
      <w:hyperlink r:id="rId32" w:history="1">
        <w:r w:rsidRPr="00FD4695">
          <w:rPr>
            <w:rStyle w:val="Hyperlink"/>
            <w:color w:val="auto"/>
          </w:rPr>
          <w:t>https://asean.org/wp-content/uploads/2021/08/AECBP_2025r_FINAL.pdf</w:t>
        </w:r>
      </w:hyperlink>
      <w:r w:rsidRPr="00C1535B">
        <w:rPr>
          <w:rFonts w:asciiTheme="minorBidi" w:hAnsiTheme="minorBidi" w:cstheme="minorBidi"/>
        </w:rPr>
        <w:t xml:space="preserve"> </w:t>
      </w:r>
    </w:p>
  </w:footnote>
  <w:footnote w:id="39">
    <w:p w14:paraId="0C08B6B3" w14:textId="564AD8E2" w:rsidR="00477849" w:rsidRPr="00C1535B" w:rsidRDefault="00477849" w:rsidP="00477849">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FB6362">
        <w:t>Ban Thư ký ASEAN</w:t>
      </w:r>
      <w:r w:rsidRPr="00FD4695">
        <w:t xml:space="preserve"> (2015) </w:t>
      </w:r>
      <w:r w:rsidR="00FB6362">
        <w:t>Kế hoạch tổng thể Cộng đồng Kinh tế ASEAN 2025</w:t>
      </w:r>
      <w:r w:rsidRPr="00FD4695">
        <w:t>,</w:t>
      </w:r>
      <w:hyperlink r:id="rId33" w:history="1">
        <w:r w:rsidRPr="00FD4695">
          <w:rPr>
            <w:rStyle w:val="Hyperlink"/>
            <w:color w:val="auto"/>
          </w:rPr>
          <w:t>https://asean.org/wp-content/uploads/2021/08/AECBP_2025r_FINAL.pdf</w:t>
        </w:r>
      </w:hyperlink>
    </w:p>
  </w:footnote>
  <w:footnote w:id="40">
    <w:p w14:paraId="63E99F89" w14:textId="169A2AB0" w:rsidR="00321816" w:rsidRPr="00C1535B" w:rsidRDefault="00321816" w:rsidP="00321816">
      <w:pPr>
        <w:pStyle w:val="FootnoteText"/>
        <w:rPr>
          <w:rFonts w:asciiTheme="minorBidi" w:hAnsiTheme="minorBidi" w:cstheme="minorBidi"/>
        </w:rPr>
      </w:pPr>
      <w:r w:rsidRPr="00C1535B">
        <w:rPr>
          <w:rStyle w:val="FootnoteReference"/>
          <w:rFonts w:asciiTheme="minorBidi" w:hAnsiTheme="minorBidi" w:cstheme="minorBidi"/>
        </w:rPr>
        <w:footnoteRef/>
      </w:r>
      <w:r w:rsidRPr="00FD4695">
        <w:t xml:space="preserve"> </w:t>
      </w:r>
      <w:r w:rsidR="00FB6362">
        <w:t>Ban Thư ký ASEAN</w:t>
      </w:r>
      <w:r w:rsidRPr="00FD4695">
        <w:t xml:space="preserve"> (2015) </w:t>
      </w:r>
      <w:r w:rsidR="00FB6362">
        <w:t>Hướng dẫn ASEAN về tiêu chuẩn, quy chuẩn kỹ thuật và thủ tục đánh giá sự phù hợp</w:t>
      </w:r>
      <w:r w:rsidRPr="00FD4695">
        <w:t>,</w:t>
      </w:r>
      <w:hyperlink r:id="rId34" w:history="1">
        <w:r w:rsidRPr="00FD4695">
          <w:rPr>
            <w:rStyle w:val="Hyperlink"/>
            <w:color w:val="auto"/>
          </w:rPr>
          <w:t>https://asean.org/wp-content/uploads/2017/09/ASEAN-Guidelines-on-Standards-Technical-Regulations-and-Conformity-Assessment-Procedures.pdf</w:t>
        </w:r>
      </w:hyperlink>
      <w:r w:rsidRPr="00FD4695">
        <w:t xml:space="preserve"> </w:t>
      </w:r>
    </w:p>
  </w:footnote>
  <w:footnote w:id="41">
    <w:p w14:paraId="56042DE9" w14:textId="129822E5" w:rsidR="002543D1" w:rsidRPr="00C1535B" w:rsidRDefault="002543D1" w:rsidP="002543D1">
      <w:pPr>
        <w:pStyle w:val="FootnoteText"/>
        <w:rPr>
          <w:rFonts w:asciiTheme="minorBidi" w:hAnsiTheme="minorBidi" w:cstheme="minorBidi"/>
        </w:rPr>
      </w:pPr>
      <w:r w:rsidRPr="00C1535B">
        <w:rPr>
          <w:rStyle w:val="FootnoteReference"/>
          <w:rFonts w:asciiTheme="minorBidi" w:hAnsiTheme="minorBidi" w:cstheme="minorBidi"/>
        </w:rPr>
        <w:footnoteRef/>
      </w:r>
      <w:r w:rsidR="00FB6362">
        <w:t>Ban Thư ký ASEAN</w:t>
      </w:r>
      <w:r w:rsidRPr="00FD4695">
        <w:t xml:space="preserve"> (2015) </w:t>
      </w:r>
      <w:r w:rsidR="00FB6362">
        <w:t>Hướng dẫn ASEAN về công nhận và đánh giá sự phù hợp</w:t>
      </w:r>
      <w:r w:rsidRPr="00FD4695">
        <w:t>,</w:t>
      </w:r>
      <w:hyperlink r:id="rId35" w:history="1">
        <w:r w:rsidRPr="00FD4695">
          <w:rPr>
            <w:rStyle w:val="Hyperlink"/>
            <w:color w:val="auto"/>
          </w:rPr>
          <w:t>https://asean.org/wp-content/uploads/images/2015/July/ASEAN_Guidelines_for_Accreditation_and_Conformity_Assessment/ASEAN_Guidelines_for_Accreditation_and_Conformity_Final.pdf</w:t>
        </w:r>
      </w:hyperlink>
      <w:r w:rsidRPr="00FD4695">
        <w:t xml:space="preserve"> </w:t>
      </w:r>
    </w:p>
  </w:footnote>
  <w:footnote w:id="42">
    <w:p w14:paraId="263B06C2" w14:textId="0B903BAF" w:rsidR="002543D1" w:rsidRPr="00C1535B" w:rsidRDefault="002543D1" w:rsidP="002543D1">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FD4695">
        <w:t xml:space="preserve"> </w:t>
      </w:r>
      <w:r w:rsidR="00FB6362">
        <w:t>Ban Thư ký ASEAN</w:t>
      </w:r>
      <w:r w:rsidRPr="00FD4695">
        <w:t xml:space="preserve"> (2018) </w:t>
      </w:r>
      <w:r w:rsidR="00FB6362">
        <w:t>Hướng dẫn xây dựng các thỏa thuận về thừa nhận lẫn nhau</w:t>
      </w:r>
      <w:r w:rsidRPr="00FD4695">
        <w:t xml:space="preserve"> (</w:t>
      </w:r>
      <w:r w:rsidR="00FB6362">
        <w:t>Tái bản lần 2</w:t>
      </w:r>
      <w:r w:rsidRPr="00FD4695">
        <w:t>),</w:t>
      </w:r>
      <w:hyperlink r:id="rId36" w:history="1">
        <w:r w:rsidRPr="00FD4695">
          <w:rPr>
            <w:rStyle w:val="Hyperlink"/>
            <w:color w:val="auto"/>
          </w:rPr>
          <w:t>https://asean.org/wp-content/uploads/2021/10/Guidelines-for-the-Development-of-MRAs-Second-Edition-September-2018.pdf</w:t>
        </w:r>
      </w:hyperlink>
      <w:r w:rsidRPr="00FD4695">
        <w:t xml:space="preserve"> </w:t>
      </w:r>
    </w:p>
  </w:footnote>
  <w:footnote w:id="43">
    <w:p w14:paraId="1A290A55" w14:textId="3E7054FD" w:rsidR="00EE1B55" w:rsidRPr="00C1535B" w:rsidRDefault="00EE1B55" w:rsidP="00EE1B55">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FD4695">
        <w:t xml:space="preserve"> ISO/IEC(2005) </w:t>
      </w:r>
      <w:r w:rsidR="00FB6362">
        <w:t>Việc áp dụng ở quy mô khu vực hoặc quốc gia các Tiêu chuẩn quốc tế và các thành quả quốc tế khác</w:t>
      </w:r>
      <w:r w:rsidRPr="00FD4695">
        <w:t>,</w:t>
      </w:r>
      <w:hyperlink r:id="rId37" w:history="1">
        <w:r w:rsidRPr="00FD4695">
          <w:rPr>
            <w:rStyle w:val="Hyperlink"/>
            <w:color w:val="auto"/>
          </w:rPr>
          <w:t>https://www.interamericancoalition-medtech.org/regulatory-convergence/wp-content/uploads/sites/4/2021/06/iso_iec_guide_21_regional_national_adoption_international_standards_part_1.pdf</w:t>
        </w:r>
      </w:hyperlink>
      <w:r w:rsidRPr="00FD4695">
        <w:t xml:space="preserve"> </w:t>
      </w:r>
    </w:p>
  </w:footnote>
  <w:footnote w:id="44">
    <w:p w14:paraId="334C28BE" w14:textId="783B652E" w:rsidR="005042DF" w:rsidRPr="00FD4695" w:rsidRDefault="005042DF" w:rsidP="005042DF">
      <w:pPr>
        <w:pStyle w:val="FootnoteText"/>
        <w:jc w:val="left"/>
        <w:rPr>
          <w:lang w:val="en-US"/>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FB6362">
        <w:rPr>
          <w:rFonts w:asciiTheme="minorBidi" w:hAnsiTheme="minorBidi" w:cstheme="minorBidi"/>
        </w:rPr>
        <w:t>Ban Thư ký ASEAN</w:t>
      </w:r>
      <w:r w:rsidRPr="00C1535B">
        <w:rPr>
          <w:rFonts w:asciiTheme="minorBidi" w:hAnsiTheme="minorBidi" w:cstheme="minorBidi"/>
        </w:rPr>
        <w:t xml:space="preserve"> (2023) </w:t>
      </w:r>
      <w:r w:rsidR="00FB6362">
        <w:rPr>
          <w:rFonts w:asciiTheme="minorBidi" w:hAnsiTheme="minorBidi" w:cstheme="minorBidi"/>
        </w:rPr>
        <w:t>Hướng dẫn ASEAN về hài hòa hóa các tiêu chuẩn</w:t>
      </w:r>
      <w:r w:rsidRPr="00C1535B">
        <w:rPr>
          <w:rFonts w:asciiTheme="minorBidi" w:hAnsiTheme="minorBidi" w:cstheme="minorBidi"/>
        </w:rPr>
        <w:t>,</w:t>
      </w:r>
      <w:hyperlink r:id="rId38" w:history="1">
        <w:r w:rsidRPr="00FD4695">
          <w:rPr>
            <w:rStyle w:val="Hyperlink"/>
            <w:color w:val="auto"/>
          </w:rPr>
          <w:t>https://asean.org/wp-content/uploads/2023/05/ASEAN-Guidelines-for-Harmonisation-of-Standards-2022-Version.pdf</w:t>
        </w:r>
      </w:hyperlink>
      <w:r w:rsidRPr="00FD4695">
        <w:t xml:space="preserve"> </w:t>
      </w:r>
    </w:p>
  </w:footnote>
  <w:footnote w:id="45">
    <w:p w14:paraId="138B597A" w14:textId="00D99F51" w:rsidR="0086304A" w:rsidRPr="00C1535B" w:rsidRDefault="0086304A" w:rsidP="0086304A">
      <w:pPr>
        <w:pStyle w:val="FootnoteText"/>
        <w:rPr>
          <w:rFonts w:asciiTheme="minorBidi" w:hAnsiTheme="minorBidi" w:cstheme="minorBidi"/>
        </w:rPr>
      </w:pPr>
      <w:r w:rsidRPr="00FD4695">
        <w:rPr>
          <w:rStyle w:val="FootnoteReference"/>
        </w:rPr>
        <w:footnoteRef/>
      </w:r>
      <w:r w:rsidRPr="00FD4695">
        <w:t xml:space="preserve"> ASEAN (n.d.) </w:t>
      </w:r>
      <w:r w:rsidR="00FB6362">
        <w:t xml:space="preserve">Các </w:t>
      </w:r>
      <w:r w:rsidRPr="00FD4695">
        <w:t>MRA</w:t>
      </w:r>
      <w:r w:rsidR="00FB6362">
        <w:t xml:space="preserve"> giúp các ngành </w:t>
      </w:r>
      <w:r w:rsidR="00224E23">
        <w:t>công nghiệp trong khu vực như thế nào</w:t>
      </w:r>
      <w:r w:rsidRPr="00FD4695">
        <w:t>,</w:t>
      </w:r>
      <w:hyperlink r:id="rId39" w:history="1">
        <w:r w:rsidRPr="00FD4695">
          <w:rPr>
            <w:rStyle w:val="Hyperlink"/>
            <w:color w:val="auto"/>
          </w:rPr>
          <w:t>https://asean.org/wp-content/uploads/2021/08/What-is-MRAs.pdf</w:t>
        </w:r>
      </w:hyperlink>
      <w:r w:rsidRPr="00C1535B">
        <w:rPr>
          <w:rFonts w:asciiTheme="minorBidi" w:hAnsiTheme="minorBidi" w:cstheme="minorBidi"/>
        </w:rPr>
        <w:t xml:space="preserve"> </w:t>
      </w:r>
    </w:p>
  </w:footnote>
  <w:footnote w:id="46">
    <w:p w14:paraId="52DC5EF7" w14:textId="7AF2B958" w:rsidR="00EF5C46" w:rsidRPr="00C1535B" w:rsidRDefault="00EF5C46" w:rsidP="00EF5C46">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ASEANstats (2024), </w:t>
      </w:r>
      <w:r w:rsidR="00224E23">
        <w:rPr>
          <w:rFonts w:asciiTheme="minorBidi" w:hAnsiTheme="minorBidi" w:cstheme="minorBidi"/>
        </w:rPr>
        <w:t xml:space="preserve">Số liệu </w:t>
      </w:r>
      <w:r w:rsidRPr="00C1535B">
        <w:rPr>
          <w:rFonts w:asciiTheme="minorBidi" w:hAnsiTheme="minorBidi" w:cstheme="minorBidi"/>
        </w:rPr>
        <w:t xml:space="preserve">ASEAN </w:t>
      </w:r>
      <w:r w:rsidR="00224E23">
        <w:rPr>
          <w:rFonts w:asciiTheme="minorBidi" w:hAnsiTheme="minorBidi" w:cstheme="minorBidi"/>
        </w:rPr>
        <w:t xml:space="preserve">quyển </w:t>
      </w:r>
      <w:r w:rsidRPr="00C1535B">
        <w:rPr>
          <w:rFonts w:asciiTheme="minorBidi" w:hAnsiTheme="minorBidi" w:cstheme="minorBidi"/>
        </w:rPr>
        <w:t xml:space="preserve">VIII, </w:t>
      </w:r>
      <w:r w:rsidR="00224E23">
        <w:rPr>
          <w:rFonts w:asciiTheme="minorBidi" w:hAnsiTheme="minorBidi" w:cstheme="minorBidi"/>
        </w:rPr>
        <w:t>5/</w:t>
      </w:r>
      <w:r w:rsidRPr="00C1535B">
        <w:rPr>
          <w:rFonts w:asciiTheme="minorBidi" w:hAnsiTheme="minorBidi" w:cstheme="minorBidi"/>
        </w:rPr>
        <w:t xml:space="preserve">2024, </w:t>
      </w:r>
      <w:hyperlink r:id="rId40" w:history="1">
        <w:r w:rsidRPr="00FD4695">
          <w:rPr>
            <w:rStyle w:val="Hyperlink"/>
            <w:color w:val="auto"/>
            <w:sz w:val="16"/>
            <w:szCs w:val="16"/>
          </w:rPr>
          <w:t>https://www.aseanstats.org/wp-content/uploads/2024/05/ASB-202405-03.pdf</w:t>
        </w:r>
      </w:hyperlink>
      <w:r w:rsidRPr="00C1535B">
        <w:rPr>
          <w:rFonts w:asciiTheme="minorBidi" w:hAnsiTheme="minorBidi" w:cstheme="minorBidi"/>
        </w:rPr>
        <w:t xml:space="preserve"> </w:t>
      </w:r>
    </w:p>
  </w:footnote>
  <w:footnote w:id="47">
    <w:p w14:paraId="68E60515" w14:textId="154FDEB3" w:rsidR="00EF5C46" w:rsidRPr="00C1535B" w:rsidRDefault="00EF5C46" w:rsidP="00EF5C46">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224E23">
        <w:rPr>
          <w:rFonts w:asciiTheme="minorBidi" w:hAnsiTheme="minorBidi" w:cstheme="minorBidi"/>
        </w:rPr>
        <w:t>Tạp chí ASEAN</w:t>
      </w:r>
      <w:r w:rsidRPr="00C1535B">
        <w:rPr>
          <w:rFonts w:asciiTheme="minorBidi" w:hAnsiTheme="minorBidi" w:cstheme="minorBidi"/>
        </w:rPr>
        <w:t xml:space="preserve"> (2024), </w:t>
      </w:r>
      <w:r w:rsidR="00224E23">
        <w:rPr>
          <w:rFonts w:asciiTheme="minorBidi" w:hAnsiTheme="minorBidi" w:cstheme="minorBidi"/>
        </w:rPr>
        <w:t>Điểm khởi đầu, không phải vạch đích</w:t>
      </w:r>
      <w:r w:rsidRPr="00C1535B">
        <w:rPr>
          <w:rFonts w:asciiTheme="minorBidi" w:hAnsiTheme="minorBidi" w:cstheme="minorBidi"/>
        </w:rPr>
        <w:t xml:space="preserve">: </w:t>
      </w:r>
      <w:r w:rsidR="00224E23">
        <w:rPr>
          <w:rFonts w:asciiTheme="minorBidi" w:hAnsiTheme="minorBidi" w:cstheme="minorBidi"/>
        </w:rPr>
        <w:t xml:space="preserve">Khung phục hồi tổng thể </w:t>
      </w:r>
      <w:r w:rsidRPr="00C1535B">
        <w:rPr>
          <w:rFonts w:asciiTheme="minorBidi" w:hAnsiTheme="minorBidi" w:cstheme="minorBidi"/>
        </w:rPr>
        <w:t xml:space="preserve">ASEAN, </w:t>
      </w:r>
      <w:hyperlink r:id="rId41" w:anchor=":~:text=Digitalisation%20efforts%2C%20such%20as%20optimising,million%20days%20of%20business%20operations" w:history="1">
        <w:r w:rsidRPr="00FD4695">
          <w:rPr>
            <w:rStyle w:val="Hyperlink"/>
            <w:color w:val="auto"/>
            <w:sz w:val="16"/>
            <w:szCs w:val="16"/>
          </w:rPr>
          <w:t>https://theaseanmagazine.asean.org/article/asean-comprehensive-recovery-framework/#:~:text=Digitalisation%20efforts%2C%20such%20as%20optimising,million%20days%20of%20business%20operations</w:t>
        </w:r>
      </w:hyperlink>
    </w:p>
  </w:footnote>
  <w:footnote w:id="48">
    <w:p w14:paraId="2C0A7289" w14:textId="749481AE" w:rsidR="00EF5C46" w:rsidRPr="00C1535B" w:rsidRDefault="00EF5C46" w:rsidP="00EF5C46">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224E23">
        <w:rPr>
          <w:rFonts w:asciiTheme="minorBidi" w:hAnsiTheme="minorBidi" w:cstheme="minorBidi"/>
        </w:rPr>
        <w:t>Ví dụ</w:t>
      </w:r>
      <w:r w:rsidRPr="00C1535B">
        <w:rPr>
          <w:rFonts w:asciiTheme="minorBidi" w:hAnsiTheme="minorBidi" w:cstheme="minorBidi"/>
        </w:rPr>
        <w:t xml:space="preserve">, </w:t>
      </w:r>
      <w:r w:rsidR="00224E23">
        <w:rPr>
          <w:rFonts w:asciiTheme="minorBidi" w:hAnsiTheme="minorBidi" w:cstheme="minorBidi"/>
        </w:rPr>
        <w:t xml:space="preserve">báo cáo của Viện Tiêu chuẩn Anh </w:t>
      </w:r>
      <w:r w:rsidRPr="00C1535B">
        <w:rPr>
          <w:rFonts w:asciiTheme="minorBidi" w:hAnsiTheme="minorBidi" w:cstheme="minorBidi"/>
        </w:rPr>
        <w:t xml:space="preserve">(BSI) </w:t>
      </w:r>
      <w:r w:rsidR="00224E23">
        <w:rPr>
          <w:rFonts w:asciiTheme="minorBidi" w:hAnsiTheme="minorBidi" w:cstheme="minorBidi"/>
        </w:rPr>
        <w:t xml:space="preserve">đã chỉ ra các tiêu chuẩn đóng góp </w:t>
      </w:r>
      <w:r w:rsidRPr="00C1535B">
        <w:rPr>
          <w:rFonts w:asciiTheme="minorBidi" w:hAnsiTheme="minorBidi" w:cstheme="minorBidi"/>
        </w:rPr>
        <w:t xml:space="preserve">37.4% </w:t>
      </w:r>
      <w:r w:rsidR="00224E23">
        <w:rPr>
          <w:rFonts w:asciiTheme="minorBidi" w:hAnsiTheme="minorBidi" w:cstheme="minorBidi"/>
        </w:rPr>
        <w:t>tăng năng suất hàng năm ở Anh</w:t>
      </w:r>
      <w:r w:rsidRPr="00C1535B">
        <w:rPr>
          <w:rFonts w:asciiTheme="minorBidi" w:hAnsiTheme="minorBidi" w:cstheme="minorBidi"/>
        </w:rPr>
        <w:t xml:space="preserve">, </w:t>
      </w:r>
      <w:r w:rsidR="00224E23">
        <w:rPr>
          <w:rFonts w:asciiTheme="minorBidi" w:hAnsiTheme="minorBidi" w:cstheme="minorBidi"/>
        </w:rPr>
        <w:t xml:space="preserve">quy ra khoảng </w:t>
      </w:r>
      <w:r w:rsidRPr="00C1535B">
        <w:rPr>
          <w:rFonts w:asciiTheme="minorBidi" w:hAnsiTheme="minorBidi" w:cstheme="minorBidi"/>
        </w:rPr>
        <w:t>15.63</w:t>
      </w:r>
      <w:r w:rsidR="00224E23">
        <w:rPr>
          <w:rFonts w:asciiTheme="minorBidi" w:hAnsiTheme="minorBidi" w:cstheme="minorBidi"/>
        </w:rPr>
        <w:t xml:space="preserve"> triệu </w:t>
      </w:r>
      <w:r w:rsidR="00224E23" w:rsidRPr="00224E23">
        <w:rPr>
          <w:rFonts w:asciiTheme="minorBidi" w:hAnsiTheme="minorBidi" w:cstheme="minorBidi"/>
        </w:rPr>
        <w:t>AUD</w:t>
      </w:r>
      <w:r w:rsidR="00224E23" w:rsidRPr="00224E23">
        <w:rPr>
          <w:rFonts w:asciiTheme="minorBidi" w:hAnsiTheme="minorBidi" w:cstheme="minorBidi"/>
        </w:rPr>
        <w:t xml:space="preserve"> </w:t>
      </w:r>
      <w:r w:rsidRPr="00C1535B">
        <w:rPr>
          <w:rFonts w:asciiTheme="minorBidi" w:hAnsiTheme="minorBidi" w:cstheme="minorBidi"/>
        </w:rPr>
        <w:t xml:space="preserve">GDP </w:t>
      </w:r>
      <w:r w:rsidR="00224E23">
        <w:rPr>
          <w:rFonts w:asciiTheme="minorBidi" w:hAnsiTheme="minorBidi" w:cstheme="minorBidi"/>
        </w:rPr>
        <w:t xml:space="preserve">năm </w:t>
      </w:r>
      <w:r w:rsidRPr="00C1535B">
        <w:rPr>
          <w:rFonts w:asciiTheme="minorBidi" w:hAnsiTheme="minorBidi" w:cstheme="minorBidi"/>
        </w:rPr>
        <w:t>2013. CEBR (2015).</w:t>
      </w:r>
      <w:r w:rsidRPr="00C1535B">
        <w:rPr>
          <w:rFonts w:asciiTheme="minorBidi" w:hAnsiTheme="minorBidi" w:cstheme="minorBidi"/>
          <w:i/>
        </w:rPr>
        <w:t xml:space="preserve"> </w:t>
      </w:r>
      <w:r w:rsidR="00224E23">
        <w:rPr>
          <w:rFonts w:asciiTheme="minorBidi" w:hAnsiTheme="minorBidi" w:cstheme="minorBidi"/>
          <w:iCs/>
        </w:rPr>
        <w:t>Đóng góp kinh tế của các tiêu chuẩn cho kinh tế Anh</w:t>
      </w:r>
      <w:r w:rsidRPr="00C1535B">
        <w:rPr>
          <w:rFonts w:asciiTheme="minorBidi" w:hAnsiTheme="minorBidi" w:cstheme="minorBidi"/>
        </w:rPr>
        <w:t xml:space="preserve">, </w:t>
      </w:r>
      <w:hyperlink r:id="rId42" w:history="1">
        <w:r w:rsidRPr="00FD4695">
          <w:rPr>
            <w:rStyle w:val="Hyperlink"/>
            <w:color w:val="auto"/>
            <w:sz w:val="16"/>
            <w:szCs w:val="16"/>
          </w:rPr>
          <w:t>https://www.bsigroup.com/LocalFiles/en-GB/standards/BSI-The-Economic-Contribution-of-Standards-to-the-UK-Economy-UK-EN.pdf</w:t>
        </w:r>
      </w:hyperlink>
      <w:r w:rsidRPr="00C1535B">
        <w:rPr>
          <w:rFonts w:asciiTheme="minorBidi" w:hAnsiTheme="minorBidi" w:cstheme="minorBidi"/>
        </w:rPr>
        <w:t xml:space="preserve"> </w:t>
      </w:r>
    </w:p>
  </w:footnote>
  <w:footnote w:id="49">
    <w:p w14:paraId="4D8A36B6" w14:textId="0123400F" w:rsidR="00907671" w:rsidRPr="00C1535B" w:rsidRDefault="00907671" w:rsidP="00907671">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Access Partnership (2020), </w:t>
      </w:r>
      <w:r w:rsidR="00224E23">
        <w:rPr>
          <w:rFonts w:asciiTheme="minorBidi" w:hAnsiTheme="minorBidi" w:cstheme="minorBidi"/>
        </w:rPr>
        <w:t xml:space="preserve">Hợp tác Kinh tế số </w:t>
      </w:r>
      <w:r w:rsidRPr="00C1535B">
        <w:rPr>
          <w:rFonts w:asciiTheme="minorBidi" w:hAnsiTheme="minorBidi" w:cstheme="minorBidi"/>
        </w:rPr>
        <w:t xml:space="preserve">Australia-Singapore </w:t>
      </w:r>
      <w:r w:rsidR="00224E23">
        <w:rPr>
          <w:rFonts w:asciiTheme="minorBidi" w:hAnsiTheme="minorBidi" w:cstheme="minorBidi"/>
        </w:rPr>
        <w:t>về tiêu chuẩn</w:t>
      </w:r>
      <w:r w:rsidRPr="00C1535B">
        <w:rPr>
          <w:rFonts w:asciiTheme="minorBidi" w:hAnsiTheme="minorBidi" w:cstheme="minorBidi"/>
        </w:rPr>
        <w:t xml:space="preserve">: </w:t>
      </w:r>
      <w:r w:rsidR="00224E23">
        <w:rPr>
          <w:rFonts w:asciiTheme="minorBidi" w:hAnsiTheme="minorBidi" w:cstheme="minorBidi"/>
        </w:rPr>
        <w:t>Báo cáo Nghiên cứu</w:t>
      </w:r>
      <w:r w:rsidRPr="00C1535B">
        <w:rPr>
          <w:rFonts w:asciiTheme="minorBidi" w:hAnsiTheme="minorBidi" w:cstheme="minorBidi"/>
        </w:rPr>
        <w:t xml:space="preserve">, </w:t>
      </w:r>
      <w:hyperlink r:id="rId43" w:history="1">
        <w:r w:rsidRPr="00FD4695">
          <w:rPr>
            <w:rStyle w:val="Hyperlink"/>
            <w:color w:val="auto"/>
            <w:sz w:val="16"/>
            <w:szCs w:val="16"/>
            <w:lang w:val="en-US"/>
          </w:rPr>
          <w:t>https://asean-au-dts.org/wp-content/uploads/2023/03/DTS_Australia-Singapore-Joint-Report.pdf</w:t>
        </w:r>
      </w:hyperlink>
      <w:r w:rsidRPr="00C1535B">
        <w:rPr>
          <w:rFonts w:asciiTheme="minorBidi" w:hAnsiTheme="minorBidi" w:cstheme="minorBidi"/>
        </w:rPr>
        <w:t xml:space="preserve"> </w:t>
      </w:r>
    </w:p>
  </w:footnote>
  <w:footnote w:id="50">
    <w:p w14:paraId="0B1E22F0" w14:textId="5208B3C6" w:rsidR="00F72080" w:rsidRPr="00C1535B" w:rsidRDefault="00F72080" w:rsidP="00F72080">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224E23">
        <w:rPr>
          <w:rFonts w:asciiTheme="minorBidi" w:hAnsiTheme="minorBidi" w:cstheme="minorBidi"/>
        </w:rPr>
        <w:t>Ủy ban APEC về Thương mại và Đầu tư</w:t>
      </w:r>
      <w:r w:rsidRPr="00C1535B">
        <w:rPr>
          <w:rFonts w:asciiTheme="minorBidi" w:hAnsiTheme="minorBidi" w:cstheme="minorBidi"/>
        </w:rPr>
        <w:t xml:space="preserve"> (2023). </w:t>
      </w:r>
      <w:r w:rsidR="00224E23">
        <w:rPr>
          <w:rFonts w:asciiTheme="minorBidi" w:hAnsiTheme="minorBidi" w:cstheme="minorBidi"/>
          <w:i/>
        </w:rPr>
        <w:t>Tác động kinh tế của việc áp dụng các quy định thương mại số</w:t>
      </w:r>
      <w:r w:rsidRPr="00C1535B">
        <w:rPr>
          <w:rFonts w:asciiTheme="minorBidi" w:hAnsiTheme="minorBidi" w:cstheme="minorBidi"/>
          <w:i/>
        </w:rPr>
        <w:t xml:space="preserve">: </w:t>
      </w:r>
      <w:r w:rsidR="00224E23">
        <w:rPr>
          <w:rFonts w:asciiTheme="minorBidi" w:hAnsiTheme="minorBidi" w:cstheme="minorBidi"/>
          <w:i/>
        </w:rPr>
        <w:t xml:space="preserve">Bằng chứng từ các nền kinh tế thành viên </w:t>
      </w:r>
      <w:r w:rsidRPr="00C1535B">
        <w:rPr>
          <w:rFonts w:asciiTheme="minorBidi" w:hAnsiTheme="minorBidi" w:cstheme="minorBidi"/>
          <w:i/>
        </w:rPr>
        <w:t>APEC.</w:t>
      </w:r>
      <w:r w:rsidRPr="00C1535B">
        <w:rPr>
          <w:rFonts w:asciiTheme="minorBidi" w:hAnsiTheme="minorBidi" w:cstheme="minorBidi"/>
        </w:rPr>
        <w:t xml:space="preserve"> </w:t>
      </w:r>
      <w:r w:rsidR="00224E23">
        <w:rPr>
          <w:rFonts w:asciiTheme="minorBidi" w:hAnsiTheme="minorBidi" w:cstheme="minorBidi"/>
        </w:rPr>
        <w:t>Có tại</w:t>
      </w:r>
      <w:r w:rsidRPr="00C1535B">
        <w:rPr>
          <w:rFonts w:asciiTheme="minorBidi" w:hAnsiTheme="minorBidi" w:cstheme="minorBidi"/>
        </w:rPr>
        <w:t xml:space="preserve">: </w:t>
      </w:r>
      <w:hyperlink r:id="rId44" w:history="1">
        <w:r w:rsidRPr="00FD4695">
          <w:rPr>
            <w:rStyle w:val="Hyperlink"/>
            <w:color w:val="auto"/>
            <w:sz w:val="16"/>
            <w:szCs w:val="16"/>
          </w:rPr>
          <w:t>https://www.apec.org/docs/default-source/publications/2023/3/economic-impact-of-adopting-digital-trade-rules-evidence-from-apec-member-economies/223_cti_economic-impact-of-adopting-digital-trade-rules.pdf</w:t>
        </w:r>
      </w:hyperlink>
    </w:p>
  </w:footnote>
  <w:footnote w:id="51">
    <w:p w14:paraId="46716EF4" w14:textId="6774DEDB" w:rsidR="00F72080" w:rsidRPr="00C1535B" w:rsidRDefault="00F72080" w:rsidP="00F72080">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Shepherd </w:t>
      </w:r>
      <w:r w:rsidR="007677A4">
        <w:rPr>
          <w:rFonts w:asciiTheme="minorBidi" w:hAnsiTheme="minorBidi" w:cstheme="minorBidi"/>
        </w:rPr>
        <w:t>và</w:t>
      </w:r>
      <w:r w:rsidRPr="00C1535B">
        <w:rPr>
          <w:rFonts w:asciiTheme="minorBidi" w:hAnsiTheme="minorBidi" w:cstheme="minorBidi"/>
        </w:rPr>
        <w:t xml:space="preserve"> Duval (2015). </w:t>
      </w:r>
      <w:r w:rsidR="007677A4">
        <w:rPr>
          <w:rFonts w:asciiTheme="minorBidi" w:hAnsiTheme="minorBidi" w:cstheme="minorBidi"/>
          <w:i/>
          <w:iCs/>
        </w:rPr>
        <w:t>Ước tính các lợi ích từ thương mại phi giấy tờ xuyên biên giới ở châu Á Thái Bình Dương</w:t>
      </w:r>
      <w:r w:rsidRPr="00C1535B">
        <w:rPr>
          <w:rFonts w:asciiTheme="minorBidi" w:hAnsiTheme="minorBidi" w:cstheme="minorBidi"/>
          <w:i/>
        </w:rPr>
        <w:t>.</w:t>
      </w:r>
      <w:r w:rsidRPr="00C1535B">
        <w:rPr>
          <w:rFonts w:asciiTheme="minorBidi" w:hAnsiTheme="minorBidi" w:cstheme="minorBidi"/>
        </w:rPr>
        <w:t xml:space="preserve"> ESCAP. </w:t>
      </w:r>
      <w:r w:rsidR="007677A4">
        <w:rPr>
          <w:rFonts w:asciiTheme="minorBidi" w:hAnsiTheme="minorBidi" w:cstheme="minorBidi"/>
        </w:rPr>
        <w:t>Có tại</w:t>
      </w:r>
      <w:r w:rsidRPr="00C1535B">
        <w:rPr>
          <w:rFonts w:asciiTheme="minorBidi" w:hAnsiTheme="minorBidi" w:cstheme="minorBidi"/>
        </w:rPr>
        <w:t xml:space="preserve">: </w:t>
      </w:r>
      <w:hyperlink r:id="rId45" w:history="1">
        <w:r w:rsidRPr="00FD4695">
          <w:rPr>
            <w:rStyle w:val="Hyperlink"/>
            <w:color w:val="auto"/>
            <w:sz w:val="16"/>
            <w:szCs w:val="16"/>
          </w:rPr>
          <w:t>https://www.unescap.org/sites/default/d8files/Part%20II_Chapter%20V_Estimating%20the%20benefits%20of%20cross-border%20paperless%20trade_0.pdf</w:t>
        </w:r>
      </w:hyperlink>
      <w:r w:rsidRPr="00C1535B">
        <w:rPr>
          <w:rFonts w:asciiTheme="minorBidi" w:hAnsiTheme="minorBidi" w:cstheme="minorBidi"/>
        </w:rPr>
        <w:t xml:space="preserve"> </w:t>
      </w:r>
    </w:p>
  </w:footnote>
  <w:footnote w:id="52">
    <w:p w14:paraId="697E6D7E" w14:textId="008F3C30" w:rsidR="00BF73D9" w:rsidRPr="00C1535B" w:rsidRDefault="00BF73D9" w:rsidP="00BF73D9">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7677A4">
        <w:rPr>
          <w:rFonts w:asciiTheme="minorBidi" w:hAnsiTheme="minorBidi" w:cstheme="minorBidi"/>
        </w:rPr>
        <w:t>Sáng kiến Tiêu chuẩn thương mại số ASEAN-Australia</w:t>
      </w:r>
      <w:r w:rsidRPr="00C1535B">
        <w:rPr>
          <w:rFonts w:asciiTheme="minorBidi" w:hAnsiTheme="minorBidi" w:cstheme="minorBidi"/>
        </w:rPr>
        <w:t xml:space="preserve"> (n.d.) </w:t>
      </w:r>
      <w:r w:rsidR="007677A4">
        <w:rPr>
          <w:rFonts w:asciiTheme="minorBidi" w:hAnsiTheme="minorBidi" w:cstheme="minorBidi"/>
        </w:rPr>
        <w:t>Tầm quan trọng của các Tiêu chuẩn quốc tế</w:t>
      </w:r>
      <w:r w:rsidRPr="00C1535B">
        <w:rPr>
          <w:rFonts w:asciiTheme="minorBidi" w:hAnsiTheme="minorBidi" w:cstheme="minorBidi"/>
          <w:i/>
        </w:rPr>
        <w:t xml:space="preserve">, </w:t>
      </w:r>
      <w:hyperlink r:id="rId46" w:history="1">
        <w:r w:rsidRPr="00FD4695">
          <w:rPr>
            <w:rStyle w:val="Hyperlink"/>
            <w:color w:val="auto"/>
            <w:sz w:val="16"/>
            <w:szCs w:val="16"/>
          </w:rPr>
          <w:t>https://asean-au-dts.org/importance-of-international-standards/</w:t>
        </w:r>
      </w:hyperlink>
    </w:p>
  </w:footnote>
  <w:footnote w:id="53">
    <w:p w14:paraId="321F7518" w14:textId="613BD080" w:rsidR="00AD1C14" w:rsidRPr="00C1535B" w:rsidRDefault="00AD1C14" w:rsidP="00AD1C14">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7677A4">
        <w:rPr>
          <w:rFonts w:asciiTheme="minorBidi" w:hAnsiTheme="minorBidi" w:cstheme="minorBidi"/>
        </w:rPr>
        <w:t>Đại học Lucerne</w:t>
      </w:r>
      <w:r w:rsidRPr="00C1535B">
        <w:rPr>
          <w:rFonts w:asciiTheme="minorBidi" w:hAnsiTheme="minorBidi" w:cstheme="minorBidi"/>
        </w:rPr>
        <w:t xml:space="preserve"> (2023) TAPED, </w:t>
      </w:r>
      <w:hyperlink r:id="rId47" w:history="1">
        <w:r w:rsidRPr="00FD4695">
          <w:rPr>
            <w:rStyle w:val="Hyperlink"/>
            <w:color w:val="auto"/>
            <w:sz w:val="16"/>
            <w:szCs w:val="16"/>
          </w:rPr>
          <w:t>https://www.unilu.ch/en/faculties/faculty-of-law/professorships/burri-mira/research/taped/</w:t>
        </w:r>
      </w:hyperlink>
    </w:p>
  </w:footnote>
  <w:footnote w:id="54">
    <w:p w14:paraId="02C50004" w14:textId="613D27C9" w:rsidR="00AD1C14" w:rsidRPr="00C1535B" w:rsidRDefault="00AD1C14" w:rsidP="00AD1C14">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ISEAS (2021) </w:t>
      </w:r>
      <w:r w:rsidR="007677A4">
        <w:rPr>
          <w:rFonts w:asciiTheme="minorBidi" w:hAnsiTheme="minorBidi" w:cstheme="minorBidi"/>
        </w:rPr>
        <w:t xml:space="preserve">Cam kết số trong các FTA của </w:t>
      </w:r>
      <w:r w:rsidRPr="00C1535B">
        <w:rPr>
          <w:rFonts w:asciiTheme="minorBidi" w:hAnsiTheme="minorBidi" w:cstheme="minorBidi"/>
        </w:rPr>
        <w:t>ASEAN, https://www.iseas.edu.sg/articles-commentaries/iseas-perspective/2021-163-digital-commitments-in-aseans-free-trade-agreements-by-tham-siew-yean/</w:t>
      </w:r>
    </w:p>
  </w:footnote>
  <w:footnote w:id="55">
    <w:p w14:paraId="520ED320" w14:textId="238E879E" w:rsidR="00300C65" w:rsidRPr="00C1535B" w:rsidRDefault="00300C65" w:rsidP="00300C65">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UNESCAP (2022) </w:t>
      </w:r>
      <w:r w:rsidR="001A53CC">
        <w:rPr>
          <w:rFonts w:asciiTheme="minorBidi" w:hAnsiTheme="minorBidi" w:cstheme="minorBidi"/>
        </w:rPr>
        <w:t>Các hiệp định thương mại ở châu Á – Thái Bình Dương</w:t>
      </w:r>
      <w:r w:rsidRPr="00C1535B">
        <w:rPr>
          <w:rFonts w:asciiTheme="minorBidi" w:hAnsiTheme="minorBidi" w:cstheme="minorBidi"/>
        </w:rPr>
        <w:t xml:space="preserve">: </w:t>
      </w:r>
      <w:r w:rsidR="001A53CC">
        <w:rPr>
          <w:rFonts w:asciiTheme="minorBidi" w:hAnsiTheme="minorBidi" w:cstheme="minorBidi"/>
        </w:rPr>
        <w:t>Phát triển bền vững rộng hơn, sâu hơn, số và tương hỗ hơn</w:t>
      </w:r>
      <w:r w:rsidRPr="00C1535B">
        <w:rPr>
          <w:rFonts w:asciiTheme="minorBidi" w:hAnsiTheme="minorBidi" w:cstheme="minorBidi"/>
        </w:rPr>
        <w:t xml:space="preserve">?, </w:t>
      </w:r>
      <w:hyperlink r:id="rId48" w:history="1">
        <w:r w:rsidRPr="00FD4695">
          <w:rPr>
            <w:rStyle w:val="Hyperlink"/>
            <w:color w:val="auto"/>
            <w:sz w:val="16"/>
            <w:szCs w:val="16"/>
          </w:rPr>
          <w:t>https://www.unescap.org/kp/2022/trade-agreements-asia-and-pacific-bigger-deeper-digital-and-more-supportive-sustainable-20222023</w:t>
        </w:r>
      </w:hyperlink>
    </w:p>
  </w:footnote>
  <w:footnote w:id="56">
    <w:p w14:paraId="5B440ECF" w14:textId="1A1078BD" w:rsidR="00787BB3" w:rsidRPr="00C1535B" w:rsidRDefault="00787BB3" w:rsidP="00787BB3">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Compact (2020), </w:t>
      </w:r>
      <w:r w:rsidR="001A53CC">
        <w:rPr>
          <w:rFonts w:asciiTheme="minorBidi" w:hAnsiTheme="minorBidi" w:cstheme="minorBidi"/>
        </w:rPr>
        <w:t xml:space="preserve">Thách thức ngành hướng đến </w:t>
      </w:r>
      <w:r w:rsidRPr="00C1535B">
        <w:rPr>
          <w:rFonts w:asciiTheme="minorBidi" w:hAnsiTheme="minorBidi" w:cstheme="minorBidi"/>
        </w:rPr>
        <w:t xml:space="preserve">ISO 20022 </w:t>
      </w:r>
      <w:r w:rsidR="001A53CC">
        <w:rPr>
          <w:rFonts w:asciiTheme="minorBidi" w:hAnsiTheme="minorBidi" w:cstheme="minorBidi"/>
        </w:rPr>
        <w:t>như một tiêu chuẩn thanh toán toàn cầu</w:t>
      </w:r>
      <w:r w:rsidRPr="00C1535B">
        <w:rPr>
          <w:rFonts w:asciiTheme="minorBidi" w:hAnsiTheme="minorBidi" w:cstheme="minorBidi"/>
        </w:rPr>
        <w:t>,</w:t>
      </w:r>
      <w:r w:rsidRPr="00C1535B">
        <w:rPr>
          <w:rFonts w:asciiTheme="minorBidi" w:hAnsiTheme="minorBidi" w:cstheme="minorBidi"/>
          <w:i/>
        </w:rPr>
        <w:t xml:space="preserve"> </w:t>
      </w:r>
      <w:hyperlink r:id="rId49" w:history="1">
        <w:r w:rsidRPr="00FD4695">
          <w:rPr>
            <w:rStyle w:val="Hyperlink"/>
            <w:color w:val="auto"/>
            <w:sz w:val="16"/>
            <w:szCs w:val="16"/>
          </w:rPr>
          <w:t>https://www.compact.nl/pdf/C-2020-2-Ommen.pdf</w:t>
        </w:r>
      </w:hyperlink>
    </w:p>
  </w:footnote>
  <w:footnote w:id="57">
    <w:p w14:paraId="611AD829" w14:textId="63519639" w:rsidR="0081310A" w:rsidRPr="00C1535B" w:rsidRDefault="0081310A" w:rsidP="00A624F8">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1A53CC">
        <w:rPr>
          <w:rFonts w:asciiTheme="minorBidi" w:hAnsiTheme="minorBidi" w:cstheme="minorBidi"/>
        </w:rPr>
        <w:t>Ví dụ</w:t>
      </w:r>
      <w:r w:rsidRPr="00C1535B">
        <w:rPr>
          <w:rFonts w:asciiTheme="minorBidi" w:hAnsiTheme="minorBidi" w:cstheme="minorBidi"/>
        </w:rPr>
        <w:t xml:space="preserve">, </w:t>
      </w:r>
      <w:r w:rsidR="001A53CC">
        <w:rPr>
          <w:rFonts w:asciiTheme="minorBidi" w:hAnsiTheme="minorBidi" w:cstheme="minorBidi"/>
        </w:rPr>
        <w:t xml:space="preserve">khi </w:t>
      </w:r>
      <w:r w:rsidR="001A53CC" w:rsidRPr="001A53CC">
        <w:rPr>
          <w:rFonts w:asciiTheme="minorBidi" w:hAnsiTheme="minorBidi" w:cstheme="minorBidi"/>
        </w:rPr>
        <w:t>triển khai thương mại không giấy tờ, các quy định trong Hiệp định Thương mại tự do ASEAN – Australia – New Zealand (AANZFTA) chỉ yêu cầu các Bên ký kết hợp tác tại các diễn đàn quốc tế nhằm tăng cường sự chấp nhận lẫn nhau đối với các chứng từ điện tử trong thương mại. Điều này trái ngược với Hiệp định Kinh tế số Singapore – Australia (SADEA), theo đó các Bên ký kết có nghĩa vụ chấp nhận các chứng từ điện tử trong thương mại, đồng thời nỗ lực hướng tới việc thiết lập cơ chế một cửa và phát triển các hệ thống trao đổi dữ liệu nhằm thúc đẩy thương mại không giấy tờ</w:t>
      </w:r>
      <w:r w:rsidRPr="00C1535B">
        <w:rPr>
          <w:rFonts w:asciiTheme="minorBidi" w:hAnsiTheme="minorBidi" w:cstheme="minorBidi"/>
        </w:rPr>
        <w:t xml:space="preserve">. </w:t>
      </w:r>
    </w:p>
  </w:footnote>
  <w:footnote w:id="58">
    <w:p w14:paraId="3A9BB159" w14:textId="12BCBEA0" w:rsidR="00A13493" w:rsidRPr="00615F69" w:rsidRDefault="00A13493" w:rsidP="00A13493">
      <w:pPr>
        <w:pStyle w:val="FootnoteText"/>
        <w:rPr>
          <w:rFonts w:asciiTheme="minorBidi" w:hAnsiTheme="minorBidi" w:cstheme="minorBidi"/>
          <w:sz w:val="16"/>
          <w:szCs w:val="16"/>
        </w:rPr>
      </w:pPr>
      <w:r w:rsidRPr="00615F69">
        <w:rPr>
          <w:rStyle w:val="FootnoteReference"/>
          <w:rFonts w:asciiTheme="minorBidi" w:hAnsiTheme="minorBidi" w:cstheme="minorBidi"/>
        </w:rPr>
        <w:footnoteRef/>
      </w:r>
      <w:r w:rsidRPr="00615F69">
        <w:rPr>
          <w:rFonts w:asciiTheme="minorBidi" w:hAnsiTheme="minorBidi" w:cstheme="minorBidi"/>
        </w:rPr>
        <w:t xml:space="preserve"> WTO (2016) </w:t>
      </w:r>
      <w:r w:rsidR="001A53CC">
        <w:rPr>
          <w:rFonts w:asciiTheme="minorBidi" w:hAnsiTheme="minorBidi" w:cstheme="minorBidi"/>
        </w:rPr>
        <w:t>Hướng dẫn nâng cao về phân tích chính sách thương mại: Mô hình lực hấp dẫn cấu trúc</w:t>
      </w:r>
      <w:r w:rsidRPr="00615F69">
        <w:rPr>
          <w:rFonts w:asciiTheme="minorBidi" w:hAnsiTheme="minorBidi" w:cstheme="minorBidi"/>
        </w:rPr>
        <w:t xml:space="preserve">, </w:t>
      </w:r>
      <w:hyperlink r:id="rId50" w:history="1">
        <w:r w:rsidRPr="00615F69">
          <w:rPr>
            <w:rStyle w:val="Hyperlink"/>
            <w:color w:val="auto"/>
          </w:rPr>
          <w:t>https://unctad.org/system/files/official-document/gds2016d3_en.pdf</w:t>
        </w:r>
      </w:hyperlink>
      <w:r w:rsidRPr="00615F69">
        <w:rPr>
          <w:rFonts w:asciiTheme="minorBidi" w:hAnsiTheme="minorBidi" w:cstheme="minorBidi"/>
        </w:rPr>
        <w:t xml:space="preserve"> </w:t>
      </w:r>
    </w:p>
  </w:footnote>
  <w:footnote w:id="59">
    <w:p w14:paraId="64328F89" w14:textId="38629AB7" w:rsidR="00A13493" w:rsidRPr="00615F69" w:rsidRDefault="00A13493" w:rsidP="00A13493">
      <w:pPr>
        <w:pStyle w:val="FootnoteText"/>
        <w:rPr>
          <w:rFonts w:asciiTheme="minorBidi" w:hAnsiTheme="minorBidi" w:cstheme="minorBidi"/>
          <w:sz w:val="16"/>
          <w:szCs w:val="16"/>
        </w:rPr>
      </w:pPr>
      <w:r w:rsidRPr="00615F69">
        <w:rPr>
          <w:rStyle w:val="FootnoteReference"/>
          <w:rFonts w:asciiTheme="minorBidi" w:hAnsiTheme="minorBidi" w:cstheme="minorBidi"/>
        </w:rPr>
        <w:footnoteRef/>
      </w:r>
      <w:r w:rsidRPr="00615F69">
        <w:rPr>
          <w:rFonts w:asciiTheme="minorBidi" w:hAnsiTheme="minorBidi" w:cstheme="minorBidi"/>
        </w:rPr>
        <w:t xml:space="preserve"> WTO (2016) </w:t>
      </w:r>
      <w:r w:rsidR="001A53CC">
        <w:rPr>
          <w:rFonts w:asciiTheme="minorBidi" w:hAnsiTheme="minorBidi" w:cstheme="minorBidi"/>
        </w:rPr>
        <w:t>Hướng dẫn nâng cao về phân tích chính sách thương mại: Mô hình lực hấp dẫn cấu trúc</w:t>
      </w:r>
      <w:r w:rsidRPr="00615F69">
        <w:rPr>
          <w:rFonts w:asciiTheme="minorBidi" w:hAnsiTheme="minorBidi" w:cstheme="minorBidi"/>
        </w:rPr>
        <w:t xml:space="preserve">, </w:t>
      </w:r>
      <w:hyperlink r:id="rId51" w:history="1">
        <w:r w:rsidRPr="00615F69">
          <w:rPr>
            <w:rStyle w:val="Hyperlink"/>
            <w:color w:val="auto"/>
          </w:rPr>
          <w:t>https://unctad.org/system/files/official-document/gds2016d3_en.pdf</w:t>
        </w:r>
      </w:hyperlink>
      <w:r w:rsidRPr="00615F69">
        <w:rPr>
          <w:rFonts w:asciiTheme="minorBidi" w:hAnsiTheme="minorBidi" w:cstheme="minorBidi"/>
        </w:rPr>
        <w:t xml:space="preserve"> </w:t>
      </w:r>
    </w:p>
  </w:footnote>
  <w:footnote w:id="60">
    <w:p w14:paraId="2DC168B0" w14:textId="57F93311" w:rsidR="007702D0" w:rsidRPr="00615F69" w:rsidRDefault="007702D0" w:rsidP="001F0999">
      <w:pPr>
        <w:pStyle w:val="FootnoteText"/>
        <w:rPr>
          <w:rFonts w:asciiTheme="minorBidi" w:hAnsiTheme="minorBidi" w:cstheme="minorBidi"/>
        </w:rPr>
      </w:pPr>
      <w:r w:rsidRPr="00615F69">
        <w:rPr>
          <w:rStyle w:val="FootnoteReference"/>
          <w:rFonts w:asciiTheme="minorBidi" w:hAnsiTheme="minorBidi" w:cstheme="minorBidi"/>
        </w:rPr>
        <w:footnoteRef/>
      </w:r>
      <w:r w:rsidRPr="00615F69">
        <w:rPr>
          <w:rFonts w:asciiTheme="minorBidi" w:hAnsiTheme="minorBidi" w:cstheme="minorBidi"/>
        </w:rPr>
        <w:t xml:space="preserve"> </w:t>
      </w:r>
      <w:r w:rsidR="001F0999" w:rsidRPr="001F0999">
        <w:rPr>
          <w:rFonts w:asciiTheme="minorBidi" w:hAnsiTheme="minorBidi" w:cstheme="minorBidi"/>
        </w:rPr>
        <w:t>Các cơ quan quốc tế và các sáng kiến khu vực đã áp dụng nhiều định nghĩa khác nhau về tạo thuận lợi thương mại, trong đó nhấn mạnh vào các khía cạnh khác nhau của khái niệm này. Tại đây, chúng tôi áp dụng định nghĩa của UNESCAP, bao gồm các chính sách và quy trình giúp cắt giảm chi phí, thời gian và sự không chắc chắn liên quan đến việc tham gia vào thương mại quốc tế, nhưng loại trừ các công cụ thương mại truyền thống như thuế quan, hạn ngạch nhập khẩu và các rào cản phi thuế quan tương tự khác</w:t>
      </w:r>
      <w:r w:rsidR="001F0999">
        <w:rPr>
          <w:rFonts w:asciiTheme="minorBidi" w:hAnsiTheme="minorBidi" w:cstheme="minorBidi"/>
        </w:rPr>
        <w:t>.</w:t>
      </w:r>
      <w:r w:rsidR="001F0999" w:rsidRPr="001F0999">
        <w:rPr>
          <w:rFonts w:asciiTheme="minorBidi" w:hAnsiTheme="minorBidi" w:cstheme="minorBidi"/>
        </w:rPr>
        <w:t xml:space="preserve"> UNESCAP (2013), Thiết kế và Thực thi Tạo thuận lợi Thương mại tại Châu Á và Thái Bình Dương Bản cập nhật 2013</w:t>
      </w:r>
      <w:r w:rsidRPr="00615F69">
        <w:rPr>
          <w:rFonts w:asciiTheme="minorBidi" w:hAnsiTheme="minorBidi" w:cstheme="minorBidi"/>
        </w:rPr>
        <w:t xml:space="preserve">, </w:t>
      </w:r>
      <w:hyperlink r:id="rId52" w:history="1">
        <w:r w:rsidRPr="00615F69">
          <w:rPr>
            <w:rStyle w:val="Hyperlink"/>
            <w:color w:val="auto"/>
          </w:rPr>
          <w:t>https://www.unescap.org/sites/default/d8files/4%20-%20Part%20I_An%20Overview%20Of%20Trade%20Facilitation.pdf</w:t>
        </w:r>
      </w:hyperlink>
    </w:p>
  </w:footnote>
  <w:footnote w:id="61">
    <w:p w14:paraId="335CECBE" w14:textId="56C19359" w:rsidR="007702D0" w:rsidRPr="00615F69" w:rsidRDefault="007702D0" w:rsidP="007702D0">
      <w:pPr>
        <w:pStyle w:val="FootnoteText"/>
        <w:jc w:val="left"/>
        <w:rPr>
          <w:rFonts w:asciiTheme="minorBidi" w:hAnsiTheme="minorBidi" w:cstheme="minorBidi"/>
        </w:rPr>
      </w:pPr>
      <w:r w:rsidRPr="00615F69">
        <w:rPr>
          <w:rStyle w:val="FootnoteReference"/>
          <w:rFonts w:asciiTheme="minorBidi" w:hAnsiTheme="minorBidi" w:cstheme="minorBidi"/>
        </w:rPr>
        <w:footnoteRef/>
      </w:r>
      <w:r w:rsidRPr="00615F69">
        <w:rPr>
          <w:rFonts w:asciiTheme="minorBidi" w:hAnsiTheme="minorBidi" w:cstheme="minorBidi"/>
        </w:rPr>
        <w:t xml:space="preserve"> UNESCAP (2014), </w:t>
      </w:r>
      <w:r w:rsidR="001F0999">
        <w:rPr>
          <w:rFonts w:asciiTheme="minorBidi" w:hAnsiTheme="minorBidi" w:cstheme="minorBidi"/>
        </w:rPr>
        <w:t>Ước tính lợi ích của thương mại phi giấy tờ xuyên biên giới ở châu Á và Thái Bình Dương</w:t>
      </w:r>
      <w:r w:rsidRPr="00615F69">
        <w:rPr>
          <w:rFonts w:asciiTheme="minorBidi" w:hAnsiTheme="minorBidi" w:cstheme="minorBidi"/>
        </w:rPr>
        <w:t xml:space="preserve">, </w:t>
      </w:r>
      <w:hyperlink r:id="rId53" w:history="1">
        <w:r w:rsidRPr="00615F69">
          <w:rPr>
            <w:rStyle w:val="Hyperlink"/>
            <w:color w:val="auto"/>
          </w:rPr>
          <w:t>https://www.unescap.org/sites/default/d8files/Part%20II_Chapter%20V_Estimating%20the%20benefits%20of%20cross-border%20paperless%20trade_0.pdf</w:t>
        </w:r>
      </w:hyperlink>
      <w:r w:rsidRPr="00615F69">
        <w:rPr>
          <w:rFonts w:asciiTheme="minorBidi" w:hAnsiTheme="minorBidi" w:cstheme="minorBidi"/>
        </w:rPr>
        <w:t xml:space="preserve"> </w:t>
      </w:r>
    </w:p>
  </w:footnote>
  <w:footnote w:id="62">
    <w:p w14:paraId="5635D057" w14:textId="1C6E5CDC" w:rsidR="007702D0" w:rsidRPr="00615F69" w:rsidRDefault="007702D0" w:rsidP="007702D0">
      <w:pPr>
        <w:pStyle w:val="FootnoteText"/>
        <w:jc w:val="left"/>
        <w:rPr>
          <w:rFonts w:asciiTheme="minorBidi" w:hAnsiTheme="minorBidi" w:cstheme="minorBidi"/>
        </w:rPr>
      </w:pPr>
      <w:r w:rsidRPr="00615F69">
        <w:rPr>
          <w:rStyle w:val="FootnoteReference"/>
          <w:rFonts w:asciiTheme="minorBidi" w:hAnsiTheme="minorBidi" w:cstheme="minorBidi"/>
        </w:rPr>
        <w:footnoteRef/>
      </w:r>
      <w:r w:rsidRPr="00615F69">
        <w:rPr>
          <w:rFonts w:asciiTheme="minorBidi" w:hAnsiTheme="minorBidi" w:cstheme="minorBidi"/>
        </w:rPr>
        <w:t xml:space="preserve"> González, Sorescu </w:t>
      </w:r>
      <w:r w:rsidR="001F0999">
        <w:rPr>
          <w:rFonts w:asciiTheme="minorBidi" w:hAnsiTheme="minorBidi" w:cstheme="minorBidi"/>
        </w:rPr>
        <w:t>và</w:t>
      </w:r>
      <w:r w:rsidRPr="00615F69">
        <w:rPr>
          <w:rFonts w:asciiTheme="minorBidi" w:hAnsiTheme="minorBidi" w:cstheme="minorBidi"/>
        </w:rPr>
        <w:t xml:space="preserve"> Kaynak (2023), Bytes </w:t>
      </w:r>
      <w:r w:rsidR="001F0999">
        <w:rPr>
          <w:rFonts w:asciiTheme="minorBidi" w:hAnsiTheme="minorBidi" w:cstheme="minorBidi"/>
        </w:rPr>
        <w:t>và Thương mại</w:t>
      </w:r>
      <w:r w:rsidRPr="00615F69">
        <w:rPr>
          <w:rFonts w:asciiTheme="minorBidi" w:hAnsiTheme="minorBidi" w:cstheme="minorBidi"/>
        </w:rPr>
        <w:t xml:space="preserve">: </w:t>
      </w:r>
      <w:r w:rsidR="001F0999">
        <w:rPr>
          <w:rFonts w:asciiTheme="minorBidi" w:hAnsiTheme="minorBidi" w:cstheme="minorBidi"/>
        </w:rPr>
        <w:t>Định lượng tác động của số hóa thương mại</w:t>
      </w:r>
      <w:r w:rsidRPr="00615F69">
        <w:rPr>
          <w:rFonts w:asciiTheme="minorBidi" w:hAnsiTheme="minorBidi" w:cstheme="minorBidi"/>
        </w:rPr>
        <w:t xml:space="preserve">, </w:t>
      </w:r>
      <w:hyperlink r:id="rId54" w:history="1">
        <w:r w:rsidRPr="00615F69">
          <w:rPr>
            <w:rStyle w:val="Hyperlink"/>
            <w:color w:val="auto"/>
            <w:lang w:val="en-AU"/>
          </w:rPr>
          <w:t>https://www.oecd.org/en/publications/of-bytes-and-trade-quantifying-the-impact-of-digitalisation-on-trade_11889f2a-en.html</w:t>
        </w:r>
      </w:hyperlink>
    </w:p>
  </w:footnote>
  <w:footnote w:id="63">
    <w:p w14:paraId="0DE01B4D" w14:textId="4CA7666A" w:rsidR="00A53F21" w:rsidRPr="00C1535B" w:rsidRDefault="00A53F21" w:rsidP="00A53F21">
      <w:pPr>
        <w:pStyle w:val="FootnoteText"/>
        <w:jc w:val="left"/>
        <w:rPr>
          <w:rFonts w:asciiTheme="minorBidi" w:hAnsiTheme="minorBidi" w:cstheme="minorBidi"/>
        </w:rPr>
      </w:pPr>
      <w:r w:rsidRPr="00615F69">
        <w:rPr>
          <w:rStyle w:val="FootnoteReference"/>
          <w:rFonts w:asciiTheme="minorBidi" w:hAnsiTheme="minorBidi" w:cstheme="minorBidi"/>
        </w:rPr>
        <w:footnoteRef/>
      </w:r>
      <w:r w:rsidRPr="00615F69">
        <w:rPr>
          <w:rFonts w:asciiTheme="minorBidi" w:hAnsiTheme="minorBidi" w:cstheme="minorBidi"/>
        </w:rPr>
        <w:t xml:space="preserve"> Hoekman </w:t>
      </w:r>
      <w:r w:rsidR="001F0999">
        <w:rPr>
          <w:rFonts w:asciiTheme="minorBidi" w:hAnsiTheme="minorBidi" w:cstheme="minorBidi"/>
        </w:rPr>
        <w:t>và</w:t>
      </w:r>
      <w:r w:rsidRPr="00615F69">
        <w:rPr>
          <w:rFonts w:asciiTheme="minorBidi" w:hAnsiTheme="minorBidi" w:cstheme="minorBidi"/>
        </w:rPr>
        <w:t xml:space="preserve"> Nicita (2011), </w:t>
      </w:r>
      <w:r w:rsidR="00516936">
        <w:rPr>
          <w:rFonts w:asciiTheme="minorBidi" w:hAnsiTheme="minorBidi" w:cstheme="minorBidi"/>
        </w:rPr>
        <w:t>Chính sách thương mại, Chi phí thương mại, và phát triển thương mại quốc gia</w:t>
      </w:r>
      <w:r w:rsidRPr="00615F69">
        <w:rPr>
          <w:rFonts w:asciiTheme="minorBidi" w:hAnsiTheme="minorBidi" w:cstheme="minorBidi"/>
        </w:rPr>
        <w:t xml:space="preserve"> </w:t>
      </w:r>
      <w:hyperlink r:id="rId55" w:history="1">
        <w:r w:rsidRPr="00615F69">
          <w:rPr>
            <w:rStyle w:val="Hyperlink"/>
            <w:color w:val="auto"/>
          </w:rPr>
          <w:t>https://www.sciencedirect.com/science/article/abs/pii/S0305750X11001434</w:t>
        </w:r>
      </w:hyperlink>
      <w:r w:rsidRPr="00C1535B">
        <w:rPr>
          <w:rFonts w:asciiTheme="minorBidi" w:hAnsiTheme="minorBidi" w:cstheme="minorBidi"/>
        </w:rPr>
        <w:t xml:space="preserve"> </w:t>
      </w:r>
    </w:p>
  </w:footnote>
  <w:footnote w:id="64">
    <w:p w14:paraId="4DDA1771" w14:textId="7F5BB4F2" w:rsidR="00C02A6C" w:rsidRPr="00C1535B" w:rsidRDefault="00C02A6C" w:rsidP="00C02A6C">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FB6362">
        <w:rPr>
          <w:rFonts w:asciiTheme="minorBidi" w:hAnsiTheme="minorBidi" w:cstheme="minorBidi"/>
        </w:rPr>
        <w:t>Ban Thư ký ASEAN</w:t>
      </w:r>
      <w:r w:rsidRPr="00C1535B">
        <w:rPr>
          <w:rFonts w:asciiTheme="minorBidi" w:hAnsiTheme="minorBidi" w:cstheme="minorBidi"/>
        </w:rPr>
        <w:t xml:space="preserve"> (n.d.) </w:t>
      </w:r>
      <w:r w:rsidR="00516936">
        <w:rPr>
          <w:rFonts w:asciiTheme="minorBidi" w:hAnsiTheme="minorBidi" w:cstheme="minorBidi"/>
        </w:rPr>
        <w:t>Cơ chế 1 cửa ASEAN</w:t>
      </w:r>
      <w:r w:rsidRPr="00C1535B">
        <w:rPr>
          <w:rFonts w:asciiTheme="minorBidi" w:hAnsiTheme="minorBidi" w:cstheme="minorBidi"/>
        </w:rPr>
        <w:t xml:space="preserve">, </w:t>
      </w:r>
      <w:hyperlink r:id="rId56" w:history="1">
        <w:r w:rsidRPr="00C1535B">
          <w:rPr>
            <w:rStyle w:val="Hyperlink"/>
            <w:rFonts w:asciiTheme="minorBidi" w:hAnsiTheme="minorBidi" w:cstheme="minorBidi"/>
            <w:color w:val="auto"/>
          </w:rPr>
          <w:t>https://asean.org/our-communities/economic-community/asean-single-window/</w:t>
        </w:r>
      </w:hyperlink>
      <w:r w:rsidRPr="00C1535B">
        <w:rPr>
          <w:rFonts w:asciiTheme="minorBidi" w:hAnsiTheme="minorBidi" w:cstheme="minorBidi"/>
        </w:rPr>
        <w:t xml:space="preserve"> </w:t>
      </w:r>
    </w:p>
  </w:footnote>
  <w:footnote w:id="65">
    <w:p w14:paraId="62C39AA6" w14:textId="6ED00C92" w:rsidR="00C02A6C" w:rsidRPr="00C1535B" w:rsidRDefault="00C02A6C" w:rsidP="00C02A6C">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(2022) </w:t>
      </w:r>
      <w:r w:rsidR="00516936">
        <w:rPr>
          <w:rFonts w:asciiTheme="minorBidi" w:hAnsiTheme="minorBidi" w:cstheme="minorBidi"/>
        </w:rPr>
        <w:t>Chương trình hành động nhằm thực thi Hiệp định ASEAN về Thương mại điện tử</w:t>
      </w:r>
      <w:r w:rsidRPr="00C1535B">
        <w:rPr>
          <w:rFonts w:asciiTheme="minorBidi" w:hAnsiTheme="minorBidi" w:cstheme="minorBidi"/>
        </w:rPr>
        <w:t xml:space="preserve">, </w:t>
      </w:r>
      <w:hyperlink r:id="rId57" w:history="1">
        <w:r w:rsidRPr="00C1535B">
          <w:rPr>
            <w:rStyle w:val="Hyperlink"/>
            <w:rFonts w:asciiTheme="minorBidi" w:hAnsiTheme="minorBidi" w:cstheme="minorBidi"/>
            <w:color w:val="auto"/>
          </w:rPr>
          <w:t>https://asean.org/wp-content/uploads/2022/03/Work-Plan-E-commerce-Agreement_endorsed_logo.pdf</w:t>
        </w:r>
      </w:hyperlink>
      <w:r w:rsidRPr="00C1535B">
        <w:rPr>
          <w:rFonts w:asciiTheme="minorBidi" w:hAnsiTheme="minorBidi" w:cstheme="minorBidi"/>
        </w:rPr>
        <w:t xml:space="preserve"> </w:t>
      </w:r>
    </w:p>
  </w:footnote>
  <w:footnote w:id="66">
    <w:p w14:paraId="12614B73" w14:textId="2EF64C62" w:rsidR="003143CF" w:rsidRPr="00C1535B" w:rsidRDefault="003143CF" w:rsidP="003143CF">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(2022) </w:t>
      </w:r>
      <w:r w:rsidR="00516936">
        <w:rPr>
          <w:rFonts w:asciiTheme="minorBidi" w:hAnsiTheme="minorBidi" w:cstheme="minorBidi"/>
        </w:rPr>
        <w:t>Chương trình hành động nhằm thực thi Hiệp định ASEAN về Thương mại điện tử</w:t>
      </w:r>
      <w:r w:rsidRPr="00C1535B">
        <w:rPr>
          <w:rFonts w:asciiTheme="minorBidi" w:hAnsiTheme="minorBidi" w:cstheme="minorBidi"/>
        </w:rPr>
        <w:t xml:space="preserve">, </w:t>
      </w:r>
      <w:hyperlink r:id="rId58" w:history="1">
        <w:r w:rsidRPr="00C1535B">
          <w:rPr>
            <w:rStyle w:val="Hyperlink"/>
            <w:rFonts w:asciiTheme="minorBidi" w:hAnsiTheme="minorBidi" w:cstheme="minorBidi"/>
            <w:color w:val="auto"/>
          </w:rPr>
          <w:t>https://asean.org/wp-content/uploads/2022/03/Work-Plan-E-commerce-Agreement_endorsed_logo.pdf</w:t>
        </w:r>
      </w:hyperlink>
      <w:r w:rsidRPr="00C1535B">
        <w:rPr>
          <w:rFonts w:asciiTheme="minorBidi" w:hAnsiTheme="minorBidi" w:cstheme="minorBidi"/>
        </w:rPr>
        <w:t xml:space="preserve"> </w:t>
      </w:r>
    </w:p>
  </w:footnote>
  <w:footnote w:id="67">
    <w:p w14:paraId="621CE008" w14:textId="6ED19D2E" w:rsidR="00CC09E7" w:rsidRPr="00C1535B" w:rsidRDefault="00CC09E7" w:rsidP="00CC09E7">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McKinsey (2022) </w:t>
      </w:r>
      <w:r w:rsidR="00516936">
        <w:rPr>
          <w:rFonts w:asciiTheme="minorBidi" w:hAnsiTheme="minorBidi" w:cstheme="minorBidi"/>
        </w:rPr>
        <w:t>Thương mại điện tử bước vào giai đoạn mới ở Đông Nam Á. Doanh nghiệp logistics liệu đã được chuẩn bị</w:t>
      </w:r>
      <w:r w:rsidRPr="00C1535B">
        <w:rPr>
          <w:rFonts w:asciiTheme="minorBidi" w:hAnsiTheme="minorBidi" w:cstheme="minorBidi"/>
        </w:rPr>
        <w:t xml:space="preserve">?, </w:t>
      </w:r>
      <w:hyperlink r:id="rId59" w:history="1">
        <w:r w:rsidRPr="00C1535B">
          <w:rPr>
            <w:rStyle w:val="Hyperlink"/>
            <w:rFonts w:asciiTheme="minorBidi" w:hAnsiTheme="minorBidi" w:cstheme="minorBidi"/>
            <w:color w:val="auto"/>
          </w:rPr>
          <w:t>https://www.mckinsey.com/industries/travel-logistics-and-infrastructure/our-insights/e-commerce-is-entering-a-new-phase-in-southeast-asia-are-logistics-players-prepared</w:t>
        </w:r>
      </w:hyperlink>
      <w:r w:rsidRPr="00C1535B">
        <w:rPr>
          <w:rFonts w:asciiTheme="minorBidi" w:hAnsiTheme="minorBidi" w:cstheme="minorBidi"/>
        </w:rPr>
        <w:t xml:space="preserve"> </w:t>
      </w:r>
    </w:p>
  </w:footnote>
  <w:footnote w:id="68">
    <w:p w14:paraId="3CE1B04C" w14:textId="2FA88FF2" w:rsidR="00CC09E7" w:rsidRPr="00C1535B" w:rsidRDefault="00CC09E7" w:rsidP="00CC09E7">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PwC (2016) </w:t>
      </w:r>
      <w:r w:rsidR="00516936">
        <w:rPr>
          <w:rFonts w:asciiTheme="minorBidi" w:hAnsiTheme="minorBidi" w:cstheme="minorBidi"/>
        </w:rPr>
        <w:t>Tương lai ngành logistics</w:t>
      </w:r>
      <w:r w:rsidRPr="00C1535B">
        <w:rPr>
          <w:rFonts w:asciiTheme="minorBidi" w:hAnsiTheme="minorBidi" w:cstheme="minorBidi"/>
        </w:rPr>
        <w:t xml:space="preserve">, </w:t>
      </w:r>
      <w:hyperlink r:id="rId60" w:history="1">
        <w:r w:rsidRPr="00C1535B">
          <w:rPr>
            <w:rStyle w:val="Hyperlink"/>
            <w:rFonts w:asciiTheme="minorBidi" w:hAnsiTheme="minorBidi" w:cstheme="minorBidi"/>
            <w:color w:val="auto"/>
          </w:rPr>
          <w:t>https://www.pwc.com/sg/en/publications/assets/future-of-the-logistics-industry.pdf</w:t>
        </w:r>
      </w:hyperlink>
      <w:r w:rsidRPr="00C1535B">
        <w:rPr>
          <w:rFonts w:asciiTheme="minorBidi" w:hAnsiTheme="minorBidi" w:cstheme="minorBidi"/>
        </w:rPr>
        <w:t xml:space="preserve"> </w:t>
      </w:r>
    </w:p>
  </w:footnote>
  <w:footnote w:id="69">
    <w:p w14:paraId="3FAD007A" w14:textId="4C5D9F47" w:rsidR="00CC09E7" w:rsidRPr="00C1535B" w:rsidRDefault="00CC09E7" w:rsidP="00CC09E7">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FB6362">
        <w:rPr>
          <w:rFonts w:asciiTheme="minorBidi" w:hAnsiTheme="minorBidi" w:cstheme="minorBidi"/>
        </w:rPr>
        <w:t>Ban Thư ký ASEAN</w:t>
      </w:r>
      <w:r w:rsidRPr="00C1535B">
        <w:rPr>
          <w:rFonts w:asciiTheme="minorBidi" w:hAnsiTheme="minorBidi" w:cstheme="minorBidi"/>
        </w:rPr>
        <w:t xml:space="preserve"> (n.d.) </w:t>
      </w:r>
      <w:r w:rsidR="00516936">
        <w:rPr>
          <w:rFonts w:asciiTheme="minorBidi" w:hAnsiTheme="minorBidi" w:cstheme="minorBidi"/>
        </w:rPr>
        <w:t>Cơ chế 1 cửa ASEAN</w:t>
      </w:r>
      <w:r w:rsidRPr="00C1535B">
        <w:rPr>
          <w:rFonts w:asciiTheme="minorBidi" w:hAnsiTheme="minorBidi" w:cstheme="minorBidi"/>
        </w:rPr>
        <w:t xml:space="preserve">, </w:t>
      </w:r>
      <w:hyperlink r:id="rId61" w:history="1">
        <w:r w:rsidRPr="00C1535B">
          <w:rPr>
            <w:rStyle w:val="Hyperlink"/>
            <w:rFonts w:asciiTheme="minorBidi" w:hAnsiTheme="minorBidi" w:cstheme="minorBidi"/>
            <w:color w:val="auto"/>
          </w:rPr>
          <w:t>https://asean.org/our-communities/economic-community/asean-single-window/</w:t>
        </w:r>
      </w:hyperlink>
      <w:r w:rsidRPr="00C1535B">
        <w:rPr>
          <w:rFonts w:asciiTheme="minorBidi" w:hAnsiTheme="minorBidi" w:cstheme="minorBidi"/>
        </w:rPr>
        <w:t xml:space="preserve"> </w:t>
      </w:r>
    </w:p>
  </w:footnote>
  <w:footnote w:id="70">
    <w:p w14:paraId="732ED62E" w14:textId="6301B6F6" w:rsidR="00610542" w:rsidRPr="00C1535B" w:rsidRDefault="00610542" w:rsidP="00610542">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(2022) </w:t>
      </w:r>
      <w:r w:rsidR="00516936">
        <w:rPr>
          <w:rFonts w:asciiTheme="minorBidi" w:hAnsiTheme="minorBidi" w:cstheme="minorBidi"/>
        </w:rPr>
        <w:t>Hướng dẫn ASEAN về giải quyết tranh chấp trực tuyến</w:t>
      </w:r>
      <w:r w:rsidRPr="00C1535B">
        <w:rPr>
          <w:rFonts w:asciiTheme="minorBidi" w:hAnsiTheme="minorBidi" w:cstheme="minorBidi"/>
        </w:rPr>
        <w:t xml:space="preserve"> (ODR), </w:t>
      </w:r>
      <w:hyperlink r:id="rId62" w:history="1">
        <w:r w:rsidRPr="00C1535B">
          <w:rPr>
            <w:rStyle w:val="Hyperlink"/>
            <w:rFonts w:asciiTheme="minorBidi" w:hAnsiTheme="minorBidi" w:cstheme="minorBidi"/>
            <w:color w:val="auto"/>
          </w:rPr>
          <w:t>https://asean.org/wp-content/uploads/2022/04/ASEAN-ODR-Guidelines-FINAL.pdf</w:t>
        </w:r>
      </w:hyperlink>
      <w:r w:rsidRPr="00C1535B">
        <w:rPr>
          <w:rFonts w:asciiTheme="minorBidi" w:hAnsiTheme="minorBidi" w:cstheme="minorBidi"/>
        </w:rPr>
        <w:t xml:space="preserve"> </w:t>
      </w:r>
    </w:p>
  </w:footnote>
  <w:footnote w:id="71">
    <w:p w14:paraId="248945D2" w14:textId="5930C264" w:rsidR="004C4E7D" w:rsidRPr="00C1535B" w:rsidRDefault="004C4E7D" w:rsidP="004C4E7D">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McKinsey (2018) </w:t>
      </w:r>
      <w:r w:rsidR="00516936">
        <w:rPr>
          <w:rFonts w:asciiTheme="minorBidi" w:hAnsiTheme="minorBidi" w:cstheme="minorBidi"/>
        </w:rPr>
        <w:t>Thương mại trực tuyến đang giúp phát triển kinh tế Indonesia như thế nào</w:t>
      </w:r>
      <w:r w:rsidRPr="00C1535B">
        <w:rPr>
          <w:rFonts w:asciiTheme="minorBidi" w:hAnsiTheme="minorBidi" w:cstheme="minorBidi"/>
        </w:rPr>
        <w:t xml:space="preserve">, </w:t>
      </w:r>
      <w:hyperlink r:id="rId63" w:history="1">
        <w:r w:rsidRPr="00C1535B">
          <w:rPr>
            <w:rStyle w:val="Hyperlink"/>
            <w:rFonts w:asciiTheme="minorBidi" w:hAnsiTheme="minorBidi" w:cstheme="minorBidi"/>
            <w:color w:val="auto"/>
          </w:rPr>
          <w:t>https://www.mckinsey.com/spContent/digital_archipelago/index.html</w:t>
        </w:r>
      </w:hyperlink>
      <w:r w:rsidRPr="00C1535B">
        <w:rPr>
          <w:rFonts w:asciiTheme="minorBidi" w:hAnsiTheme="minorBidi" w:cstheme="minorBidi"/>
        </w:rPr>
        <w:t xml:space="preserve"> </w:t>
      </w:r>
    </w:p>
  </w:footnote>
  <w:footnote w:id="72">
    <w:p w14:paraId="779C4FDE" w14:textId="15E20005" w:rsidR="004C4E7D" w:rsidRPr="00C1535B" w:rsidRDefault="004C4E7D" w:rsidP="004C4E7D">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(2019) </w:t>
      </w:r>
      <w:r w:rsidR="00516936">
        <w:rPr>
          <w:rFonts w:asciiTheme="minorBidi" w:hAnsiTheme="minorBidi" w:cstheme="minorBidi"/>
        </w:rPr>
        <w:t>Thương mại điện tử ASEAN</w:t>
      </w:r>
      <w:r w:rsidRPr="00C1535B">
        <w:rPr>
          <w:rFonts w:asciiTheme="minorBidi" w:hAnsiTheme="minorBidi" w:cstheme="minorBidi"/>
        </w:rPr>
        <w:t xml:space="preserve">, </w:t>
      </w:r>
      <w:hyperlink r:id="rId64" w:history="1">
        <w:r w:rsidRPr="00C1535B">
          <w:rPr>
            <w:rStyle w:val="Hyperlink"/>
            <w:rFonts w:asciiTheme="minorBidi" w:hAnsiTheme="minorBidi" w:cstheme="minorBidi"/>
            <w:color w:val="auto"/>
          </w:rPr>
          <w:t>https://asean.org/our-communities/economic-community/asean-e-commerce/</w:t>
        </w:r>
      </w:hyperlink>
    </w:p>
  </w:footnote>
  <w:footnote w:id="73">
    <w:p w14:paraId="6E64ABAC" w14:textId="2388F516" w:rsidR="006F70B9" w:rsidRPr="00C1535B" w:rsidRDefault="006F70B9" w:rsidP="006F70B9">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YCP Solidiance (2023) </w:t>
      </w:r>
      <w:r w:rsidR="00516936">
        <w:rPr>
          <w:rFonts w:asciiTheme="minorBidi" w:hAnsiTheme="minorBidi" w:cstheme="minorBidi"/>
        </w:rPr>
        <w:t>Logistics ở ĐNA: Khai thác bước tiến trong Logistics chặng cuối</w:t>
      </w:r>
      <w:r w:rsidRPr="00C1535B">
        <w:rPr>
          <w:rFonts w:asciiTheme="minorBidi" w:hAnsiTheme="minorBidi" w:cstheme="minorBidi"/>
        </w:rPr>
        <w:t xml:space="preserve">, </w:t>
      </w:r>
      <w:hyperlink r:id="rId65" w:history="1">
        <w:r w:rsidRPr="00C1535B">
          <w:rPr>
            <w:rStyle w:val="Hyperlink"/>
            <w:rFonts w:asciiTheme="minorBidi" w:hAnsiTheme="minorBidi" w:cstheme="minorBidi"/>
            <w:color w:val="auto"/>
          </w:rPr>
          <w:t>https://ycpsolidiance.com/white-paper/logistics-last-mile-southeast-asia</w:t>
        </w:r>
      </w:hyperlink>
      <w:r w:rsidRPr="00C1535B">
        <w:rPr>
          <w:rFonts w:asciiTheme="minorBidi" w:hAnsiTheme="minorBidi" w:cstheme="minorBidi"/>
        </w:rPr>
        <w:t xml:space="preserve"> </w:t>
      </w:r>
    </w:p>
  </w:footnote>
  <w:footnote w:id="74">
    <w:p w14:paraId="7587E2CF" w14:textId="1FA77C75" w:rsidR="006F70B9" w:rsidRPr="00C1535B" w:rsidRDefault="006F70B9" w:rsidP="006F70B9">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YCP Solidiance (2023) </w:t>
      </w:r>
      <w:r w:rsidR="00516936">
        <w:rPr>
          <w:rFonts w:asciiTheme="minorBidi" w:hAnsiTheme="minorBidi" w:cstheme="minorBidi"/>
        </w:rPr>
        <w:t>Logistics ở ĐNA: Khai thác bước tiến trong Logistics chặng cuối</w:t>
      </w:r>
      <w:r w:rsidRPr="00C1535B">
        <w:rPr>
          <w:rFonts w:asciiTheme="minorBidi" w:hAnsiTheme="minorBidi" w:cstheme="minorBidi"/>
        </w:rPr>
        <w:t xml:space="preserve">, </w:t>
      </w:r>
      <w:hyperlink r:id="rId66" w:history="1">
        <w:r w:rsidRPr="00C1535B">
          <w:rPr>
            <w:rStyle w:val="Hyperlink"/>
            <w:rFonts w:asciiTheme="minorBidi" w:hAnsiTheme="minorBidi" w:cstheme="minorBidi"/>
            <w:color w:val="auto"/>
          </w:rPr>
          <w:t>https://ycpsolidiance.com/white-paper/logistics-last-mile-southeast-asia</w:t>
        </w:r>
      </w:hyperlink>
      <w:r w:rsidRPr="00C1535B">
        <w:rPr>
          <w:rFonts w:asciiTheme="minorBidi" w:hAnsiTheme="minorBidi" w:cstheme="minorBidi"/>
        </w:rPr>
        <w:t xml:space="preserve"> </w:t>
      </w:r>
    </w:p>
  </w:footnote>
  <w:footnote w:id="75">
    <w:p w14:paraId="171F0C56" w14:textId="3FB5D201" w:rsidR="009274A6" w:rsidRPr="00C1535B" w:rsidRDefault="009274A6" w:rsidP="009274A6">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Dezan Shira &amp; Associates (2011) </w:t>
      </w:r>
      <w:r w:rsidR="00EF6EFF">
        <w:rPr>
          <w:rFonts w:asciiTheme="minorBidi" w:hAnsiTheme="minorBidi" w:cstheme="minorBidi"/>
        </w:rPr>
        <w:t>Chiến lược tổng thể đẩy nhanh và mở rộng phát triển kinh tế Indonesia</w:t>
      </w:r>
      <w:r w:rsidRPr="00C1535B">
        <w:rPr>
          <w:rFonts w:asciiTheme="minorBidi" w:hAnsiTheme="minorBidi" w:cstheme="minorBidi"/>
        </w:rPr>
        <w:t xml:space="preserve"> 2011-2025, </w:t>
      </w:r>
      <w:hyperlink r:id="rId67" w:history="1">
        <w:r w:rsidRPr="00C1535B">
          <w:rPr>
            <w:rStyle w:val="Hyperlink"/>
            <w:rFonts w:asciiTheme="minorBidi" w:hAnsiTheme="minorBidi" w:cstheme="minorBidi"/>
            <w:color w:val="auto"/>
          </w:rPr>
          <w:t>https://www.aseanbriefing.com/news/wp-content/uploads/2023/10/ASEAN_Indonesia_Master-Plan-Acceleration-and-Expansion-of-Indonesia-Economic-Development-2011-2025.pdf</w:t>
        </w:r>
      </w:hyperlink>
      <w:r w:rsidRPr="00C1535B">
        <w:rPr>
          <w:rFonts w:asciiTheme="minorBidi" w:hAnsiTheme="minorBidi" w:cstheme="minorBidi"/>
        </w:rPr>
        <w:t xml:space="preserve"> </w:t>
      </w:r>
    </w:p>
  </w:footnote>
  <w:footnote w:id="76">
    <w:p w14:paraId="0DC0BFAD" w14:textId="59739C54" w:rsidR="00CE0F84" w:rsidRPr="00C1535B" w:rsidRDefault="00CE0F84" w:rsidP="00CE0F84">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AWS (2023) </w:t>
      </w:r>
      <w:r w:rsidR="00EF6EFF">
        <w:rPr>
          <w:rFonts w:asciiTheme="minorBidi" w:hAnsiTheme="minorBidi" w:cstheme="minorBidi"/>
        </w:rPr>
        <w:t>Giải pháp chặng cuối AWS để giao nhận nhanh hơn, chi phí thấp hơn và mang lại trải nghiệm tốt hơn cho khách hàng</w:t>
      </w:r>
      <w:r w:rsidRPr="00C1535B">
        <w:rPr>
          <w:rFonts w:asciiTheme="minorBidi" w:hAnsiTheme="minorBidi" w:cstheme="minorBidi"/>
        </w:rPr>
        <w:t xml:space="preserve">, </w:t>
      </w:r>
      <w:hyperlink r:id="rId68" w:history="1">
        <w:r w:rsidRPr="00C1535B">
          <w:rPr>
            <w:rStyle w:val="Hyperlink"/>
            <w:rFonts w:asciiTheme="minorBidi" w:hAnsiTheme="minorBidi" w:cstheme="minorBidi"/>
            <w:color w:val="auto"/>
          </w:rPr>
          <w:t>https://aws.amazon.com/blogs/supply-chain/aws-last-mile-solution-for-faster-delivery-lower-costs-and-a-better-customer-experience/</w:t>
        </w:r>
      </w:hyperlink>
      <w:r w:rsidRPr="00C1535B">
        <w:rPr>
          <w:rFonts w:asciiTheme="minorBidi" w:hAnsiTheme="minorBidi" w:cstheme="minorBidi"/>
        </w:rPr>
        <w:t xml:space="preserve"> </w:t>
      </w:r>
    </w:p>
  </w:footnote>
  <w:footnote w:id="77">
    <w:p w14:paraId="4C7B90B4" w14:textId="486ACABE" w:rsidR="00CE0F84" w:rsidRPr="00C1535B" w:rsidRDefault="00CE0F84" w:rsidP="00CE0F84">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DiVA Portal (2023) </w:t>
      </w:r>
      <w:r w:rsidR="00EF6EFF">
        <w:rPr>
          <w:rFonts w:asciiTheme="minorBidi" w:hAnsiTheme="minorBidi" w:cstheme="minorBidi"/>
        </w:rPr>
        <w:t>Chặng cuối thành thị bền vững đổi mới</w:t>
      </w:r>
      <w:r w:rsidRPr="00C1535B">
        <w:rPr>
          <w:rFonts w:asciiTheme="minorBidi" w:hAnsiTheme="minorBidi" w:cstheme="minorBidi"/>
        </w:rPr>
        <w:t xml:space="preserve">, </w:t>
      </w:r>
      <w:hyperlink r:id="rId69" w:history="1">
        <w:r w:rsidRPr="00C1535B">
          <w:rPr>
            <w:rStyle w:val="Hyperlink"/>
            <w:rFonts w:asciiTheme="minorBidi" w:hAnsiTheme="minorBidi" w:cstheme="minorBidi"/>
            <w:color w:val="auto"/>
          </w:rPr>
          <w:t>http://norden.diva-portal.org/smash/get/diva2:1825831/FULLTEXT01.pdf</w:t>
        </w:r>
      </w:hyperlink>
      <w:r w:rsidRPr="00C1535B">
        <w:rPr>
          <w:rFonts w:asciiTheme="minorBidi" w:hAnsiTheme="minorBidi" w:cstheme="minorBidi"/>
        </w:rPr>
        <w:t xml:space="preserve"> </w:t>
      </w:r>
    </w:p>
  </w:footnote>
  <w:footnote w:id="78">
    <w:p w14:paraId="0C271F06" w14:textId="35B64EB6" w:rsidR="00445574" w:rsidRPr="00C1535B" w:rsidRDefault="00445574" w:rsidP="00445574">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EF6EFF">
        <w:rPr>
          <w:rFonts w:asciiTheme="minorBidi" w:hAnsiTheme="minorBidi" w:cstheme="minorBidi"/>
        </w:rPr>
        <w:t>Tiêu chuẩn Singapore</w:t>
      </w:r>
      <w:r w:rsidRPr="00C1535B">
        <w:rPr>
          <w:rFonts w:asciiTheme="minorBidi" w:hAnsiTheme="minorBidi" w:cstheme="minorBidi"/>
        </w:rPr>
        <w:t xml:space="preserve"> (2022) </w:t>
      </w:r>
      <w:r w:rsidR="00EF6EFF">
        <w:rPr>
          <w:rFonts w:asciiTheme="minorBidi" w:hAnsiTheme="minorBidi" w:cstheme="minorBidi"/>
        </w:rPr>
        <w:t xml:space="preserve">hướng dẫn cho việc giao nhận chặng cuối các bưu kiện </w:t>
      </w:r>
      <w:r w:rsidRPr="00C1535B">
        <w:rPr>
          <w:rFonts w:asciiTheme="minorBidi" w:hAnsiTheme="minorBidi" w:cstheme="minorBidi"/>
        </w:rPr>
        <w:t xml:space="preserve">, </w:t>
      </w:r>
      <w:hyperlink r:id="rId70" w:history="1">
        <w:r w:rsidRPr="00C1535B">
          <w:rPr>
            <w:rStyle w:val="Hyperlink"/>
            <w:rFonts w:asciiTheme="minorBidi" w:hAnsiTheme="minorBidi" w:cstheme="minorBidi"/>
            <w:color w:val="auto"/>
          </w:rPr>
          <w:t>https://www.singaporestandardseshop.sg/Product/GetPdf?fileName=220610150929TR%20105-2022%20Preview.pdf&amp;pdtid=f8064951-7c48-416d-9e45-44bc44e29421</w:t>
        </w:r>
      </w:hyperlink>
      <w:r w:rsidRPr="00C1535B">
        <w:rPr>
          <w:rFonts w:asciiTheme="minorBidi" w:hAnsiTheme="minorBidi" w:cstheme="minorBidi"/>
        </w:rPr>
        <w:t xml:space="preserve"> </w:t>
      </w:r>
    </w:p>
  </w:footnote>
  <w:footnote w:id="79">
    <w:p w14:paraId="44555820" w14:textId="7148F05F" w:rsidR="00AC709C" w:rsidRPr="00C1535B" w:rsidRDefault="00AC709C" w:rsidP="00AC709C">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(2022) </w:t>
      </w:r>
      <w:r w:rsidR="00516936">
        <w:rPr>
          <w:rFonts w:asciiTheme="minorBidi" w:hAnsiTheme="minorBidi" w:cstheme="minorBidi"/>
        </w:rPr>
        <w:t>Chương trình hành động nhằm thực thi Hiệp định ASEAN về Thương mại điện tử</w:t>
      </w:r>
      <w:r w:rsidRPr="00C1535B">
        <w:rPr>
          <w:rFonts w:asciiTheme="minorBidi" w:hAnsiTheme="minorBidi" w:cstheme="minorBidi"/>
        </w:rPr>
        <w:t xml:space="preserve">, </w:t>
      </w:r>
      <w:hyperlink r:id="rId71" w:history="1">
        <w:r w:rsidRPr="00C1535B">
          <w:rPr>
            <w:rStyle w:val="Hyperlink"/>
            <w:rFonts w:asciiTheme="minorBidi" w:hAnsiTheme="minorBidi" w:cstheme="minorBidi"/>
            <w:color w:val="auto"/>
          </w:rPr>
          <w:t>https://asean.org/wp-content/uploads/2022/03/Work-Plan-E-commerce-Agreement_endorsed_logo.pdf</w:t>
        </w:r>
      </w:hyperlink>
      <w:r w:rsidRPr="00C1535B">
        <w:rPr>
          <w:rFonts w:asciiTheme="minorBidi" w:hAnsiTheme="minorBidi" w:cstheme="minorBidi"/>
        </w:rPr>
        <w:t xml:space="preserve"> </w:t>
      </w:r>
    </w:p>
  </w:footnote>
  <w:footnote w:id="80">
    <w:p w14:paraId="402BDD65" w14:textId="6628F8A1" w:rsidR="00AC709C" w:rsidRPr="00C1535B" w:rsidRDefault="00AC709C" w:rsidP="00AC709C">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GS1 Australia (n.d.) </w:t>
      </w:r>
      <w:r w:rsidR="00EF6EFF">
        <w:rPr>
          <w:rFonts w:asciiTheme="minorBidi" w:hAnsiTheme="minorBidi" w:cstheme="minorBidi"/>
        </w:rPr>
        <w:t>Về các tiêu chuẩn GS1</w:t>
      </w:r>
      <w:r w:rsidRPr="00C1535B">
        <w:rPr>
          <w:rFonts w:asciiTheme="minorBidi" w:hAnsiTheme="minorBidi" w:cstheme="minorBidi"/>
        </w:rPr>
        <w:t xml:space="preserve">, </w:t>
      </w:r>
      <w:hyperlink r:id="rId72" w:history="1">
        <w:r w:rsidRPr="00C1535B">
          <w:rPr>
            <w:rStyle w:val="Hyperlink"/>
            <w:rFonts w:asciiTheme="minorBidi" w:hAnsiTheme="minorBidi" w:cstheme="minorBidi"/>
            <w:color w:val="auto"/>
          </w:rPr>
          <w:t>https://www.gs1au.org/standards</w:t>
        </w:r>
      </w:hyperlink>
    </w:p>
  </w:footnote>
  <w:footnote w:id="81">
    <w:p w14:paraId="3F64C835" w14:textId="75BFAFF5" w:rsidR="006E2FED" w:rsidRPr="00C1535B" w:rsidRDefault="006E2FED" w:rsidP="006E2FED">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UNECE (2023), </w:t>
      </w:r>
      <w:r w:rsidR="00EF6EFF">
        <w:rPr>
          <w:rFonts w:asciiTheme="minorBidi" w:hAnsiTheme="minorBidi" w:cstheme="minorBidi"/>
        </w:rPr>
        <w:t>Truy vết bưu kiện trong giao nhận chặng cuối</w:t>
      </w:r>
      <w:r w:rsidRPr="00C1535B">
        <w:rPr>
          <w:rFonts w:asciiTheme="minorBidi" w:hAnsiTheme="minorBidi" w:cstheme="minorBidi"/>
        </w:rPr>
        <w:t>,</w:t>
      </w:r>
      <w:hyperlink r:id="rId73" w:history="1">
        <w:r w:rsidRPr="00FD4695">
          <w:rPr>
            <w:rStyle w:val="Hyperlink"/>
            <w:color w:val="auto"/>
          </w:rPr>
          <w:t>https://unece.org/sites/default/files/2023-10/03Oct_PM_T%2BL_Parcel-goods-traceability.pdf</w:t>
        </w:r>
      </w:hyperlink>
      <w:r w:rsidRPr="00C1535B">
        <w:rPr>
          <w:rFonts w:asciiTheme="minorBidi" w:hAnsiTheme="minorBidi" w:cstheme="minorBidi"/>
        </w:rPr>
        <w:t xml:space="preserve"> </w:t>
      </w:r>
    </w:p>
  </w:footnote>
  <w:footnote w:id="82">
    <w:p w14:paraId="5515CF6A" w14:textId="1C6B79C6" w:rsidR="0081310A" w:rsidRPr="00C1535B" w:rsidRDefault="0081310A" w:rsidP="00AB02C7">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GS1 Europe (n.d.) </w:t>
      </w:r>
      <w:r w:rsidR="00EF6EFF">
        <w:rPr>
          <w:rFonts w:asciiTheme="minorBidi" w:hAnsiTheme="minorBidi" w:cstheme="minorBidi"/>
        </w:rPr>
        <w:t>Giao nhận chặng cuối</w:t>
      </w:r>
      <w:r w:rsidRPr="00C1535B">
        <w:rPr>
          <w:rFonts w:asciiTheme="minorBidi" w:hAnsiTheme="minorBidi" w:cstheme="minorBidi"/>
        </w:rPr>
        <w:t xml:space="preserve">, </w:t>
      </w:r>
      <w:hyperlink r:id="rId74" w:history="1">
        <w:r w:rsidRPr="00C1535B">
          <w:rPr>
            <w:rStyle w:val="Hyperlink"/>
            <w:rFonts w:asciiTheme="minorBidi" w:hAnsiTheme="minorBidi" w:cstheme="minorBidi"/>
            <w:color w:val="auto"/>
          </w:rPr>
          <w:t>https://gs1.eu/activities/last-mile-delivery/</w:t>
        </w:r>
      </w:hyperlink>
    </w:p>
  </w:footnote>
  <w:footnote w:id="83">
    <w:p w14:paraId="59F0FEE6" w14:textId="7159D6A1" w:rsidR="0040143B" w:rsidRPr="00C1535B" w:rsidRDefault="0040143B" w:rsidP="0040143B">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SingPost (2022) </w:t>
      </w:r>
      <w:r w:rsidR="00EF6EFF" w:rsidRPr="00EF6EFF">
        <w:rPr>
          <w:rFonts w:asciiTheme="minorBidi" w:hAnsiTheme="minorBidi" w:cstheme="minorBidi"/>
        </w:rPr>
        <w:t>Singapore ban hành một tiêu chuẩn ngành mới dành cho các doanh nghiệp thương mại điện tử và logistics nhằm nâng cao mức độ hài lòng của khách hàng và hiệu quả hoạt động</w:t>
      </w:r>
      <w:r w:rsidRPr="00C1535B">
        <w:rPr>
          <w:rFonts w:asciiTheme="minorBidi" w:hAnsiTheme="minorBidi" w:cstheme="minorBidi"/>
        </w:rPr>
        <w:t xml:space="preserve">, </w:t>
      </w:r>
      <w:hyperlink r:id="rId75" w:history="1">
        <w:r w:rsidRPr="00C1535B">
          <w:rPr>
            <w:rStyle w:val="Hyperlink"/>
            <w:rFonts w:asciiTheme="minorBidi" w:hAnsiTheme="minorBidi" w:cstheme="minorBidi"/>
            <w:color w:val="auto"/>
          </w:rPr>
          <w:t>https://www.singpost.com/about-us/news-releases/singapore-introduces-new-industry-standard-ecommerce-and-logistics-players</w:t>
        </w:r>
      </w:hyperlink>
    </w:p>
  </w:footnote>
  <w:footnote w:id="84">
    <w:p w14:paraId="5D2C50A8" w14:textId="65EDE08A" w:rsidR="00C02AC2" w:rsidRPr="00C1535B" w:rsidRDefault="00C02AC2" w:rsidP="00C02AC2">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GS1 (2017) </w:t>
      </w:r>
      <w:r w:rsidR="00EF6EFF">
        <w:rPr>
          <w:rFonts w:asciiTheme="minorBidi" w:hAnsiTheme="minorBidi" w:cstheme="minorBidi"/>
        </w:rPr>
        <w:t>Thương mại điện tử Châu Âu</w:t>
      </w:r>
      <w:r w:rsidRPr="00C1535B">
        <w:rPr>
          <w:rFonts w:asciiTheme="minorBidi" w:hAnsiTheme="minorBidi" w:cstheme="minorBidi"/>
        </w:rPr>
        <w:t xml:space="preserve">, </w:t>
      </w:r>
      <w:hyperlink r:id="rId76" w:history="1">
        <w:r w:rsidRPr="00C1535B">
          <w:rPr>
            <w:rStyle w:val="Hyperlink"/>
            <w:rFonts w:asciiTheme="minorBidi" w:hAnsiTheme="minorBidi" w:cstheme="minorBidi"/>
            <w:color w:val="auto"/>
          </w:rPr>
          <w:t>https://www.gs1.org/sites/default/files/04_-_last_mile_delivery_standardisation_101017_wct.pdf</w:t>
        </w:r>
      </w:hyperlink>
      <w:r w:rsidRPr="00C1535B">
        <w:rPr>
          <w:rFonts w:asciiTheme="minorBidi" w:hAnsiTheme="minorBidi" w:cstheme="minorBidi"/>
        </w:rPr>
        <w:t xml:space="preserve">. </w:t>
      </w:r>
    </w:p>
  </w:footnote>
  <w:footnote w:id="85">
    <w:p w14:paraId="5FCA3A1D" w14:textId="5AA5A420" w:rsidR="00C02AC2" w:rsidRPr="00C1535B" w:rsidRDefault="00C02AC2" w:rsidP="00C02AC2">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Movetia (2022) </w:t>
      </w:r>
      <w:r w:rsidR="00EF6EFF">
        <w:rPr>
          <w:rFonts w:asciiTheme="minorBidi" w:hAnsiTheme="minorBidi" w:cstheme="minorBidi"/>
        </w:rPr>
        <w:t>Giao nhận chặng cuối</w:t>
      </w:r>
      <w:r w:rsidRPr="00C1535B">
        <w:rPr>
          <w:rFonts w:asciiTheme="minorBidi" w:hAnsiTheme="minorBidi" w:cstheme="minorBidi"/>
        </w:rPr>
        <w:t xml:space="preserve"> – </w:t>
      </w:r>
      <w:r w:rsidR="00EF6EFF">
        <w:rPr>
          <w:rFonts w:asciiTheme="minorBidi" w:hAnsiTheme="minorBidi" w:cstheme="minorBidi"/>
        </w:rPr>
        <w:t>Đào tạo cho lái xe chặng cuối trong các khu vực thành thị an toàn và bền vững</w:t>
      </w:r>
      <w:r w:rsidRPr="00C1535B">
        <w:rPr>
          <w:rFonts w:asciiTheme="minorBidi" w:hAnsiTheme="minorBidi" w:cstheme="minorBidi"/>
        </w:rPr>
        <w:t xml:space="preserve">, </w:t>
      </w:r>
      <w:hyperlink r:id="rId77" w:history="1">
        <w:r w:rsidRPr="00C1535B">
          <w:rPr>
            <w:rStyle w:val="Hyperlink"/>
            <w:rFonts w:asciiTheme="minorBidi" w:hAnsiTheme="minorBidi" w:cstheme="minorBidi"/>
            <w:color w:val="auto"/>
          </w:rPr>
          <w:t>https://ec.europa.eu/programmes/erasmus-plus/project-result-content/c8fc35d1-3645-4318-b606-58488688cb99/LAST_MILE_IO4_Regulatory_Recommendations_Report_EN.pdf</w:t>
        </w:r>
      </w:hyperlink>
      <w:r w:rsidRPr="00C1535B">
        <w:rPr>
          <w:rFonts w:asciiTheme="minorBidi" w:hAnsiTheme="minorBidi" w:cstheme="minorBidi"/>
        </w:rPr>
        <w:t xml:space="preserve"> </w:t>
      </w:r>
    </w:p>
  </w:footnote>
  <w:footnote w:id="86">
    <w:p w14:paraId="0E2D8E71" w14:textId="646EB623" w:rsidR="00C02AC2" w:rsidRPr="00C1535B" w:rsidRDefault="00C02AC2" w:rsidP="00C02AC2">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Movetia (2022) </w:t>
      </w:r>
      <w:r w:rsidR="00EF6EFF">
        <w:rPr>
          <w:rFonts w:asciiTheme="minorBidi" w:hAnsiTheme="minorBidi" w:cstheme="minorBidi"/>
        </w:rPr>
        <w:t>Giao nhận chặng cuối</w:t>
      </w:r>
      <w:r w:rsidRPr="00C1535B">
        <w:rPr>
          <w:rFonts w:asciiTheme="minorBidi" w:hAnsiTheme="minorBidi" w:cstheme="minorBidi"/>
        </w:rPr>
        <w:t xml:space="preserve"> – </w:t>
      </w:r>
      <w:r w:rsidR="00EF6EFF">
        <w:rPr>
          <w:rFonts w:asciiTheme="minorBidi" w:hAnsiTheme="minorBidi" w:cstheme="minorBidi"/>
        </w:rPr>
        <w:t>Đào tạo cho lái xe chặng cuối trong các khu vực thành thị an toàn và bền vững</w:t>
      </w:r>
      <w:r w:rsidRPr="00C1535B">
        <w:rPr>
          <w:rFonts w:asciiTheme="minorBidi" w:hAnsiTheme="minorBidi" w:cstheme="minorBidi"/>
        </w:rPr>
        <w:t xml:space="preserve">, </w:t>
      </w:r>
      <w:hyperlink r:id="rId78" w:history="1">
        <w:r w:rsidRPr="00C1535B">
          <w:rPr>
            <w:rStyle w:val="Hyperlink"/>
            <w:rFonts w:asciiTheme="minorBidi" w:hAnsiTheme="minorBidi" w:cstheme="minorBidi"/>
            <w:color w:val="auto"/>
          </w:rPr>
          <w:t>https://ec.europa.eu/programmes/erasmus-plus/project-result-content/c8fc35d1-3645-4318-b606-58488688cb99/LAST_MILE_IO4_Regulatory_Recommendations_Report_EN.pdf</w:t>
        </w:r>
      </w:hyperlink>
      <w:r w:rsidRPr="00C1535B">
        <w:rPr>
          <w:rFonts w:asciiTheme="minorBidi" w:hAnsiTheme="minorBidi" w:cstheme="minorBidi"/>
        </w:rPr>
        <w:t xml:space="preserve"> </w:t>
      </w:r>
    </w:p>
  </w:footnote>
  <w:footnote w:id="87">
    <w:p w14:paraId="70A72283" w14:textId="12126E7B" w:rsidR="00F15C7E" w:rsidRPr="00C1535B" w:rsidRDefault="00F15C7E" w:rsidP="00F15C7E">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(1997) </w:t>
      </w:r>
      <w:r w:rsidR="00924C64">
        <w:rPr>
          <w:rFonts w:asciiTheme="minorBidi" w:hAnsiTheme="minorBidi" w:cstheme="minorBidi"/>
        </w:rPr>
        <w:t>Hiệp định Hải quan ASEAN</w:t>
      </w:r>
      <w:r w:rsidRPr="00C1535B">
        <w:rPr>
          <w:rFonts w:asciiTheme="minorBidi" w:hAnsiTheme="minorBidi" w:cstheme="minorBidi"/>
        </w:rPr>
        <w:t xml:space="preserve">, </w:t>
      </w:r>
      <w:hyperlink r:id="rId79" w:history="1">
        <w:r w:rsidRPr="00C1535B">
          <w:rPr>
            <w:rStyle w:val="Hyperlink"/>
            <w:rFonts w:asciiTheme="minorBidi" w:hAnsiTheme="minorBidi" w:cstheme="minorBidi"/>
            <w:color w:val="auto"/>
          </w:rPr>
          <w:t>https://asean.org/wp-content/uploads/2020/12/ASEAN-Agreement-on-Customs-2.pdf</w:t>
        </w:r>
      </w:hyperlink>
    </w:p>
  </w:footnote>
  <w:footnote w:id="88">
    <w:p w14:paraId="1860CD07" w14:textId="1C9475EB" w:rsidR="00F15C7E" w:rsidRPr="00C1535B" w:rsidRDefault="00F15C7E" w:rsidP="00F15C7E">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924C64">
        <w:rPr>
          <w:rFonts w:asciiTheme="minorBidi" w:hAnsiTheme="minorBidi" w:cstheme="minorBidi"/>
        </w:rPr>
        <w:t>Doanh nghiệp Singapore</w:t>
      </w:r>
      <w:r w:rsidRPr="00C1535B">
        <w:rPr>
          <w:rFonts w:asciiTheme="minorBidi" w:hAnsiTheme="minorBidi" w:cstheme="minorBidi"/>
        </w:rPr>
        <w:t xml:space="preserve"> (n.d.) RCEP, </w:t>
      </w:r>
      <w:hyperlink r:id="rId80" w:history="1">
        <w:r w:rsidRPr="00C1535B">
          <w:rPr>
            <w:rStyle w:val="Hyperlink"/>
            <w:rFonts w:asciiTheme="minorBidi" w:hAnsiTheme="minorBidi" w:cstheme="minorBidi"/>
            <w:color w:val="auto"/>
          </w:rPr>
          <w:t>https://www.enterprisesg.gov.sg/grow-your-business/go-global/international-agreements/free-trade-agreements/find-an-fta/rcep</w:t>
        </w:r>
      </w:hyperlink>
      <w:r w:rsidRPr="00C1535B">
        <w:rPr>
          <w:rFonts w:asciiTheme="minorBidi" w:hAnsiTheme="minorBidi" w:cstheme="minorBidi"/>
        </w:rPr>
        <w:t xml:space="preserve"> </w:t>
      </w:r>
    </w:p>
  </w:footnote>
  <w:footnote w:id="89">
    <w:p w14:paraId="532740C3" w14:textId="39C135C1" w:rsidR="00A02CE2" w:rsidRPr="00C1535B" w:rsidRDefault="00A02CE2" w:rsidP="00A02CE2">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WCO (n.d.) </w:t>
      </w:r>
      <w:r w:rsidR="00924C64">
        <w:rPr>
          <w:rFonts w:asciiTheme="minorBidi" w:hAnsiTheme="minorBidi" w:cstheme="minorBidi"/>
        </w:rPr>
        <w:t>Khung tiêu chuẩn SAFE</w:t>
      </w:r>
      <w:r w:rsidRPr="00C1535B">
        <w:rPr>
          <w:rFonts w:asciiTheme="minorBidi" w:hAnsiTheme="minorBidi" w:cstheme="minorBidi"/>
        </w:rPr>
        <w:t xml:space="preserve">, </w:t>
      </w:r>
      <w:hyperlink r:id="rId81" w:history="1">
        <w:r w:rsidRPr="00C1535B">
          <w:rPr>
            <w:rStyle w:val="Hyperlink"/>
            <w:rFonts w:asciiTheme="minorBidi" w:hAnsiTheme="minorBidi" w:cstheme="minorBidi"/>
            <w:color w:val="auto"/>
          </w:rPr>
          <w:t>https://www.wcoomd.org/-/media/wco/public/global/pdf/topics/facilitation/instruments-and-tools/tools/safe-package/safe-framework-of-standards.pdf</w:t>
        </w:r>
      </w:hyperlink>
      <w:r w:rsidRPr="00C1535B">
        <w:rPr>
          <w:rFonts w:asciiTheme="minorBidi" w:hAnsiTheme="minorBidi" w:cstheme="minorBidi"/>
        </w:rPr>
        <w:t xml:space="preserve"> </w:t>
      </w:r>
    </w:p>
  </w:footnote>
  <w:footnote w:id="90">
    <w:p w14:paraId="35B7FCB7" w14:textId="34333308" w:rsidR="00BD169D" w:rsidRPr="00C1535B" w:rsidRDefault="00BD169D" w:rsidP="00BD169D">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WCO (n.d.) </w:t>
      </w:r>
      <w:r w:rsidR="00924C64">
        <w:rPr>
          <w:rFonts w:asciiTheme="minorBidi" w:hAnsiTheme="minorBidi" w:cstheme="minorBidi"/>
        </w:rPr>
        <w:t>Khung tiêu chuẩn SAFE</w:t>
      </w:r>
      <w:r w:rsidRPr="00C1535B">
        <w:rPr>
          <w:rFonts w:asciiTheme="minorBidi" w:hAnsiTheme="minorBidi" w:cstheme="minorBidi"/>
        </w:rPr>
        <w:t xml:space="preserve">, </w:t>
      </w:r>
      <w:hyperlink r:id="rId82" w:history="1">
        <w:r w:rsidRPr="00C1535B">
          <w:rPr>
            <w:rStyle w:val="Hyperlink"/>
            <w:rFonts w:asciiTheme="minorBidi" w:hAnsiTheme="minorBidi" w:cstheme="minorBidi"/>
            <w:color w:val="auto"/>
          </w:rPr>
          <w:t>https://www.wcoomd.org/-/media/wco/public/global/pdf/topics/facilitation/instruments-and-tools/tools/safe-package/safe-framework-of-standards.pdf</w:t>
        </w:r>
      </w:hyperlink>
      <w:r w:rsidRPr="00C1535B">
        <w:rPr>
          <w:rFonts w:asciiTheme="minorBidi" w:hAnsiTheme="minorBidi" w:cstheme="minorBidi"/>
        </w:rPr>
        <w:t xml:space="preserve"> </w:t>
      </w:r>
    </w:p>
  </w:footnote>
  <w:footnote w:id="91">
    <w:p w14:paraId="2CBDAABB" w14:textId="568D6A1B" w:rsidR="00BD169D" w:rsidRPr="00C1535B" w:rsidRDefault="00BD169D" w:rsidP="00BD169D">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WCO (n.d.) </w:t>
      </w:r>
      <w:r w:rsidR="00924C64">
        <w:rPr>
          <w:rFonts w:asciiTheme="minorBidi" w:hAnsiTheme="minorBidi" w:cstheme="minorBidi"/>
        </w:rPr>
        <w:t>Khung tiêu chuẩn SAFE</w:t>
      </w:r>
      <w:r w:rsidRPr="00C1535B">
        <w:rPr>
          <w:rFonts w:asciiTheme="minorBidi" w:hAnsiTheme="minorBidi" w:cstheme="minorBidi"/>
        </w:rPr>
        <w:t xml:space="preserve">, </w:t>
      </w:r>
      <w:hyperlink r:id="rId83" w:history="1">
        <w:r w:rsidRPr="00C1535B">
          <w:rPr>
            <w:rStyle w:val="Hyperlink"/>
            <w:rFonts w:asciiTheme="minorBidi" w:hAnsiTheme="minorBidi" w:cstheme="minorBidi"/>
            <w:color w:val="auto"/>
          </w:rPr>
          <w:t>https://www.wcoomd.org/-/media/wco/public/global/pdf/topics/facilitation/instruments-and-tools/tools/safe-package/safe-framework-of-standards.pdf</w:t>
        </w:r>
      </w:hyperlink>
      <w:r w:rsidRPr="00C1535B">
        <w:rPr>
          <w:rFonts w:asciiTheme="minorBidi" w:hAnsiTheme="minorBidi" w:cstheme="minorBidi"/>
        </w:rPr>
        <w:t xml:space="preserve"> </w:t>
      </w:r>
    </w:p>
  </w:footnote>
  <w:footnote w:id="92">
    <w:p w14:paraId="45D0D6FF" w14:textId="67CA17DC" w:rsidR="00ED76E9" w:rsidRPr="00C1535B" w:rsidRDefault="00ED76E9" w:rsidP="00ED76E9">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WCO (n.d.) </w:t>
      </w:r>
      <w:r w:rsidR="00924C64">
        <w:rPr>
          <w:rFonts w:asciiTheme="minorBidi" w:hAnsiTheme="minorBidi" w:cstheme="minorBidi"/>
        </w:rPr>
        <w:t>Khung tiêu chuẩn SAFE</w:t>
      </w:r>
      <w:r w:rsidRPr="00C1535B">
        <w:rPr>
          <w:rFonts w:asciiTheme="minorBidi" w:hAnsiTheme="minorBidi" w:cstheme="minorBidi"/>
        </w:rPr>
        <w:t xml:space="preserve">, </w:t>
      </w:r>
      <w:hyperlink r:id="rId84" w:history="1">
        <w:r w:rsidRPr="00C1535B">
          <w:rPr>
            <w:rStyle w:val="Hyperlink"/>
            <w:rFonts w:asciiTheme="minorBidi" w:hAnsiTheme="minorBidi" w:cstheme="minorBidi"/>
            <w:color w:val="auto"/>
          </w:rPr>
          <w:t>https://www.wcoomd.org/-/media/wco/public/global/pdf/topics/facilitation/instruments-and-tools/tools/safe-package/safe-framework-of-standards.pdf</w:t>
        </w:r>
      </w:hyperlink>
      <w:r w:rsidRPr="00C1535B">
        <w:rPr>
          <w:rFonts w:asciiTheme="minorBidi" w:hAnsiTheme="minorBidi" w:cstheme="minorBidi"/>
        </w:rPr>
        <w:t xml:space="preserve"> </w:t>
      </w:r>
    </w:p>
  </w:footnote>
  <w:footnote w:id="93">
    <w:p w14:paraId="009ABF8B" w14:textId="5D63BD52" w:rsidR="00F44A07" w:rsidRPr="00C1535B" w:rsidRDefault="00F44A07" w:rsidP="00F44A07">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(n.d.) </w:t>
      </w:r>
      <w:r w:rsidR="00924C64">
        <w:rPr>
          <w:rFonts w:asciiTheme="minorBidi" w:hAnsiTheme="minorBidi" w:cstheme="minorBidi"/>
        </w:rPr>
        <w:t>Thương mại 1 cửa ASEAN</w:t>
      </w:r>
      <w:r w:rsidRPr="00C1535B">
        <w:rPr>
          <w:rFonts w:asciiTheme="minorBidi" w:hAnsiTheme="minorBidi" w:cstheme="minorBidi"/>
        </w:rPr>
        <w:t xml:space="preserve">, </w:t>
      </w:r>
      <w:hyperlink r:id="rId85" w:history="1">
        <w:r w:rsidRPr="00C1535B">
          <w:rPr>
            <w:rStyle w:val="Hyperlink"/>
            <w:rFonts w:asciiTheme="minorBidi" w:hAnsiTheme="minorBidi" w:cstheme="minorBidi"/>
            <w:color w:val="auto"/>
          </w:rPr>
          <w:t>https://asean.org/our-communities/economic-community/asean-single-window/</w:t>
        </w:r>
      </w:hyperlink>
      <w:r w:rsidRPr="00C1535B">
        <w:rPr>
          <w:rFonts w:asciiTheme="minorBidi" w:hAnsiTheme="minorBidi" w:cstheme="minorBidi"/>
        </w:rPr>
        <w:t xml:space="preserve"> </w:t>
      </w:r>
    </w:p>
  </w:footnote>
  <w:footnote w:id="94">
    <w:p w14:paraId="79C99D00" w14:textId="7B36C38B" w:rsidR="00F44A07" w:rsidRPr="00C1535B" w:rsidRDefault="00F44A07" w:rsidP="00F44A07">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924C64">
        <w:rPr>
          <w:rFonts w:asciiTheme="minorBidi" w:hAnsiTheme="minorBidi" w:cstheme="minorBidi"/>
        </w:rPr>
        <w:t>Hướng dẫn Mô hình dữ liệu WCO</w:t>
      </w:r>
      <w:r w:rsidRPr="00C1535B">
        <w:rPr>
          <w:rFonts w:asciiTheme="minorBidi" w:hAnsiTheme="minorBidi" w:cstheme="minorBidi"/>
        </w:rPr>
        <w:t xml:space="preserve"> (2023), </w:t>
      </w:r>
      <w:r w:rsidR="00924C64">
        <w:rPr>
          <w:rFonts w:asciiTheme="minorBidi" w:hAnsiTheme="minorBidi" w:cstheme="minorBidi"/>
        </w:rPr>
        <w:t>Các cấu phần nền tảng của Mô hình Dữ liệu WCO</w:t>
      </w:r>
      <w:r w:rsidRPr="00C1535B">
        <w:rPr>
          <w:rFonts w:asciiTheme="minorBidi" w:hAnsiTheme="minorBidi" w:cstheme="minorBidi"/>
        </w:rPr>
        <w:t xml:space="preserve">, </w:t>
      </w:r>
      <w:hyperlink r:id="rId86" w:history="1">
        <w:r w:rsidRPr="00C1535B">
          <w:rPr>
            <w:rStyle w:val="Hyperlink"/>
            <w:rFonts w:asciiTheme="minorBidi" w:hAnsiTheme="minorBidi" w:cstheme="minorBidi"/>
            <w:color w:val="auto"/>
          </w:rPr>
          <w:t>https://wiki.datamodel.wcoomd.org/en/technical-guide/building-blocks</w:t>
        </w:r>
      </w:hyperlink>
      <w:r w:rsidRPr="00C1535B">
        <w:rPr>
          <w:rFonts w:asciiTheme="minorBidi" w:hAnsiTheme="minorBidi" w:cstheme="minorBidi"/>
        </w:rPr>
        <w:t xml:space="preserve"> </w:t>
      </w:r>
    </w:p>
  </w:footnote>
  <w:footnote w:id="95">
    <w:p w14:paraId="2C48F44F" w14:textId="223C5C73" w:rsidR="0081310A" w:rsidRPr="00C1535B" w:rsidRDefault="0081310A" w:rsidP="00B84CEE">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924C64">
        <w:rPr>
          <w:rFonts w:asciiTheme="minorBidi" w:hAnsiTheme="minorBidi" w:cstheme="minorBidi"/>
        </w:rPr>
        <w:t>Phòng Thương mại quốc tế (2022) Bộ dụng cụ tiêu chuẩn cho thương mại phi giấy tờ xuyên biên giới</w:t>
      </w:r>
      <w:r w:rsidRPr="00C1535B">
        <w:rPr>
          <w:rFonts w:asciiTheme="minorBidi" w:hAnsiTheme="minorBidi" w:cstheme="minorBidi"/>
        </w:rPr>
        <w:t xml:space="preserve">, </w:t>
      </w:r>
      <w:hyperlink r:id="rId87" w:history="1">
        <w:r w:rsidRPr="00C1535B">
          <w:rPr>
            <w:rStyle w:val="Hyperlink"/>
            <w:rFonts w:asciiTheme="minorBidi" w:hAnsiTheme="minorBidi" w:cstheme="minorBidi"/>
            <w:color w:val="auto"/>
          </w:rPr>
          <w:t>https://iccwbo.org/news-publications/policies-reports/standards-toolkit-for-cross-border-paperless-trade/</w:t>
        </w:r>
      </w:hyperlink>
      <w:r w:rsidRPr="00C1535B">
        <w:rPr>
          <w:rFonts w:asciiTheme="minorBidi" w:hAnsiTheme="minorBidi" w:cstheme="minorBidi"/>
        </w:rPr>
        <w:t xml:space="preserve"> </w:t>
      </w:r>
    </w:p>
  </w:footnote>
  <w:footnote w:id="96">
    <w:p w14:paraId="2E87A616" w14:textId="7CC072C6" w:rsidR="0081310A" w:rsidRPr="00C1535B" w:rsidRDefault="0081310A" w:rsidP="00ED7CDE">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924C64">
        <w:rPr>
          <w:rFonts w:asciiTheme="minorBidi" w:hAnsiTheme="minorBidi" w:cstheme="minorBidi"/>
        </w:rPr>
        <w:t>Phòng Thương mại quốc tế (2022) Bộ dụng cụ tiêu chuẩn cho thương mại phi giấy tờ xuyên biên giới</w:t>
      </w:r>
      <w:r w:rsidRPr="00C1535B">
        <w:rPr>
          <w:rFonts w:asciiTheme="minorBidi" w:hAnsiTheme="minorBidi" w:cstheme="minorBidi"/>
        </w:rPr>
        <w:t xml:space="preserve">, </w:t>
      </w:r>
      <w:hyperlink r:id="rId88" w:history="1">
        <w:r w:rsidRPr="00C1535B">
          <w:rPr>
            <w:rStyle w:val="Hyperlink"/>
            <w:rFonts w:asciiTheme="minorBidi" w:hAnsiTheme="minorBidi" w:cstheme="minorBidi"/>
            <w:color w:val="auto"/>
          </w:rPr>
          <w:t>https://iccwbo.org/news-publications/policies-reports/standards-toolkit-for-cross-border-paperless-trade/</w:t>
        </w:r>
      </w:hyperlink>
      <w:r w:rsidRPr="00C1535B">
        <w:rPr>
          <w:rFonts w:asciiTheme="minorBidi" w:hAnsiTheme="minorBidi" w:cstheme="minorBidi"/>
        </w:rPr>
        <w:t xml:space="preserve"> </w:t>
      </w:r>
    </w:p>
  </w:footnote>
  <w:footnote w:id="97">
    <w:p w14:paraId="113B44AC" w14:textId="5F84E784" w:rsidR="004551E5" w:rsidRPr="00C1535B" w:rsidRDefault="004551E5" w:rsidP="004551E5">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924C64">
        <w:rPr>
          <w:rFonts w:asciiTheme="minorBidi" w:hAnsiTheme="minorBidi" w:cstheme="minorBidi"/>
        </w:rPr>
        <w:t>Tạo thuận lợi Thương mại 1 cửa ASEAN cho Cộng đồng Kinh tế ASEAN</w:t>
      </w:r>
      <w:r w:rsidRPr="00C1535B">
        <w:rPr>
          <w:rFonts w:asciiTheme="minorBidi" w:hAnsiTheme="minorBidi" w:cstheme="minorBidi"/>
        </w:rPr>
        <w:t xml:space="preserve"> (n.d.) </w:t>
      </w:r>
      <w:r w:rsidR="00516936">
        <w:rPr>
          <w:rFonts w:asciiTheme="minorBidi" w:hAnsiTheme="minorBidi" w:cstheme="minorBidi"/>
        </w:rPr>
        <w:t>Cơ chế 1 cửa ASEAN</w:t>
      </w:r>
      <w:r w:rsidR="00924C64">
        <w:rPr>
          <w:rFonts w:asciiTheme="minorBidi" w:hAnsiTheme="minorBidi" w:cstheme="minorBidi"/>
        </w:rPr>
        <w:t xml:space="preserve"> là gì</w:t>
      </w:r>
      <w:r w:rsidRPr="00C1535B">
        <w:rPr>
          <w:rFonts w:asciiTheme="minorBidi" w:hAnsiTheme="minorBidi" w:cstheme="minorBidi"/>
        </w:rPr>
        <w:t xml:space="preserve">, </w:t>
      </w:r>
      <w:hyperlink r:id="rId89" w:history="1">
        <w:r w:rsidRPr="00C1535B">
          <w:rPr>
            <w:rStyle w:val="Hyperlink"/>
            <w:rFonts w:asciiTheme="minorBidi" w:hAnsiTheme="minorBidi" w:cstheme="minorBidi"/>
            <w:color w:val="auto"/>
          </w:rPr>
          <w:t>https://asw.asean.org/</w:t>
        </w:r>
      </w:hyperlink>
      <w:r w:rsidRPr="00C1535B">
        <w:rPr>
          <w:rFonts w:asciiTheme="minorBidi" w:hAnsiTheme="minorBidi" w:cstheme="minorBidi"/>
        </w:rPr>
        <w:t xml:space="preserve"> </w:t>
      </w:r>
    </w:p>
  </w:footnote>
  <w:footnote w:id="98">
    <w:p w14:paraId="50E2313A" w14:textId="77777777" w:rsidR="004551E5" w:rsidRPr="00C1535B" w:rsidRDefault="004551E5" w:rsidP="004551E5">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Customs SG (n.d.) ASEAN Customs Declaration Document (ACDD), </w:t>
      </w:r>
      <w:hyperlink r:id="rId90" w:history="1">
        <w:r w:rsidRPr="00C1535B">
          <w:rPr>
            <w:rStyle w:val="Hyperlink"/>
            <w:rFonts w:asciiTheme="minorBidi" w:hAnsiTheme="minorBidi" w:cstheme="minorBidi"/>
            <w:color w:val="auto"/>
          </w:rPr>
          <w:t>https://www.customs.gov.sg/businesses/international-connectivity/acdd/</w:t>
        </w:r>
      </w:hyperlink>
      <w:r w:rsidRPr="00C1535B">
        <w:rPr>
          <w:rFonts w:asciiTheme="minorBidi" w:hAnsiTheme="minorBidi" w:cstheme="minorBidi"/>
        </w:rPr>
        <w:t xml:space="preserve"> </w:t>
      </w:r>
    </w:p>
  </w:footnote>
  <w:footnote w:id="99">
    <w:p w14:paraId="36CAC0EC" w14:textId="7CEE6C09" w:rsidR="004551E5" w:rsidRPr="00C1535B" w:rsidRDefault="004551E5" w:rsidP="004551E5">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924C64">
        <w:rPr>
          <w:rFonts w:asciiTheme="minorBidi" w:hAnsiTheme="minorBidi" w:cstheme="minorBidi"/>
        </w:rPr>
        <w:t>Tạo thuận lợi Thương mại 1 cửa ASEAN cho Cộng đồng Kinh tế ASEAN</w:t>
      </w:r>
      <w:r w:rsidRPr="00C1535B">
        <w:rPr>
          <w:rFonts w:asciiTheme="minorBidi" w:hAnsiTheme="minorBidi" w:cstheme="minorBidi"/>
        </w:rPr>
        <w:t xml:space="preserve"> (n.d.) </w:t>
      </w:r>
      <w:r w:rsidR="00516936">
        <w:rPr>
          <w:rFonts w:asciiTheme="minorBidi" w:hAnsiTheme="minorBidi" w:cstheme="minorBidi"/>
        </w:rPr>
        <w:t>Cơ chế 1 cửa ASEAN</w:t>
      </w:r>
      <w:r w:rsidR="00924C64" w:rsidRPr="00924C64">
        <w:t xml:space="preserve"> </w:t>
      </w:r>
      <w:r w:rsidR="00924C64" w:rsidRPr="00924C64">
        <w:rPr>
          <w:rFonts w:asciiTheme="minorBidi" w:hAnsiTheme="minorBidi" w:cstheme="minorBidi"/>
        </w:rPr>
        <w:t>là gì</w:t>
      </w:r>
      <w:r w:rsidRPr="00C1535B">
        <w:rPr>
          <w:rFonts w:asciiTheme="minorBidi" w:hAnsiTheme="minorBidi" w:cstheme="minorBidi"/>
        </w:rPr>
        <w:t xml:space="preserve">, </w:t>
      </w:r>
      <w:hyperlink r:id="rId91" w:history="1">
        <w:r w:rsidRPr="00C1535B">
          <w:rPr>
            <w:rStyle w:val="Hyperlink"/>
            <w:rFonts w:asciiTheme="minorBidi" w:hAnsiTheme="minorBidi" w:cstheme="minorBidi"/>
            <w:color w:val="auto"/>
          </w:rPr>
          <w:t>https://asw.asean.org/</w:t>
        </w:r>
      </w:hyperlink>
      <w:r w:rsidRPr="00C1535B">
        <w:rPr>
          <w:rFonts w:asciiTheme="minorBidi" w:hAnsiTheme="minorBidi" w:cstheme="minorBidi"/>
        </w:rPr>
        <w:t xml:space="preserve"> </w:t>
      </w:r>
    </w:p>
  </w:footnote>
  <w:footnote w:id="100">
    <w:p w14:paraId="1B654E77" w14:textId="773B3876" w:rsidR="0081310A" w:rsidRPr="00C1535B" w:rsidRDefault="0081310A" w:rsidP="005A1309">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7B0916">
        <w:rPr>
          <w:rFonts w:asciiTheme="minorBidi" w:hAnsiTheme="minorBidi" w:cstheme="minorBidi"/>
        </w:rPr>
        <w:t>Hội đồng kinh doanh EU-ASEAN</w:t>
      </w:r>
      <w:r w:rsidRPr="00C1535B">
        <w:rPr>
          <w:rFonts w:asciiTheme="minorBidi" w:hAnsiTheme="minorBidi" w:cstheme="minorBidi"/>
        </w:rPr>
        <w:t xml:space="preserve"> (2022) </w:t>
      </w:r>
      <w:r w:rsidR="007B0916">
        <w:rPr>
          <w:rFonts w:asciiTheme="minorBidi" w:hAnsiTheme="minorBidi" w:cstheme="minorBidi"/>
        </w:rPr>
        <w:t>Xây dựng niềm tin vào Thương mại điện tử ASEAN</w:t>
      </w:r>
      <w:r w:rsidRPr="00C1535B">
        <w:rPr>
          <w:rFonts w:asciiTheme="minorBidi" w:hAnsiTheme="minorBidi" w:cstheme="minorBidi"/>
        </w:rPr>
        <w:t xml:space="preserve">, </w:t>
      </w:r>
      <w:hyperlink r:id="rId92" w:history="1">
        <w:r w:rsidRPr="00C1535B">
          <w:rPr>
            <w:rStyle w:val="Hyperlink"/>
            <w:rFonts w:asciiTheme="minorBidi" w:hAnsiTheme="minorBidi" w:cstheme="minorBidi"/>
            <w:color w:val="auto"/>
          </w:rPr>
          <w:t>https://www.eu-asean.eu/wp-content/uploads/2022/02/E-Commerce-Paper_22-Feb.pdf</w:t>
        </w:r>
      </w:hyperlink>
      <w:r w:rsidRPr="00C1535B">
        <w:rPr>
          <w:rFonts w:asciiTheme="minorBidi" w:hAnsiTheme="minorBidi" w:cstheme="minorBidi"/>
        </w:rPr>
        <w:t xml:space="preserve"> </w:t>
      </w:r>
    </w:p>
  </w:footnote>
  <w:footnote w:id="101">
    <w:p w14:paraId="187FEC6C" w14:textId="6C1D11E3" w:rsidR="0081310A" w:rsidRPr="00C1535B" w:rsidRDefault="0081310A" w:rsidP="005A1309">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7B0916">
        <w:rPr>
          <w:rFonts w:asciiTheme="minorBidi" w:hAnsiTheme="minorBidi" w:cstheme="minorBidi"/>
        </w:rPr>
        <w:t>Lưu ý</w:t>
      </w:r>
      <w:r w:rsidRPr="00C1535B">
        <w:rPr>
          <w:rFonts w:asciiTheme="minorBidi" w:hAnsiTheme="minorBidi" w:cstheme="minorBidi"/>
        </w:rPr>
        <w:t xml:space="preserve">: </w:t>
      </w:r>
      <w:r w:rsidR="007B0916">
        <w:rPr>
          <w:rFonts w:asciiTheme="minorBidi" w:hAnsiTheme="minorBidi" w:cstheme="minorBidi"/>
        </w:rPr>
        <w:t>khi viết</w:t>
      </w:r>
      <w:r w:rsidRPr="00C1535B">
        <w:rPr>
          <w:rFonts w:asciiTheme="minorBidi" w:hAnsiTheme="minorBidi" w:cstheme="minorBidi"/>
        </w:rPr>
        <w:t xml:space="preserve"> (</w:t>
      </w:r>
      <w:r w:rsidR="007B0916">
        <w:rPr>
          <w:rFonts w:asciiTheme="minorBidi" w:hAnsiTheme="minorBidi" w:cstheme="minorBidi"/>
        </w:rPr>
        <w:t>7/</w:t>
      </w:r>
      <w:r w:rsidRPr="00C1535B">
        <w:rPr>
          <w:rFonts w:asciiTheme="minorBidi" w:hAnsiTheme="minorBidi" w:cstheme="minorBidi"/>
        </w:rPr>
        <w:t xml:space="preserve">2024), </w:t>
      </w:r>
      <w:r w:rsidR="007B0916">
        <w:rPr>
          <w:rFonts w:asciiTheme="minorBidi" w:hAnsiTheme="minorBidi" w:cstheme="minorBidi"/>
        </w:rPr>
        <w:t>thông tin về các tiêu chuẩn này rất hạn chế vì vẫn đang trong giai đoạn được xây dựng</w:t>
      </w:r>
      <w:r w:rsidRPr="00C1535B">
        <w:rPr>
          <w:rFonts w:asciiTheme="minorBidi" w:hAnsiTheme="minorBidi" w:cstheme="minorBidi"/>
        </w:rPr>
        <w:t xml:space="preserve">. ISO (n.d.) ISO/TC 321 </w:t>
      </w:r>
      <w:r w:rsidR="007B0916">
        <w:rPr>
          <w:rFonts w:asciiTheme="minorBidi" w:hAnsiTheme="minorBidi" w:cstheme="minorBidi"/>
        </w:rPr>
        <w:t>Đảm bảo giao dịch trong thương mại điện tử</w:t>
      </w:r>
      <w:r w:rsidRPr="00C1535B">
        <w:rPr>
          <w:rFonts w:asciiTheme="minorBidi" w:hAnsiTheme="minorBidi" w:cstheme="minorBidi"/>
        </w:rPr>
        <w:t xml:space="preserve">, </w:t>
      </w:r>
      <w:hyperlink r:id="rId93" w:history="1">
        <w:r w:rsidRPr="00FD4695">
          <w:rPr>
            <w:rStyle w:val="Hyperlink"/>
            <w:color w:val="auto"/>
          </w:rPr>
          <w:t>https://www.iso.org/committee/7145156.html</w:t>
        </w:r>
      </w:hyperlink>
    </w:p>
  </w:footnote>
  <w:footnote w:id="102">
    <w:p w14:paraId="7E9D9FC1" w14:textId="5C9D0734" w:rsidR="0081310A" w:rsidRPr="00C1535B" w:rsidRDefault="0081310A" w:rsidP="005A1309">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ISO (n.d.) </w:t>
      </w:r>
      <w:r w:rsidR="007B0916">
        <w:rPr>
          <w:rFonts w:asciiTheme="minorBidi" w:hAnsiTheme="minorBidi" w:cstheme="minorBidi"/>
        </w:rPr>
        <w:t xml:space="preserve">Tham gia </w:t>
      </w:r>
      <w:r w:rsidRPr="00C1535B">
        <w:rPr>
          <w:rFonts w:asciiTheme="minorBidi" w:hAnsiTheme="minorBidi" w:cstheme="minorBidi"/>
        </w:rPr>
        <w:t xml:space="preserve">ISO/TC 321, </w:t>
      </w:r>
      <w:hyperlink r:id="rId94" w:history="1">
        <w:r w:rsidRPr="00C1535B">
          <w:rPr>
            <w:rStyle w:val="Hyperlink"/>
            <w:rFonts w:asciiTheme="minorBidi" w:hAnsiTheme="minorBidi" w:cstheme="minorBidi"/>
            <w:color w:val="auto"/>
          </w:rPr>
          <w:t>https://www.iso.org/committee/7145156.html?view=participation</w:t>
        </w:r>
      </w:hyperlink>
    </w:p>
  </w:footnote>
  <w:footnote w:id="103">
    <w:p w14:paraId="44FD5661" w14:textId="573BFEC0" w:rsidR="00736E75" w:rsidRPr="00C1535B" w:rsidRDefault="00736E75" w:rsidP="00736E75">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(2022) </w:t>
      </w:r>
      <w:r w:rsidR="00516936">
        <w:rPr>
          <w:rFonts w:asciiTheme="minorBidi" w:hAnsiTheme="minorBidi" w:cstheme="minorBidi"/>
        </w:rPr>
        <w:t>Chương trình hành động nhằm thực thi Hiệp định ASEAN về Thương mại điện tử</w:t>
      </w:r>
      <w:r w:rsidRPr="00C1535B">
        <w:rPr>
          <w:rFonts w:asciiTheme="minorBidi" w:hAnsiTheme="minorBidi" w:cstheme="minorBidi"/>
        </w:rPr>
        <w:t xml:space="preserve">, </w:t>
      </w:r>
      <w:hyperlink r:id="rId95" w:history="1">
        <w:r w:rsidRPr="00C1535B">
          <w:rPr>
            <w:rStyle w:val="Hyperlink"/>
            <w:rFonts w:asciiTheme="minorBidi" w:hAnsiTheme="minorBidi" w:cstheme="minorBidi"/>
            <w:color w:val="auto"/>
          </w:rPr>
          <w:t>https://asean.org/wp-content/uploads/2022/03/Work-Plan-E-commerce-Agreement_endorsed_logo.pdf</w:t>
        </w:r>
      </w:hyperlink>
      <w:r w:rsidRPr="00C1535B">
        <w:rPr>
          <w:rFonts w:asciiTheme="minorBidi" w:hAnsiTheme="minorBidi" w:cstheme="minorBidi"/>
        </w:rPr>
        <w:t xml:space="preserve"> </w:t>
      </w:r>
    </w:p>
  </w:footnote>
  <w:footnote w:id="104">
    <w:p w14:paraId="541E6B53" w14:textId="55ED7465" w:rsidR="00736E75" w:rsidRPr="00C1535B" w:rsidRDefault="00736E75" w:rsidP="00736E75">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7B0916">
        <w:rPr>
          <w:rFonts w:asciiTheme="minorBidi" w:hAnsiTheme="minorBidi" w:cstheme="minorBidi"/>
        </w:rPr>
        <w:t>Nghị viện châu Âu (2014), Quy định (EU) số 910/2014 của Nghị viện châu Âu và Hội đồng về định danh điện tử và các dịch vụ tin cậy đối với giao dịch điện tử trong thị trường nội khối, đồng thời bãi bỏ Chỉ thị 1999/93/EC</w:t>
      </w:r>
      <w:r w:rsidRPr="00C1535B">
        <w:rPr>
          <w:rFonts w:asciiTheme="minorBidi" w:hAnsiTheme="minorBidi" w:cstheme="minorBidi"/>
        </w:rPr>
        <w:t xml:space="preserve">, https://eur-lex.europa.eu/legal-content/EN/TXT/?uri=CELEX%3A02014R0910-20240520 </w:t>
      </w:r>
    </w:p>
  </w:footnote>
  <w:footnote w:id="105">
    <w:p w14:paraId="2FCBA9F4" w14:textId="7079B40A" w:rsidR="00736E75" w:rsidRPr="00C1535B" w:rsidRDefault="00736E75" w:rsidP="00736E75">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7B0916">
        <w:rPr>
          <w:rFonts w:asciiTheme="minorBidi" w:hAnsiTheme="minorBidi" w:cstheme="minorBidi"/>
        </w:rPr>
        <w:t>Nghị viện châu Âu (2014), Quy định (EU) số 910/2014 của Nghị viện châu Âu và Hội đồng về định danh điện tử và các dịch vụ tin cậy đối với giao dịch điện tử trong thị trường nội khối, đồng thời bãi bỏ Chỉ thị 1999/93/EC</w:t>
      </w:r>
      <w:r w:rsidRPr="00C1535B">
        <w:rPr>
          <w:rFonts w:asciiTheme="minorBidi" w:hAnsiTheme="minorBidi" w:cstheme="minorBidi"/>
        </w:rPr>
        <w:t xml:space="preserve">, </w:t>
      </w:r>
      <w:hyperlink r:id="rId96" w:history="1">
        <w:r w:rsidRPr="00C1535B">
          <w:rPr>
            <w:rStyle w:val="Hyperlink"/>
            <w:rFonts w:asciiTheme="minorBidi" w:hAnsiTheme="minorBidi" w:cstheme="minorBidi"/>
            <w:color w:val="auto"/>
          </w:rPr>
          <w:t>https://eur-lex.europa.eu/legal-content/EN/TXT/?uri=CELEX%3A02014R0910-20240520</w:t>
        </w:r>
      </w:hyperlink>
    </w:p>
  </w:footnote>
  <w:footnote w:id="106">
    <w:p w14:paraId="41C471FA" w14:textId="4589A24C" w:rsidR="00272D70" w:rsidRPr="00C1535B" w:rsidRDefault="00272D70" w:rsidP="00272D70">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ASC X9 (2019) </w:t>
      </w:r>
      <w:r w:rsidR="007B0916" w:rsidRPr="007B0916">
        <w:rPr>
          <w:rFonts w:asciiTheme="minorBidi" w:hAnsiTheme="minorBidi" w:cstheme="minorBidi"/>
        </w:rPr>
        <w:t>ASC X9 sẽ đảm nhiệm vai trò Nhóm Tư vấn Kỹ thuật của Hoa Kỳ cho Ủy ban Tiêu chuẩn ISO TC 321 – Bảo đảm giao dịch trong thương mại điện tử</w:t>
      </w:r>
      <w:r w:rsidRPr="00C1535B">
        <w:rPr>
          <w:rFonts w:asciiTheme="minorBidi" w:hAnsiTheme="minorBidi" w:cstheme="minorBidi"/>
        </w:rPr>
        <w:t xml:space="preserve">, </w:t>
      </w:r>
      <w:hyperlink r:id="rId97" w:history="1">
        <w:r w:rsidRPr="00C1535B">
          <w:rPr>
            <w:rStyle w:val="Hyperlink"/>
            <w:rFonts w:asciiTheme="minorBidi" w:hAnsiTheme="minorBidi" w:cstheme="minorBidi"/>
            <w:color w:val="auto"/>
          </w:rPr>
          <w:t>https://x9.org/wp-content/uploads/2019/11/X9-TAG-for-ISO-TC-321-FINAL.pdf</w:t>
        </w:r>
      </w:hyperlink>
    </w:p>
  </w:footnote>
  <w:footnote w:id="107">
    <w:p w14:paraId="3656517F" w14:textId="1D6B9871" w:rsidR="0081310A" w:rsidRPr="00C1535B" w:rsidRDefault="0081310A" w:rsidP="002C2530">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7B0916">
        <w:rPr>
          <w:rFonts w:asciiTheme="minorBidi" w:hAnsiTheme="minorBidi" w:cstheme="minorBidi"/>
        </w:rPr>
        <w:t>Diễn đàn Kinh tế thế giới</w:t>
      </w:r>
      <w:r w:rsidRPr="00C1535B">
        <w:rPr>
          <w:rFonts w:asciiTheme="minorBidi" w:hAnsiTheme="minorBidi" w:cstheme="minorBidi"/>
        </w:rPr>
        <w:t xml:space="preserve"> (2023) </w:t>
      </w:r>
      <w:r w:rsidR="007B0916">
        <w:rPr>
          <w:rFonts w:asciiTheme="minorBidi" w:hAnsiTheme="minorBidi" w:cstheme="minorBidi"/>
        </w:rPr>
        <w:t>Thanh toán nhanh xuyên biên giới ASEAN</w:t>
      </w:r>
      <w:r w:rsidRPr="00C1535B">
        <w:rPr>
          <w:rFonts w:asciiTheme="minorBidi" w:hAnsiTheme="minorBidi" w:cstheme="minorBidi"/>
        </w:rPr>
        <w:t xml:space="preserve">, </w:t>
      </w:r>
      <w:hyperlink r:id="rId98" w:history="1">
        <w:r w:rsidRPr="00C1535B">
          <w:rPr>
            <w:rStyle w:val="Hyperlink"/>
            <w:rFonts w:asciiTheme="minorBidi" w:hAnsiTheme="minorBidi" w:cstheme="minorBidi"/>
            <w:color w:val="auto"/>
          </w:rPr>
          <w:t>https://www.weforum.org/agenda/2023/11/asean-instant-cross-border-payments-paynow-promptpay/</w:t>
        </w:r>
      </w:hyperlink>
      <w:r w:rsidRPr="00C1535B">
        <w:rPr>
          <w:rFonts w:asciiTheme="minorBidi" w:hAnsiTheme="minorBidi" w:cstheme="minorBidi"/>
        </w:rPr>
        <w:t xml:space="preserve">. </w:t>
      </w:r>
    </w:p>
  </w:footnote>
  <w:footnote w:id="108">
    <w:p w14:paraId="38340532" w14:textId="2FEA6B83" w:rsidR="00442DF7" w:rsidRPr="00C1535B" w:rsidRDefault="00442DF7" w:rsidP="00442DF7">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FB6362">
        <w:rPr>
          <w:rFonts w:asciiTheme="minorBidi" w:hAnsiTheme="minorBidi" w:cstheme="minorBidi"/>
        </w:rPr>
        <w:t>Ban Thư ký ASEAN</w:t>
      </w:r>
      <w:r w:rsidRPr="00C1535B">
        <w:rPr>
          <w:rFonts w:asciiTheme="minorBidi" w:hAnsiTheme="minorBidi" w:cstheme="minorBidi"/>
        </w:rPr>
        <w:t xml:space="preserve"> (2023) </w:t>
      </w:r>
      <w:r w:rsidR="007B0916">
        <w:rPr>
          <w:rFonts w:asciiTheme="minorBidi" w:hAnsiTheme="minorBidi" w:cstheme="minorBidi"/>
        </w:rPr>
        <w:t>Hiệp định khung ASEAN về Kinh tế số</w:t>
      </w:r>
      <w:r w:rsidRPr="00C1535B">
        <w:rPr>
          <w:rFonts w:asciiTheme="minorBidi" w:hAnsiTheme="minorBidi" w:cstheme="minorBidi"/>
        </w:rPr>
        <w:t xml:space="preserve"> (DEFA): </w:t>
      </w:r>
      <w:r w:rsidR="007B0916">
        <w:rPr>
          <w:rFonts w:asciiTheme="minorBidi" w:hAnsiTheme="minorBidi" w:cstheme="minorBidi"/>
        </w:rPr>
        <w:t>ASEAN bước dài đến kinh tế số và mang lại 2 tỷ USD vào năm 2030</w:t>
      </w:r>
      <w:r w:rsidRPr="00C1535B">
        <w:rPr>
          <w:rFonts w:asciiTheme="minorBidi" w:hAnsiTheme="minorBidi" w:cstheme="minorBidi"/>
        </w:rPr>
        <w:t xml:space="preserve">, </w:t>
      </w:r>
      <w:hyperlink r:id="rId99" w:history="1">
        <w:r w:rsidRPr="00C1535B">
          <w:rPr>
            <w:rStyle w:val="Hyperlink"/>
            <w:rFonts w:asciiTheme="minorBidi" w:hAnsiTheme="minorBidi" w:cstheme="minorBidi"/>
            <w:color w:val="auto"/>
          </w:rPr>
          <w:t>https://asean.org/asean-defa-study-projects-digital-economy-leap-to-us2tn-by-2030/</w:t>
        </w:r>
      </w:hyperlink>
      <w:r w:rsidRPr="00C1535B">
        <w:rPr>
          <w:rFonts w:asciiTheme="minorBidi" w:hAnsiTheme="minorBidi" w:cstheme="minorBidi"/>
        </w:rPr>
        <w:t xml:space="preserve"> </w:t>
      </w:r>
    </w:p>
  </w:footnote>
  <w:footnote w:id="109">
    <w:p w14:paraId="66A57941" w14:textId="49C68756" w:rsidR="0081310A" w:rsidRPr="00C1535B" w:rsidRDefault="0081310A" w:rsidP="00070FFD">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FB6362">
        <w:rPr>
          <w:rFonts w:asciiTheme="minorBidi" w:hAnsiTheme="minorBidi" w:cstheme="minorBidi"/>
        </w:rPr>
        <w:t>Ban Thư ký ASEAN</w:t>
      </w:r>
      <w:r w:rsidRPr="00C1535B">
        <w:rPr>
          <w:rFonts w:asciiTheme="minorBidi" w:hAnsiTheme="minorBidi" w:cstheme="minorBidi"/>
        </w:rPr>
        <w:t xml:space="preserve"> (2023) </w:t>
      </w:r>
      <w:r w:rsidR="007B0916">
        <w:rPr>
          <w:rFonts w:asciiTheme="minorBidi" w:hAnsiTheme="minorBidi" w:cstheme="minorBidi"/>
        </w:rPr>
        <w:t>Hiệp định khung ASEAN về Kinh tế số</w:t>
      </w:r>
      <w:r w:rsidRPr="00C1535B">
        <w:rPr>
          <w:rFonts w:asciiTheme="minorBidi" w:hAnsiTheme="minorBidi" w:cstheme="minorBidi"/>
        </w:rPr>
        <w:t xml:space="preserve"> (DEFA): </w:t>
      </w:r>
      <w:r w:rsidR="007B0916">
        <w:rPr>
          <w:rFonts w:asciiTheme="minorBidi" w:hAnsiTheme="minorBidi" w:cstheme="minorBidi"/>
        </w:rPr>
        <w:t>ASEAN bước dài đến kinh tế số và mang lại 2 tỷ USD vào năm 2030</w:t>
      </w:r>
      <w:r w:rsidRPr="00C1535B">
        <w:rPr>
          <w:rFonts w:asciiTheme="minorBidi" w:hAnsiTheme="minorBidi" w:cstheme="minorBidi"/>
        </w:rPr>
        <w:t xml:space="preserve">, </w:t>
      </w:r>
      <w:hyperlink r:id="rId100" w:history="1">
        <w:r w:rsidRPr="00C1535B">
          <w:rPr>
            <w:rStyle w:val="Hyperlink"/>
            <w:rFonts w:asciiTheme="minorBidi" w:hAnsiTheme="minorBidi" w:cstheme="minorBidi"/>
            <w:color w:val="auto"/>
          </w:rPr>
          <w:t>https://asean.org/asean-defa-study-projects-digital-economy-leap-to-us2tn-by-2030/</w:t>
        </w:r>
      </w:hyperlink>
      <w:r w:rsidRPr="00C1535B">
        <w:rPr>
          <w:rFonts w:asciiTheme="minorBidi" w:hAnsiTheme="minorBidi" w:cstheme="minorBidi"/>
        </w:rPr>
        <w:t xml:space="preserve"> </w:t>
      </w:r>
    </w:p>
  </w:footnote>
  <w:footnote w:id="110">
    <w:p w14:paraId="25CCD1A1" w14:textId="7D1E753F" w:rsidR="00442DF7" w:rsidRPr="00C1535B" w:rsidRDefault="00442DF7" w:rsidP="00442DF7">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(2021) </w:t>
      </w:r>
      <w:r w:rsidR="007B0916">
        <w:rPr>
          <w:rFonts w:asciiTheme="minorBidi" w:hAnsiTheme="minorBidi" w:cstheme="minorBidi"/>
        </w:rPr>
        <w:t>Hình ảnh minh họa DTSCWG</w:t>
      </w:r>
      <w:r w:rsidRPr="00C1535B">
        <w:rPr>
          <w:rFonts w:asciiTheme="minorBidi" w:hAnsiTheme="minorBidi" w:cstheme="minorBidi"/>
        </w:rPr>
        <w:t xml:space="preserve">, </w:t>
      </w:r>
      <w:hyperlink r:id="rId101" w:history="1">
        <w:r w:rsidRPr="00C1535B">
          <w:rPr>
            <w:rStyle w:val="Hyperlink"/>
            <w:rFonts w:asciiTheme="minorBidi" w:hAnsiTheme="minorBidi" w:cstheme="minorBidi"/>
            <w:color w:val="auto"/>
          </w:rPr>
          <w:t>https://asean.org/wp-content/uploads/2021/12/DTSCWG-Infographic-final.pdf</w:t>
        </w:r>
      </w:hyperlink>
      <w:r w:rsidRPr="00C1535B">
        <w:rPr>
          <w:rFonts w:asciiTheme="minorBidi" w:hAnsiTheme="minorBidi" w:cstheme="minorBidi"/>
        </w:rPr>
        <w:t xml:space="preserve"> </w:t>
      </w:r>
    </w:p>
  </w:footnote>
  <w:footnote w:id="111">
    <w:p w14:paraId="6AFB19FE" w14:textId="70331C08" w:rsidR="00442DF7" w:rsidRPr="00C1535B" w:rsidRDefault="00442DF7" w:rsidP="00442DF7">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IMDA (2022) </w:t>
      </w:r>
      <w:r w:rsidR="007B0916">
        <w:rPr>
          <w:rFonts w:asciiTheme="minorBidi" w:hAnsiTheme="minorBidi" w:cstheme="minorBidi"/>
        </w:rPr>
        <w:t>Bản tin ENGAGE số 7</w:t>
      </w:r>
      <w:r w:rsidRPr="00C1535B">
        <w:rPr>
          <w:rFonts w:asciiTheme="minorBidi" w:hAnsiTheme="minorBidi" w:cstheme="minorBidi"/>
        </w:rPr>
        <w:t xml:space="preserve">, </w:t>
      </w:r>
      <w:hyperlink r:id="rId102" w:history="1">
        <w:r w:rsidRPr="00C1535B">
          <w:rPr>
            <w:rStyle w:val="Hyperlink"/>
            <w:rFonts w:asciiTheme="minorBidi" w:hAnsiTheme="minorBidi" w:cstheme="minorBidi"/>
            <w:color w:val="auto"/>
          </w:rPr>
          <w:t>https://www.imda.gov.sg/-/media/imda/files/programme/nationwide-e-invoicing-framework/engage-newsletter-issue-7-jul--dec-2022.pdf</w:t>
        </w:r>
      </w:hyperlink>
      <w:r w:rsidRPr="00C1535B">
        <w:rPr>
          <w:rFonts w:asciiTheme="minorBidi" w:hAnsiTheme="minorBidi" w:cstheme="minorBidi"/>
        </w:rPr>
        <w:t xml:space="preserve"> </w:t>
      </w:r>
    </w:p>
  </w:footnote>
  <w:footnote w:id="112">
    <w:p w14:paraId="561503A1" w14:textId="5297D269" w:rsidR="00460A81" w:rsidRPr="00C1535B" w:rsidRDefault="00460A81" w:rsidP="00460A81">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FB6362">
        <w:rPr>
          <w:rFonts w:asciiTheme="minorBidi" w:hAnsiTheme="minorBidi" w:cstheme="minorBidi"/>
        </w:rPr>
        <w:t>Ban Thư ký ASEAN</w:t>
      </w:r>
      <w:r w:rsidRPr="00C1535B">
        <w:rPr>
          <w:rFonts w:asciiTheme="minorBidi" w:hAnsiTheme="minorBidi" w:cstheme="minorBidi"/>
        </w:rPr>
        <w:t xml:space="preserve"> (2023) </w:t>
      </w:r>
      <w:r w:rsidR="007B0916">
        <w:rPr>
          <w:rFonts w:asciiTheme="minorBidi" w:hAnsiTheme="minorBidi" w:cstheme="minorBidi"/>
        </w:rPr>
        <w:t>Nghiên cứu về Hiệp định khung ASEAN về Kinh tế số: Báo cáo cuối cùng</w:t>
      </w:r>
    </w:p>
  </w:footnote>
  <w:footnote w:id="113">
    <w:p w14:paraId="31349D30" w14:textId="7F2A4496" w:rsidR="0081310A" w:rsidRPr="00C1535B" w:rsidRDefault="0081310A" w:rsidP="005A1309">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ADB (2023) </w:t>
      </w:r>
      <w:r w:rsidR="005B569F">
        <w:rPr>
          <w:rFonts w:asciiTheme="minorBidi" w:hAnsiTheme="minorBidi" w:cstheme="minorBidi"/>
        </w:rPr>
        <w:t>Khai mở Kinh tế số ASEAN mang lại hệ thống thanh toán bao trùm và đáng tin cậy</w:t>
      </w:r>
      <w:r w:rsidRPr="00C1535B">
        <w:rPr>
          <w:rFonts w:asciiTheme="minorBidi" w:hAnsiTheme="minorBidi" w:cstheme="minorBidi"/>
        </w:rPr>
        <w:t xml:space="preserve">, </w:t>
      </w:r>
      <w:hyperlink r:id="rId103" w:history="1">
        <w:r w:rsidRPr="00C1535B">
          <w:rPr>
            <w:rStyle w:val="Hyperlink"/>
            <w:rFonts w:asciiTheme="minorBidi" w:hAnsiTheme="minorBidi" w:cstheme="minorBidi"/>
            <w:color w:val="auto"/>
          </w:rPr>
          <w:t>https://seads.adb.org/solutions/unlocking-aseans-digital-economy-entails-embracing-trustworthy-and-inclusive-payments</w:t>
        </w:r>
      </w:hyperlink>
      <w:r w:rsidRPr="00C1535B">
        <w:rPr>
          <w:rFonts w:asciiTheme="minorBidi" w:hAnsiTheme="minorBidi" w:cstheme="minorBidi"/>
        </w:rPr>
        <w:t xml:space="preserve"> </w:t>
      </w:r>
    </w:p>
  </w:footnote>
  <w:footnote w:id="114">
    <w:p w14:paraId="70F47FDC" w14:textId="48D179B7" w:rsidR="009C3A47" w:rsidRPr="00C1535B" w:rsidRDefault="009C3A47" w:rsidP="009C3A47">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UNICTRAL (n.d.) </w:t>
      </w:r>
      <w:r w:rsidR="005B569F">
        <w:rPr>
          <w:rFonts w:asciiTheme="minorBidi" w:hAnsiTheme="minorBidi" w:cstheme="minorBidi"/>
        </w:rPr>
        <w:t>Luật mẫu về thương mại điện tử của UNCITRAL</w:t>
      </w:r>
      <w:r w:rsidRPr="00C1535B">
        <w:rPr>
          <w:rFonts w:asciiTheme="minorBidi" w:hAnsiTheme="minorBidi" w:cstheme="minorBidi"/>
        </w:rPr>
        <w:t xml:space="preserve"> (1996) </w:t>
      </w:r>
      <w:r w:rsidR="005B569F">
        <w:rPr>
          <w:rFonts w:asciiTheme="minorBidi" w:hAnsiTheme="minorBidi" w:cstheme="minorBidi"/>
        </w:rPr>
        <w:t>bổ sung điều 5bis vào năm 1998</w:t>
      </w:r>
      <w:r w:rsidRPr="00C1535B">
        <w:rPr>
          <w:rFonts w:asciiTheme="minorBidi" w:hAnsiTheme="minorBidi" w:cstheme="minorBidi"/>
        </w:rPr>
        <w:t xml:space="preserve">, </w:t>
      </w:r>
      <w:hyperlink r:id="rId104" w:history="1">
        <w:r w:rsidRPr="00C1535B">
          <w:rPr>
            <w:rStyle w:val="Hyperlink"/>
            <w:rFonts w:asciiTheme="minorBidi" w:hAnsiTheme="minorBidi" w:cstheme="minorBidi"/>
            <w:color w:val="auto"/>
          </w:rPr>
          <w:t>https://uncitral.un.org/en/texts/ecommerce/modellaw/electronic_commerce</w:t>
        </w:r>
      </w:hyperlink>
      <w:r w:rsidRPr="00C1535B">
        <w:rPr>
          <w:rFonts w:asciiTheme="minorBidi" w:hAnsiTheme="minorBidi" w:cstheme="minorBidi"/>
        </w:rPr>
        <w:t xml:space="preserve"> </w:t>
      </w:r>
    </w:p>
  </w:footnote>
  <w:footnote w:id="115">
    <w:p w14:paraId="29098021" w14:textId="64AD9A4D" w:rsidR="005A5AEC" w:rsidRPr="00C1535B" w:rsidRDefault="005A5AEC" w:rsidP="005A5AEC">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UNICTRAL (2017) </w:t>
      </w:r>
      <w:r w:rsidR="005B569F">
        <w:rPr>
          <w:rFonts w:asciiTheme="minorBidi" w:hAnsiTheme="minorBidi" w:cstheme="minorBidi"/>
        </w:rPr>
        <w:t>Luật mẫu về Lưu trữ số chuyển giao được của UNCITRAL</w:t>
      </w:r>
      <w:r w:rsidRPr="00C1535B">
        <w:rPr>
          <w:rFonts w:asciiTheme="minorBidi" w:hAnsiTheme="minorBidi" w:cstheme="minorBidi"/>
        </w:rPr>
        <w:t xml:space="preserve"> (2017), </w:t>
      </w:r>
      <w:hyperlink r:id="rId105" w:history="1">
        <w:r w:rsidRPr="00C1535B">
          <w:rPr>
            <w:rStyle w:val="Hyperlink"/>
            <w:rFonts w:asciiTheme="minorBidi" w:hAnsiTheme="minorBidi" w:cstheme="minorBidi"/>
            <w:color w:val="auto"/>
          </w:rPr>
          <w:t>https://uncitral.un.org/en/texts/ecommerce/modellaw/electronic_transferable_records</w:t>
        </w:r>
      </w:hyperlink>
      <w:r w:rsidRPr="00C1535B">
        <w:rPr>
          <w:rFonts w:asciiTheme="minorBidi" w:hAnsiTheme="minorBidi" w:cstheme="minorBidi"/>
        </w:rPr>
        <w:t xml:space="preserve"> </w:t>
      </w:r>
    </w:p>
  </w:footnote>
  <w:footnote w:id="116">
    <w:p w14:paraId="1B2D86AE" w14:textId="5D75D99F" w:rsidR="00DA3805" w:rsidRPr="00C1535B" w:rsidRDefault="00DA3805" w:rsidP="00DA3805">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5B569F">
        <w:rPr>
          <w:rFonts w:asciiTheme="minorBidi" w:hAnsiTheme="minorBidi" w:cstheme="minorBidi"/>
        </w:rPr>
        <w:t>Thư viện luật Myanmar (2021) Luật số 7/2021 sửa đổi Luật giao dịch điện tử</w:t>
      </w:r>
      <w:r w:rsidRPr="00C1535B">
        <w:rPr>
          <w:rFonts w:asciiTheme="minorBidi" w:hAnsiTheme="minorBidi" w:cstheme="minorBidi"/>
        </w:rPr>
        <w:t xml:space="preserve">, </w:t>
      </w:r>
      <w:hyperlink r:id="rId106" w:history="1">
        <w:r w:rsidRPr="00C1535B">
          <w:rPr>
            <w:rStyle w:val="Hyperlink"/>
            <w:rFonts w:asciiTheme="minorBidi" w:hAnsiTheme="minorBidi" w:cstheme="minorBidi"/>
            <w:color w:val="auto"/>
          </w:rPr>
          <w:t>https://myanmar-law-library.org/law-library/laws-and-regulations/laws/myanmar-laws-1988-until-now/state-administration-council-2021/myanmar-laws-2021/state-administration-council-law-no-07-2021-law-amending-the-electronic.html</w:t>
        </w:r>
      </w:hyperlink>
      <w:r w:rsidRPr="00C1535B">
        <w:rPr>
          <w:rFonts w:asciiTheme="minorBidi" w:hAnsiTheme="minorBidi" w:cstheme="minorBidi"/>
        </w:rPr>
        <w:t xml:space="preserve"> </w:t>
      </w:r>
    </w:p>
  </w:footnote>
  <w:footnote w:id="117">
    <w:p w14:paraId="55BF9832" w14:textId="68E31626" w:rsidR="00CB4B10" w:rsidRPr="00C1535B" w:rsidRDefault="00CB4B10" w:rsidP="00CB4B10">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5B569F">
        <w:rPr>
          <w:rFonts w:asciiTheme="minorBidi" w:hAnsiTheme="minorBidi" w:cstheme="minorBidi"/>
        </w:rPr>
        <w:t xml:space="preserve">Tài chính </w:t>
      </w:r>
      <w:r w:rsidR="005B569F" w:rsidRPr="005B569F">
        <w:rPr>
          <w:rFonts w:asciiTheme="minorBidi" w:hAnsiTheme="minorBidi" w:cstheme="minorBidi"/>
        </w:rPr>
        <w:t xml:space="preserve">Thương mại </w:t>
      </w:r>
      <w:r w:rsidR="005B569F">
        <w:rPr>
          <w:rFonts w:asciiTheme="minorBidi" w:hAnsiTheme="minorBidi" w:cstheme="minorBidi"/>
        </w:rPr>
        <w:t>toàn cầu</w:t>
      </w:r>
      <w:r w:rsidRPr="00C1535B">
        <w:rPr>
          <w:rFonts w:asciiTheme="minorBidi" w:hAnsiTheme="minorBidi" w:cstheme="minorBidi"/>
        </w:rPr>
        <w:t xml:space="preserve"> (2023)</w:t>
      </w:r>
      <w:r w:rsidR="00852DEA">
        <w:rPr>
          <w:rFonts w:asciiTheme="minorBidi" w:hAnsiTheme="minorBidi" w:cstheme="minorBidi"/>
        </w:rPr>
        <w:t xml:space="preserve"> Tình trạng cập nhật</w:t>
      </w:r>
      <w:r w:rsidRPr="00C1535B">
        <w:rPr>
          <w:rFonts w:asciiTheme="minorBidi" w:hAnsiTheme="minorBidi" w:cstheme="minorBidi"/>
        </w:rPr>
        <w:t xml:space="preserve">: </w:t>
      </w:r>
      <w:r w:rsidR="00852DEA">
        <w:rPr>
          <w:rFonts w:asciiTheme="minorBidi" w:hAnsiTheme="minorBidi" w:cstheme="minorBidi"/>
        </w:rPr>
        <w:t xml:space="preserve">áp dụng </w:t>
      </w:r>
      <w:r w:rsidRPr="00C1535B">
        <w:rPr>
          <w:rFonts w:asciiTheme="minorBidi" w:hAnsiTheme="minorBidi" w:cstheme="minorBidi"/>
        </w:rPr>
        <w:t xml:space="preserve">MLETR </w:t>
      </w:r>
      <w:r w:rsidR="00852DEA">
        <w:rPr>
          <w:rFonts w:asciiTheme="minorBidi" w:hAnsiTheme="minorBidi" w:cstheme="minorBidi"/>
        </w:rPr>
        <w:t xml:space="preserve">ở </w:t>
      </w:r>
      <w:r w:rsidRPr="00C1535B">
        <w:rPr>
          <w:rFonts w:asciiTheme="minorBidi" w:hAnsiTheme="minorBidi" w:cstheme="minorBidi"/>
        </w:rPr>
        <w:t xml:space="preserve">G7 </w:t>
      </w:r>
      <w:r w:rsidR="00852DEA">
        <w:rPr>
          <w:rFonts w:asciiTheme="minorBidi" w:hAnsiTheme="minorBidi" w:cstheme="minorBidi"/>
        </w:rPr>
        <w:t>và các thị trường đang nổi</w:t>
      </w:r>
      <w:r w:rsidRPr="00C1535B">
        <w:rPr>
          <w:rFonts w:asciiTheme="minorBidi" w:hAnsiTheme="minorBidi" w:cstheme="minorBidi"/>
        </w:rPr>
        <w:t xml:space="preserve">, </w:t>
      </w:r>
      <w:hyperlink r:id="rId107" w:history="1">
        <w:r w:rsidRPr="00C1535B">
          <w:rPr>
            <w:rStyle w:val="Hyperlink"/>
            <w:rFonts w:asciiTheme="minorBidi" w:hAnsiTheme="minorBidi" w:cstheme="minorBidi"/>
            <w:color w:val="auto"/>
          </w:rPr>
          <w:t>https://www.tradefinanceglobal.com/posts/status-update-mletr-adoption-in-the-g7-and-emerging-markets/</w:t>
        </w:r>
      </w:hyperlink>
    </w:p>
  </w:footnote>
  <w:footnote w:id="118">
    <w:p w14:paraId="64FD3D3F" w14:textId="03F0E49A" w:rsidR="00CB4B10" w:rsidRPr="00C1535B" w:rsidRDefault="00CB4B10" w:rsidP="00CB4B10">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FB6362">
        <w:rPr>
          <w:rFonts w:asciiTheme="minorBidi" w:hAnsiTheme="minorBidi" w:cstheme="minorBidi"/>
        </w:rPr>
        <w:t>Ban Thư ký ASEAN</w:t>
      </w:r>
      <w:r w:rsidRPr="00C1535B">
        <w:rPr>
          <w:rFonts w:asciiTheme="minorBidi" w:hAnsiTheme="minorBidi" w:cstheme="minorBidi"/>
        </w:rPr>
        <w:t xml:space="preserve"> (2023) </w:t>
      </w:r>
      <w:r w:rsidR="00852DEA">
        <w:rPr>
          <w:rFonts w:asciiTheme="minorBidi" w:hAnsiTheme="minorBidi" w:cstheme="minorBidi"/>
        </w:rPr>
        <w:t>Nghiên cứu về Hiệp định khung ASEAN về Kinh tế số (DEFA)</w:t>
      </w:r>
    </w:p>
  </w:footnote>
  <w:footnote w:id="119">
    <w:p w14:paraId="1DAE802C" w14:textId="40F15393" w:rsidR="0081310A" w:rsidRPr="00C1535B" w:rsidRDefault="0081310A" w:rsidP="007064D7">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UN/CEFACT (2023) </w:t>
      </w:r>
      <w:r w:rsidR="00852DEA">
        <w:rPr>
          <w:rFonts w:asciiTheme="minorBidi" w:hAnsiTheme="minorBidi" w:cstheme="minorBidi"/>
        </w:rPr>
        <w:t>Tờ trắng, chuyển giao Luật mẫu về dữ liệu điện tử chuyển giao được</w:t>
      </w:r>
      <w:r w:rsidRPr="00C1535B">
        <w:rPr>
          <w:rFonts w:asciiTheme="minorBidi" w:hAnsiTheme="minorBidi" w:cstheme="minorBidi"/>
        </w:rPr>
        <w:t xml:space="preserve">, </w:t>
      </w:r>
      <w:hyperlink r:id="rId108" w:history="1">
        <w:r w:rsidRPr="00C1535B">
          <w:rPr>
            <w:rStyle w:val="Hyperlink"/>
            <w:rFonts w:asciiTheme="minorBidi" w:hAnsiTheme="minorBidi" w:cstheme="minorBidi"/>
            <w:color w:val="auto"/>
          </w:rPr>
          <w:t>https://unece.org/sites/default/files/2023-09/WhitePaper_Transfer-MLETR.pdf</w:t>
        </w:r>
      </w:hyperlink>
    </w:p>
  </w:footnote>
  <w:footnote w:id="120">
    <w:p w14:paraId="304A94ED" w14:textId="77777777" w:rsidR="003D0B74" w:rsidRPr="00C1535B" w:rsidRDefault="003D0B74" w:rsidP="003D0B74">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IMDA (n.d.) PEPPOL, </w:t>
      </w:r>
      <w:hyperlink r:id="rId109" w:history="1">
        <w:r w:rsidRPr="00C1535B">
          <w:rPr>
            <w:rStyle w:val="Hyperlink"/>
            <w:rFonts w:asciiTheme="minorBidi" w:hAnsiTheme="minorBidi" w:cstheme="minorBidi"/>
            <w:color w:val="auto"/>
          </w:rPr>
          <w:t>https://www.imda.gov.sg/-/media/imda/files/industry-development/infrastructure/technology/peppol-factsheet--website-final.pdf</w:t>
        </w:r>
      </w:hyperlink>
      <w:r w:rsidRPr="00C1535B">
        <w:rPr>
          <w:rFonts w:asciiTheme="minorBidi" w:hAnsiTheme="minorBidi" w:cstheme="minorBidi"/>
        </w:rPr>
        <w:t xml:space="preserve"> </w:t>
      </w:r>
    </w:p>
  </w:footnote>
  <w:footnote w:id="121">
    <w:p w14:paraId="61944265" w14:textId="32F61786" w:rsidR="003D0B74" w:rsidRPr="00C1535B" w:rsidRDefault="003D0B74" w:rsidP="003D0B74">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UNECE (2018), </w:t>
      </w:r>
      <w:r w:rsidR="006F703C">
        <w:rPr>
          <w:rFonts w:asciiTheme="minorBidi" w:hAnsiTheme="minorBidi" w:cstheme="minorBidi"/>
        </w:rPr>
        <w:t>Hướng dẫn về hóa đơn điện tử</w:t>
      </w:r>
      <w:r w:rsidRPr="00C1535B">
        <w:rPr>
          <w:rFonts w:asciiTheme="minorBidi" w:hAnsiTheme="minorBidi" w:cstheme="minorBidi"/>
        </w:rPr>
        <w:t xml:space="preserve">, </w:t>
      </w:r>
      <w:hyperlink r:id="rId110" w:history="1">
        <w:r w:rsidRPr="00C1535B">
          <w:rPr>
            <w:rStyle w:val="Hyperlink"/>
            <w:rFonts w:asciiTheme="minorBidi" w:hAnsiTheme="minorBidi" w:cstheme="minorBidi"/>
            <w:color w:val="auto"/>
          </w:rPr>
          <w:t>https://unece.org/fileadmin/DAM/cefact/GuidanceMaterials/ExecutiveGuides/eInvoicing-ExecGuide_Eng.pdf</w:t>
        </w:r>
      </w:hyperlink>
      <w:r w:rsidRPr="00C1535B">
        <w:rPr>
          <w:rFonts w:asciiTheme="minorBidi" w:hAnsiTheme="minorBidi" w:cstheme="minorBidi"/>
        </w:rPr>
        <w:t xml:space="preserve"> </w:t>
      </w:r>
    </w:p>
  </w:footnote>
  <w:footnote w:id="122">
    <w:p w14:paraId="2CDDEDE5" w14:textId="4637E124" w:rsidR="0081310A" w:rsidRPr="00C1535B" w:rsidRDefault="0081310A">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6F703C" w:rsidRPr="006F703C">
        <w:rPr>
          <w:rFonts w:asciiTheme="minorBidi" w:hAnsiTheme="minorBidi" w:cstheme="minorBidi"/>
        </w:rPr>
        <w:t>Dựa trên các nhận định thu được từ cuộc tham vấn song phương “Việc tiếp nhận và triển khai các tiêu chuẩn thương mại số trong ASEAN” được tổ chức ngày 28 tháng 8 năm 2024, với sự tham gia của sáu chuyên gia đến từ Phái đoàn Vương quốc Anh tại ASEAN</w:t>
      </w:r>
      <w:r w:rsidRPr="00C1535B">
        <w:rPr>
          <w:rFonts w:asciiTheme="minorBidi" w:hAnsiTheme="minorBidi" w:cstheme="minorBidi"/>
        </w:rPr>
        <w:t xml:space="preserve">. </w:t>
      </w:r>
    </w:p>
  </w:footnote>
  <w:footnote w:id="123">
    <w:p w14:paraId="604C94AC" w14:textId="73F9B520" w:rsidR="00182FE0" w:rsidRPr="00C1535B" w:rsidRDefault="00182FE0" w:rsidP="00182FE0">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PEPPOL (2020), Singapore—</w:t>
      </w:r>
      <w:r w:rsidR="006F703C">
        <w:rPr>
          <w:rFonts w:asciiTheme="minorBidi" w:hAnsiTheme="minorBidi" w:cstheme="minorBidi"/>
        </w:rPr>
        <w:t>Hồ sơ quốc gia</w:t>
      </w:r>
      <w:r w:rsidRPr="00C1535B">
        <w:rPr>
          <w:rFonts w:asciiTheme="minorBidi" w:hAnsiTheme="minorBidi" w:cstheme="minorBidi"/>
        </w:rPr>
        <w:t xml:space="preserve">, </w:t>
      </w:r>
      <w:hyperlink r:id="rId111" w:history="1">
        <w:r w:rsidRPr="00C1535B">
          <w:rPr>
            <w:rStyle w:val="Hyperlink"/>
            <w:rFonts w:asciiTheme="minorBidi" w:hAnsiTheme="minorBidi" w:cstheme="minorBidi"/>
            <w:color w:val="auto"/>
          </w:rPr>
          <w:t>https://peppol.eu/what-is-peppol/peppol-country-profiles/singapore-country-profile</w:t>
        </w:r>
      </w:hyperlink>
      <w:r w:rsidRPr="00C1535B">
        <w:rPr>
          <w:rFonts w:asciiTheme="minorBidi" w:hAnsiTheme="minorBidi" w:cstheme="minorBidi"/>
        </w:rPr>
        <w:t xml:space="preserve">; MDEC (2024) </w:t>
      </w:r>
      <w:r w:rsidR="006F703C">
        <w:rPr>
          <w:rFonts w:asciiTheme="minorBidi" w:hAnsiTheme="minorBidi" w:cstheme="minorBidi"/>
        </w:rPr>
        <w:t>Sáng kiến hóa đơn điện tử quốc gia</w:t>
      </w:r>
      <w:r w:rsidRPr="00C1535B">
        <w:rPr>
          <w:rFonts w:asciiTheme="minorBidi" w:hAnsiTheme="minorBidi" w:cstheme="minorBidi"/>
        </w:rPr>
        <w:t xml:space="preserve">, </w:t>
      </w:r>
      <w:hyperlink r:id="rId112" w:history="1">
        <w:r w:rsidRPr="00C1535B">
          <w:rPr>
            <w:rStyle w:val="Hyperlink"/>
            <w:rFonts w:asciiTheme="minorBidi" w:hAnsiTheme="minorBidi" w:cstheme="minorBidi"/>
            <w:color w:val="auto"/>
          </w:rPr>
          <w:t>https://mdec.my/national-einvoicing</w:t>
        </w:r>
      </w:hyperlink>
      <w:r w:rsidRPr="00C1535B">
        <w:rPr>
          <w:rStyle w:val="Hyperlink"/>
          <w:rFonts w:asciiTheme="minorBidi" w:hAnsiTheme="minorBidi" w:cstheme="minorBidi"/>
          <w:color w:val="auto"/>
        </w:rPr>
        <w:t xml:space="preserve"> </w:t>
      </w:r>
    </w:p>
  </w:footnote>
  <w:footnote w:id="124">
    <w:p w14:paraId="5257A4AE" w14:textId="7248F0FB" w:rsidR="00182FE0" w:rsidRPr="00C1535B" w:rsidRDefault="00182FE0" w:rsidP="00182FE0">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The Global Treasurer (2019) The PEPPOL Network: </w:t>
      </w:r>
      <w:r w:rsidR="006F703C" w:rsidRPr="006F703C">
        <w:rPr>
          <w:rFonts w:asciiTheme="minorBidi" w:hAnsiTheme="minorBidi" w:cstheme="minorBidi"/>
        </w:rPr>
        <w:t>Trên lộ trình kết nối tới các thị trường châu Á và khu vực xuyên Tasman</w:t>
      </w:r>
      <w:r w:rsidRPr="00C1535B">
        <w:rPr>
          <w:rFonts w:asciiTheme="minorBidi" w:hAnsiTheme="minorBidi" w:cstheme="minorBidi"/>
        </w:rPr>
        <w:t xml:space="preserve">, </w:t>
      </w:r>
      <w:hyperlink r:id="rId113" w:history="1">
        <w:r w:rsidRPr="00C1535B">
          <w:rPr>
            <w:rStyle w:val="Hyperlink"/>
            <w:rFonts w:asciiTheme="minorBidi" w:hAnsiTheme="minorBidi" w:cstheme="minorBidi"/>
            <w:color w:val="auto"/>
          </w:rPr>
          <w:t>www.theglobaltreasurer.com/2019/12/13/the-peppol-network-on-the-highway-to-asian-and-trans-tasman-markets</w:t>
        </w:r>
      </w:hyperlink>
    </w:p>
  </w:footnote>
  <w:footnote w:id="125">
    <w:p w14:paraId="3F8E482D" w14:textId="3E9C1CD2" w:rsidR="00F653E0" w:rsidRPr="00C1535B" w:rsidRDefault="00F653E0" w:rsidP="00F653E0">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SNI Technology (2022) </w:t>
      </w:r>
      <w:r w:rsidR="006F703C">
        <w:rPr>
          <w:rFonts w:asciiTheme="minorBidi" w:hAnsiTheme="minorBidi" w:cstheme="minorBidi"/>
        </w:rPr>
        <w:t xml:space="preserve">Hóa đơn điện tử bắt buộc ở Hàn Quốc năm </w:t>
      </w:r>
      <w:r w:rsidRPr="00C1535B">
        <w:rPr>
          <w:rFonts w:asciiTheme="minorBidi" w:hAnsiTheme="minorBidi" w:cstheme="minorBidi"/>
        </w:rPr>
        <w:t xml:space="preserve">2022, </w:t>
      </w:r>
      <w:hyperlink r:id="rId114" w:history="1">
        <w:r w:rsidRPr="00C1535B">
          <w:rPr>
            <w:rStyle w:val="Hyperlink"/>
            <w:rFonts w:asciiTheme="minorBidi" w:hAnsiTheme="minorBidi" w:cstheme="minorBidi"/>
            <w:color w:val="auto"/>
          </w:rPr>
          <w:t>https://snitechnology.net/mandatory-e-invoicing-in-south-korea-in-2022/</w:t>
        </w:r>
      </w:hyperlink>
      <w:r w:rsidRPr="00C1535B">
        <w:rPr>
          <w:rFonts w:asciiTheme="minorBidi" w:hAnsiTheme="minorBidi" w:cstheme="minorBidi"/>
        </w:rPr>
        <w:t xml:space="preserve"> </w:t>
      </w:r>
    </w:p>
  </w:footnote>
  <w:footnote w:id="126">
    <w:p w14:paraId="2E3AB42B" w14:textId="19F3DB24" w:rsidR="00F653E0" w:rsidRPr="00C1535B" w:rsidRDefault="00F653E0" w:rsidP="00F653E0">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Pagero (2022) </w:t>
      </w:r>
      <w:r w:rsidR="006F703C">
        <w:rPr>
          <w:rFonts w:asciiTheme="minorBidi" w:hAnsiTheme="minorBidi" w:cstheme="minorBidi"/>
        </w:rPr>
        <w:t>Sự trỗi dậy của mô hình CTC hóa đơn điện tử trên thế giới</w:t>
      </w:r>
      <w:r w:rsidRPr="00C1535B">
        <w:rPr>
          <w:rFonts w:asciiTheme="minorBidi" w:hAnsiTheme="minorBidi" w:cstheme="minorBidi"/>
        </w:rPr>
        <w:t xml:space="preserve">, </w:t>
      </w:r>
      <w:hyperlink r:id="rId115" w:history="1">
        <w:r w:rsidRPr="00C1535B">
          <w:rPr>
            <w:rStyle w:val="Hyperlink"/>
            <w:rFonts w:asciiTheme="minorBidi" w:hAnsiTheme="minorBidi" w:cstheme="minorBidi"/>
            <w:color w:val="auto"/>
          </w:rPr>
          <w:t>www.pagero.com/blog/e-invoicing-ctc-models/</w:t>
        </w:r>
      </w:hyperlink>
    </w:p>
  </w:footnote>
  <w:footnote w:id="127">
    <w:p w14:paraId="4F58B80F" w14:textId="4FC898E8" w:rsidR="00BF0BFE" w:rsidRPr="00C1535B" w:rsidRDefault="00BF0BFE" w:rsidP="00BF0BFE">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6F703C" w:rsidRPr="006F703C">
        <w:rPr>
          <w:rFonts w:asciiTheme="minorBidi" w:hAnsiTheme="minorBidi" w:cstheme="minorBidi"/>
        </w:rPr>
        <w:t>Hiệp hội Viễn thông Tài chính Liên ngân hàng Toàn cầu (2024), Vì sao ISO 20022</w:t>
      </w:r>
      <w:r w:rsidRPr="00C1535B">
        <w:rPr>
          <w:rFonts w:asciiTheme="minorBidi" w:hAnsiTheme="minorBidi" w:cstheme="minorBidi"/>
        </w:rPr>
        <w:t xml:space="preserve">?, </w:t>
      </w:r>
      <w:hyperlink r:id="rId116" w:history="1">
        <w:r w:rsidRPr="00C1535B">
          <w:rPr>
            <w:rStyle w:val="Hyperlink"/>
            <w:rFonts w:asciiTheme="minorBidi" w:hAnsiTheme="minorBidi" w:cstheme="minorBidi"/>
            <w:color w:val="auto"/>
          </w:rPr>
          <w:t>https://www.swift.com/standards/iso-20022/supercharge-your-payments-business/chapter-2</w:t>
        </w:r>
      </w:hyperlink>
      <w:r w:rsidRPr="00C1535B">
        <w:rPr>
          <w:rFonts w:asciiTheme="minorBidi" w:hAnsiTheme="minorBidi" w:cstheme="minorBidi"/>
        </w:rPr>
        <w:t xml:space="preserve"> </w:t>
      </w:r>
    </w:p>
  </w:footnote>
  <w:footnote w:id="128">
    <w:p w14:paraId="703D0143" w14:textId="7795346C" w:rsidR="00BF0BFE" w:rsidRPr="00C1535B" w:rsidRDefault="00BF0BFE" w:rsidP="00BF0BFE">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6F703C" w:rsidRPr="006F703C">
        <w:rPr>
          <w:rFonts w:asciiTheme="minorBidi" w:hAnsiTheme="minorBidi" w:cstheme="minorBidi"/>
        </w:rPr>
        <w:t>Hiệp hội Viễn thông Tài chính Liên ngân hàng Toàn cầu (2017), Thúc đẩy hội nhập tài chính trong khu vực ASEAN</w:t>
      </w:r>
      <w:r w:rsidRPr="00C1535B">
        <w:rPr>
          <w:rFonts w:asciiTheme="minorBidi" w:hAnsiTheme="minorBidi" w:cstheme="minorBidi"/>
        </w:rPr>
        <w:t xml:space="preserve">, </w:t>
      </w:r>
      <w:hyperlink r:id="rId117" w:history="1">
        <w:r w:rsidRPr="00C1535B">
          <w:rPr>
            <w:rStyle w:val="Hyperlink"/>
            <w:rFonts w:asciiTheme="minorBidi" w:hAnsiTheme="minorBidi" w:cstheme="minorBidi"/>
            <w:color w:val="auto"/>
          </w:rPr>
          <w:t>https://www.eu-asean.eu/wp-content/uploads/2022/02/63371b_c07c932e824d43c5b4589754ffd80a89.pdf</w:t>
        </w:r>
      </w:hyperlink>
      <w:r w:rsidRPr="00C1535B">
        <w:rPr>
          <w:rFonts w:asciiTheme="minorBidi" w:hAnsiTheme="minorBidi" w:cstheme="minorBidi"/>
        </w:rPr>
        <w:t xml:space="preserve"> </w:t>
      </w:r>
    </w:p>
  </w:footnote>
  <w:footnote w:id="129">
    <w:p w14:paraId="1EEE6F86" w14:textId="57C4CFE4" w:rsidR="00BF0BFE" w:rsidRPr="00C1535B" w:rsidRDefault="00BF0BFE" w:rsidP="00BF0BFE">
      <w:pPr>
        <w:pStyle w:val="FootnoteText"/>
        <w:jc w:val="left"/>
        <w:rPr>
          <w:rFonts w:asciiTheme="minorBidi" w:hAnsiTheme="minorBidi" w:cstheme="minorBidi"/>
          <w:b/>
        </w:rPr>
      </w:pPr>
      <w:r w:rsidRPr="00C1535B">
        <w:rPr>
          <w:rStyle w:val="FootnoteReference"/>
          <w:rFonts w:asciiTheme="minorBidi" w:hAnsiTheme="minorBidi" w:cstheme="minorBidi"/>
        </w:rPr>
        <w:footnoteRef/>
      </w:r>
      <w:r w:rsidRPr="00C1535B">
        <w:rPr>
          <w:rFonts w:asciiTheme="minorBidi" w:hAnsiTheme="minorBidi" w:cstheme="minorBidi"/>
        </w:rPr>
        <w:t xml:space="preserve"> ISO (2023)</w:t>
      </w:r>
      <w:r w:rsidRPr="00FD4695">
        <w:rPr>
          <w:rFonts w:ascii="MetaWebPro" w:eastAsia="Times New Roman" w:hAnsi="MetaWebPro" w:cs="Times New Roman"/>
          <w:b/>
          <w:sz w:val="2"/>
          <w:szCs w:val="2"/>
          <w:lang w:val="en-SG" w:eastAsia="zh-CN"/>
        </w:rPr>
        <w:t xml:space="preserve"> </w:t>
      </w:r>
      <w:r w:rsidRPr="00C1535B">
        <w:rPr>
          <w:rFonts w:asciiTheme="minorBidi" w:hAnsiTheme="minorBidi" w:cstheme="minorBidi"/>
        </w:rPr>
        <w:t xml:space="preserve">ISO 8583:2023 </w:t>
      </w:r>
      <w:r w:rsidR="006F703C" w:rsidRPr="006F703C">
        <w:rPr>
          <w:rFonts w:asciiTheme="minorBidi" w:hAnsiTheme="minorBidi" w:cstheme="minorBidi"/>
        </w:rPr>
        <w:t>Thông điệp giao dịch tài chính khởi phát từ thẻ — Đặc tả thông điệp trao đổi</w:t>
      </w:r>
      <w:r w:rsidRPr="00C1535B">
        <w:rPr>
          <w:rFonts w:asciiTheme="minorBidi" w:hAnsiTheme="minorBidi" w:cstheme="minorBidi"/>
        </w:rPr>
        <w:t xml:space="preserve">, </w:t>
      </w:r>
      <w:r w:rsidRPr="00C1535B">
        <w:rPr>
          <w:rFonts w:asciiTheme="minorBidi" w:hAnsiTheme="minorBidi" w:cstheme="minorBidi"/>
          <w:u w:val="single"/>
        </w:rPr>
        <w:t>https://www.iso.org/obp/ui/en/#iso:std:iso:8583:ed-3:v1:en</w:t>
      </w:r>
    </w:p>
  </w:footnote>
  <w:footnote w:id="130">
    <w:p w14:paraId="345F39B1" w14:textId="5173E30C" w:rsidR="006C0BD8" w:rsidRPr="00C1535B" w:rsidRDefault="006C0BD8" w:rsidP="006C0BD8">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FB6362">
        <w:rPr>
          <w:rFonts w:asciiTheme="minorBidi" w:hAnsiTheme="minorBidi" w:cstheme="minorBidi"/>
        </w:rPr>
        <w:t>Ban Thư ký ASEAN</w:t>
      </w:r>
      <w:r w:rsidRPr="00C1535B">
        <w:rPr>
          <w:rFonts w:asciiTheme="minorBidi" w:hAnsiTheme="minorBidi" w:cstheme="minorBidi"/>
        </w:rPr>
        <w:t xml:space="preserve"> (2023) </w:t>
      </w:r>
      <w:r w:rsidR="00852DEA">
        <w:rPr>
          <w:rFonts w:asciiTheme="minorBidi" w:hAnsiTheme="minorBidi" w:cstheme="minorBidi"/>
        </w:rPr>
        <w:t>Nghiên cứu về Hiệp định khung ASEAN về Kinh tế số (DEFA)</w:t>
      </w:r>
    </w:p>
  </w:footnote>
  <w:footnote w:id="131">
    <w:p w14:paraId="6304140D" w14:textId="19A83910" w:rsidR="006C0BD8" w:rsidRPr="00C1535B" w:rsidRDefault="006C0BD8" w:rsidP="006C0BD8">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GLEIF (2024) </w:t>
      </w:r>
      <w:r w:rsidR="006F703C">
        <w:rPr>
          <w:rFonts w:asciiTheme="minorBidi" w:hAnsiTheme="minorBidi" w:cstheme="minorBidi"/>
        </w:rPr>
        <w:t xml:space="preserve">Giới thiệu </w:t>
      </w:r>
      <w:r w:rsidRPr="00C1535B">
        <w:rPr>
          <w:rFonts w:asciiTheme="minorBidi" w:hAnsiTheme="minorBidi" w:cstheme="minorBidi"/>
        </w:rPr>
        <w:t xml:space="preserve">LEI, </w:t>
      </w:r>
      <w:hyperlink r:id="rId118" w:anchor=":~:text=The%20Legal%20Entity%20Identifier%20(LEI)%20is%20a%2020%2Dcharacter,entities%20participating%20in%20financial%20transactions" w:history="1">
        <w:r w:rsidRPr="00C1535B">
          <w:rPr>
            <w:rStyle w:val="Hyperlink"/>
            <w:rFonts w:asciiTheme="minorBidi" w:hAnsiTheme="minorBidi" w:cstheme="minorBidi"/>
            <w:color w:val="auto"/>
          </w:rPr>
          <w:t>https://www.gleif.org/en/about-lei/introducing-the-legal-entity-identifier-lei</w:t>
        </w:r>
      </w:hyperlink>
    </w:p>
  </w:footnote>
  <w:footnote w:id="132">
    <w:p w14:paraId="41C506D6" w14:textId="0127BF5C" w:rsidR="003C59A1" w:rsidRPr="00C1535B" w:rsidRDefault="003C59A1" w:rsidP="003C59A1">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GLEIF (2024) </w:t>
      </w:r>
      <w:r w:rsidR="006F703C">
        <w:rPr>
          <w:rFonts w:asciiTheme="minorBidi" w:hAnsiTheme="minorBidi" w:cstheme="minorBidi"/>
        </w:rPr>
        <w:t>Thanh toán xuyên biên giới</w:t>
      </w:r>
      <w:r w:rsidRPr="00C1535B">
        <w:rPr>
          <w:rFonts w:asciiTheme="minorBidi" w:hAnsiTheme="minorBidi" w:cstheme="minorBidi"/>
        </w:rPr>
        <w:t xml:space="preserve">, </w:t>
      </w:r>
      <w:hyperlink r:id="rId119" w:history="1">
        <w:r w:rsidRPr="00C1535B">
          <w:rPr>
            <w:rStyle w:val="Hyperlink"/>
            <w:rFonts w:asciiTheme="minorBidi" w:hAnsiTheme="minorBidi" w:cstheme="minorBidi"/>
            <w:color w:val="auto"/>
          </w:rPr>
          <w:t>https://www.gleif.org/en/lei-solutions/featuring-the-lei/cross-border-payments</w:t>
        </w:r>
      </w:hyperlink>
      <w:r w:rsidRPr="00C1535B">
        <w:rPr>
          <w:rFonts w:asciiTheme="minorBidi" w:hAnsiTheme="minorBidi" w:cstheme="minorBidi"/>
        </w:rPr>
        <w:t xml:space="preserve"> </w:t>
      </w:r>
    </w:p>
  </w:footnote>
  <w:footnote w:id="133">
    <w:p w14:paraId="2DF6AA4B" w14:textId="77777777" w:rsidR="006F703C" w:rsidRPr="006F703C" w:rsidRDefault="003C59A1" w:rsidP="006F703C">
      <w:pPr>
        <w:spacing w:after="0" w:line="240" w:lineRule="auto"/>
        <w:rPr>
          <w:rFonts w:asciiTheme="minorBidi" w:hAnsiTheme="minorBidi" w:cstheme="minorBidi"/>
          <w:sz w:val="20"/>
          <w:szCs w:val="20"/>
        </w:rPr>
      </w:pPr>
      <w:r w:rsidRPr="00C1535B">
        <w:rPr>
          <w:rStyle w:val="FootnoteReference"/>
          <w:rFonts w:asciiTheme="minorBidi" w:hAnsiTheme="minorBidi" w:cstheme="minorBidi"/>
          <w:sz w:val="20"/>
          <w:szCs w:val="20"/>
        </w:rPr>
        <w:footnoteRef/>
      </w:r>
      <w:r w:rsidRPr="00C1535B">
        <w:rPr>
          <w:rFonts w:asciiTheme="minorBidi" w:hAnsiTheme="minorBidi" w:cstheme="minorBidi"/>
          <w:sz w:val="20"/>
          <w:szCs w:val="20"/>
        </w:rPr>
        <w:t xml:space="preserve"> </w:t>
      </w:r>
      <w:r w:rsidR="006F703C">
        <w:rPr>
          <w:rFonts w:asciiTheme="minorBidi" w:hAnsiTheme="minorBidi" w:cstheme="minorBidi"/>
          <w:sz w:val="20"/>
          <w:szCs w:val="20"/>
        </w:rPr>
        <w:t>Lưu ý</w:t>
      </w:r>
      <w:r w:rsidRPr="00C1535B">
        <w:rPr>
          <w:rFonts w:asciiTheme="minorBidi" w:hAnsiTheme="minorBidi" w:cstheme="minorBidi"/>
          <w:sz w:val="20"/>
          <w:szCs w:val="20"/>
        </w:rPr>
        <w:t xml:space="preserve">: </w:t>
      </w:r>
      <w:r w:rsidR="006F703C" w:rsidRPr="006F703C">
        <w:rPr>
          <w:rFonts w:asciiTheme="minorBidi" w:hAnsiTheme="minorBidi" w:cstheme="minorBidi"/>
          <w:sz w:val="20"/>
          <w:szCs w:val="20"/>
        </w:rPr>
        <w:t>Mặc dù nhiều tổ chức tài chính hiện nay đã sử dụng các hệ thống IBAN (Số tài khoản ngân hàng quốc tế) và BIC (Mã định danh ngân hàng) để xác định tài khoản ngân hàng và các tổ chức tài chính trong các giao dịch xuyên biên giới, các định danh này chủ yếu tập trung vào thông tin ở cấp độ tài khoản. LEI cung cấp một lớp minh bạch bổ sung bằng cách xác định các pháp nhân đứng sau các giao dịch, thay vì chỉ xác định các tài khoản hoặc tổ chức liên quan. Sự minh bạch bổ sung này có vai trò thiết yếu trong việc giảm thiểu rủi ro, tăng cường tuân thủ các quy định về phòng, chống rửa tiền (AML) và chống tài trợ khủng bố (CTF), đồng thời củng cố niềm tin trong hệ sinh thái thanh toán quốc tế.</w:t>
      </w:r>
    </w:p>
    <w:p w14:paraId="2D0B405C" w14:textId="6AEFD09E" w:rsidR="003C59A1" w:rsidRPr="00C1535B" w:rsidRDefault="006F703C" w:rsidP="006F703C">
      <w:pPr>
        <w:spacing w:after="0" w:line="240" w:lineRule="auto"/>
        <w:rPr>
          <w:rFonts w:asciiTheme="minorBidi" w:hAnsiTheme="minorBidi" w:cstheme="minorBidi"/>
          <w:sz w:val="20"/>
          <w:szCs w:val="20"/>
        </w:rPr>
      </w:pPr>
      <w:r w:rsidRPr="006F703C">
        <w:rPr>
          <w:rFonts w:asciiTheme="minorBidi" w:hAnsiTheme="minorBidi" w:cstheme="minorBidi"/>
          <w:sz w:val="20"/>
          <w:szCs w:val="20"/>
        </w:rPr>
        <w:t>(Nguồn: SWIFT, không ghi năm – “IBAN”)</w:t>
      </w:r>
      <w:r w:rsidR="003C59A1" w:rsidRPr="00C1535B">
        <w:rPr>
          <w:rFonts w:asciiTheme="minorBidi" w:hAnsiTheme="minorBidi" w:cstheme="minorBidi"/>
          <w:sz w:val="20"/>
          <w:szCs w:val="20"/>
        </w:rPr>
        <w:t xml:space="preserve"> </w:t>
      </w:r>
      <w:hyperlink r:id="rId120" w:history="1">
        <w:r w:rsidR="003C59A1" w:rsidRPr="00C1535B">
          <w:rPr>
            <w:rStyle w:val="Hyperlink"/>
            <w:rFonts w:asciiTheme="minorBidi" w:hAnsiTheme="minorBidi" w:cstheme="minorBidi"/>
            <w:color w:val="auto"/>
            <w:sz w:val="20"/>
            <w:szCs w:val="20"/>
          </w:rPr>
          <w:t>https://www.swift.com/standards/data-standards/iban-international-bank-account-number</w:t>
        </w:r>
      </w:hyperlink>
      <w:r w:rsidR="003C59A1" w:rsidRPr="00C1535B">
        <w:rPr>
          <w:rFonts w:asciiTheme="minorBidi" w:hAnsiTheme="minorBidi" w:cstheme="minorBidi"/>
          <w:sz w:val="20"/>
          <w:szCs w:val="20"/>
        </w:rPr>
        <w:t xml:space="preserve"> </w:t>
      </w:r>
    </w:p>
  </w:footnote>
  <w:footnote w:id="134">
    <w:p w14:paraId="4212E971" w14:textId="11844097" w:rsidR="003C59A1" w:rsidRPr="00C1535B" w:rsidRDefault="003C59A1" w:rsidP="003C59A1">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GLEIF (2024) </w:t>
      </w:r>
      <w:r w:rsidR="006F703C">
        <w:rPr>
          <w:rFonts w:asciiTheme="minorBidi" w:hAnsiTheme="minorBidi" w:cstheme="minorBidi"/>
        </w:rPr>
        <w:t>Thanh toán xuyên biên giới</w:t>
      </w:r>
      <w:r w:rsidRPr="00C1535B">
        <w:rPr>
          <w:rFonts w:asciiTheme="minorBidi" w:hAnsiTheme="minorBidi" w:cstheme="minorBidi"/>
        </w:rPr>
        <w:t xml:space="preserve">, </w:t>
      </w:r>
      <w:hyperlink r:id="rId121" w:history="1">
        <w:r w:rsidRPr="00C1535B">
          <w:rPr>
            <w:rStyle w:val="Hyperlink"/>
            <w:rFonts w:asciiTheme="minorBidi" w:hAnsiTheme="minorBidi" w:cstheme="minorBidi"/>
            <w:color w:val="auto"/>
          </w:rPr>
          <w:t>https://www.gleif.org/en/lei-solutions/featuring-the-lei/cross-border-payments</w:t>
        </w:r>
      </w:hyperlink>
      <w:r w:rsidRPr="00C1535B">
        <w:rPr>
          <w:rFonts w:asciiTheme="minorBidi" w:hAnsiTheme="minorBidi" w:cstheme="minorBidi"/>
        </w:rPr>
        <w:t xml:space="preserve"> </w:t>
      </w:r>
    </w:p>
  </w:footnote>
  <w:footnote w:id="135">
    <w:p w14:paraId="6364CD67" w14:textId="7019E152" w:rsidR="005A4231" w:rsidRPr="00C1535B" w:rsidRDefault="005A4231" w:rsidP="005A4231">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USAID (2021) </w:t>
      </w:r>
      <w:r w:rsidR="006F703C">
        <w:rPr>
          <w:rFonts w:asciiTheme="minorBidi" w:hAnsiTheme="minorBidi" w:cstheme="minorBidi"/>
        </w:rPr>
        <w:t>Chỉ số hội nhập số ASEAN: đo đạc hội nhập số để thông tin về chính sách kinh tế</w:t>
      </w:r>
      <w:r w:rsidRPr="00C1535B">
        <w:rPr>
          <w:rFonts w:asciiTheme="minorBidi" w:hAnsiTheme="minorBidi" w:cstheme="minorBidi"/>
        </w:rPr>
        <w:t xml:space="preserve">, </w:t>
      </w:r>
      <w:hyperlink r:id="rId122" w:history="1">
        <w:r w:rsidRPr="00C1535B">
          <w:rPr>
            <w:rStyle w:val="Hyperlink"/>
            <w:rFonts w:asciiTheme="minorBidi" w:hAnsiTheme="minorBidi" w:cstheme="minorBidi"/>
            <w:color w:val="auto"/>
          </w:rPr>
          <w:t>https://asean.org/wp-content/uploads/2021/09/ADII-Report-2021.pdf</w:t>
        </w:r>
      </w:hyperlink>
      <w:r w:rsidRPr="00C1535B">
        <w:rPr>
          <w:rFonts w:asciiTheme="minorBidi" w:hAnsiTheme="minorBidi" w:cstheme="minorBidi"/>
        </w:rPr>
        <w:t xml:space="preserve"> </w:t>
      </w:r>
    </w:p>
  </w:footnote>
  <w:footnote w:id="136">
    <w:p w14:paraId="7F4081D1" w14:textId="18FE77BD" w:rsidR="005A4231" w:rsidRPr="00C1535B" w:rsidRDefault="005A4231" w:rsidP="005A4231">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EMVCo (n.d.) </w:t>
      </w:r>
      <w:r w:rsidR="001D08E5">
        <w:rPr>
          <w:rFonts w:asciiTheme="minorBidi" w:hAnsiTheme="minorBidi" w:cstheme="minorBidi"/>
        </w:rPr>
        <w:t xml:space="preserve">Bản tin chuyên biệt và phối hợp </w:t>
      </w:r>
      <w:r w:rsidRPr="00C1535B">
        <w:rPr>
          <w:rFonts w:asciiTheme="minorBidi" w:hAnsiTheme="minorBidi" w:cstheme="minorBidi"/>
        </w:rPr>
        <w:t xml:space="preserve">EMV, </w:t>
      </w:r>
      <w:r w:rsidRPr="00C1535B">
        <w:rPr>
          <w:rFonts w:asciiTheme="minorBidi" w:hAnsiTheme="minorBidi" w:cstheme="minorBidi"/>
          <w:u w:val="single"/>
        </w:rPr>
        <w:t>https://www.emvco.com/specifications/?tax%5Bspecifications_categories%5D%5B32%5D%5B%5D=477</w:t>
      </w:r>
    </w:p>
  </w:footnote>
  <w:footnote w:id="137">
    <w:p w14:paraId="021C3608" w14:textId="370A91AE" w:rsidR="00D37B11" w:rsidRPr="00C1535B" w:rsidRDefault="00D37B11" w:rsidP="00D37B11">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PCI (2024) </w:t>
      </w:r>
      <w:r w:rsidR="001D08E5">
        <w:rPr>
          <w:rFonts w:asciiTheme="minorBidi" w:hAnsiTheme="minorBidi" w:cstheme="minorBidi"/>
        </w:rPr>
        <w:t>thông tin về chúng tôi</w:t>
      </w:r>
      <w:r w:rsidRPr="00C1535B">
        <w:rPr>
          <w:rFonts w:asciiTheme="minorBidi" w:hAnsiTheme="minorBidi" w:cstheme="minorBidi"/>
        </w:rPr>
        <w:t xml:space="preserve">, </w:t>
      </w:r>
      <w:hyperlink r:id="rId123" w:history="1">
        <w:r w:rsidRPr="00C1535B">
          <w:rPr>
            <w:rStyle w:val="Hyperlink"/>
            <w:rFonts w:asciiTheme="minorBidi" w:hAnsiTheme="minorBidi" w:cstheme="minorBidi"/>
            <w:color w:val="auto"/>
          </w:rPr>
          <w:t>https://www.pcisecuritystandards.org/about_us/</w:t>
        </w:r>
      </w:hyperlink>
      <w:r w:rsidRPr="00C1535B">
        <w:rPr>
          <w:rFonts w:asciiTheme="minorBidi" w:hAnsiTheme="minorBidi" w:cstheme="minorBidi"/>
        </w:rPr>
        <w:t xml:space="preserve"> </w:t>
      </w:r>
    </w:p>
  </w:footnote>
  <w:footnote w:id="138">
    <w:p w14:paraId="73389A0A" w14:textId="1A02DA4C" w:rsidR="00D37B11" w:rsidRPr="00B7347A" w:rsidRDefault="00D37B11" w:rsidP="00D37B11">
      <w:pPr>
        <w:pStyle w:val="FootnoteText"/>
        <w:rPr>
          <w:rFonts w:asciiTheme="minorBidi" w:hAnsiTheme="minorBidi" w:cstheme="minorBidi"/>
          <w:lang w:val="fr-FR"/>
        </w:rPr>
      </w:pPr>
      <w:r w:rsidRPr="00C1535B">
        <w:rPr>
          <w:rStyle w:val="FootnoteReference"/>
          <w:rFonts w:asciiTheme="minorBidi" w:hAnsiTheme="minorBidi" w:cstheme="minorBidi"/>
        </w:rPr>
        <w:footnoteRef/>
      </w:r>
      <w:r w:rsidRPr="00B7347A">
        <w:rPr>
          <w:rFonts w:asciiTheme="minorBidi" w:hAnsiTheme="minorBidi" w:cstheme="minorBidi"/>
          <w:lang w:val="fr-FR"/>
        </w:rPr>
        <w:t xml:space="preserve"> PCI (2024) PCI 3DS </w:t>
      </w:r>
      <w:r w:rsidR="001D08E5">
        <w:rPr>
          <w:rFonts w:asciiTheme="minorBidi" w:hAnsiTheme="minorBidi" w:cstheme="minorBidi"/>
          <w:lang w:val="fr-FR"/>
        </w:rPr>
        <w:t>cốt lõi</w:t>
      </w:r>
      <w:r w:rsidRPr="00B7347A">
        <w:rPr>
          <w:rFonts w:asciiTheme="minorBidi" w:hAnsiTheme="minorBidi" w:cstheme="minorBidi"/>
          <w:lang w:val="fr-FR"/>
        </w:rPr>
        <w:t>, https://www.pcisecuritystandards.org/standards/pci-3ds-core/</w:t>
      </w:r>
    </w:p>
  </w:footnote>
  <w:footnote w:id="139">
    <w:p w14:paraId="17A92806" w14:textId="11FAF975" w:rsidR="00D37B11" w:rsidRPr="00C1535B" w:rsidRDefault="00D37B11" w:rsidP="00D37B11">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PCI (2024) </w:t>
      </w:r>
      <w:r w:rsidR="001D08E5">
        <w:rPr>
          <w:rFonts w:asciiTheme="minorBidi" w:hAnsiTheme="minorBidi" w:cstheme="minorBidi"/>
        </w:rPr>
        <w:t xml:space="preserve">Tiêu chuẩn an ninh dữ liệu </w:t>
      </w:r>
      <w:r w:rsidRPr="00C1535B">
        <w:rPr>
          <w:rFonts w:asciiTheme="minorBidi" w:hAnsiTheme="minorBidi" w:cstheme="minorBidi"/>
        </w:rPr>
        <w:t xml:space="preserve">PCI (PCI DSS), </w:t>
      </w:r>
      <w:hyperlink r:id="rId124" w:history="1">
        <w:r w:rsidRPr="00C1535B">
          <w:rPr>
            <w:rStyle w:val="Hyperlink"/>
            <w:rFonts w:asciiTheme="minorBidi" w:hAnsiTheme="minorBidi" w:cstheme="minorBidi"/>
            <w:color w:val="auto"/>
          </w:rPr>
          <w:t>https://www.pcisecuritystandards.org/standards/pci-dss/</w:t>
        </w:r>
      </w:hyperlink>
      <w:r w:rsidRPr="00C1535B">
        <w:rPr>
          <w:rFonts w:asciiTheme="minorBidi" w:hAnsiTheme="minorBidi" w:cstheme="minorBidi"/>
        </w:rPr>
        <w:t xml:space="preserve"> </w:t>
      </w:r>
    </w:p>
  </w:footnote>
  <w:footnote w:id="140">
    <w:p w14:paraId="364C8145" w14:textId="25ABC70A" w:rsidR="00725EDD" w:rsidRPr="00C1535B" w:rsidRDefault="00725EDD" w:rsidP="00725EDD">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FSB (2022) </w:t>
      </w:r>
      <w:r w:rsidR="001D08E5">
        <w:rPr>
          <w:rFonts w:asciiTheme="minorBidi" w:hAnsiTheme="minorBidi" w:cstheme="minorBidi"/>
        </w:rPr>
        <w:t xml:space="preserve">Các lựa chọn để cải tiến việc áp dụng </w:t>
      </w:r>
      <w:r w:rsidRPr="00C1535B">
        <w:rPr>
          <w:rFonts w:asciiTheme="minorBidi" w:hAnsiTheme="minorBidi" w:cstheme="minorBidi"/>
        </w:rPr>
        <w:t xml:space="preserve">LEI, </w:t>
      </w:r>
      <w:r w:rsidR="001D08E5">
        <w:rPr>
          <w:rFonts w:asciiTheme="minorBidi" w:hAnsiTheme="minorBidi" w:cstheme="minorBidi"/>
        </w:rPr>
        <w:t>đặc biệt dùng trong</w:t>
      </w:r>
      <w:r w:rsidRPr="00C1535B">
        <w:rPr>
          <w:rFonts w:asciiTheme="minorBidi" w:hAnsiTheme="minorBidi" w:cstheme="minorBidi"/>
        </w:rPr>
        <w:t xml:space="preserve"> </w:t>
      </w:r>
      <w:r w:rsidR="006F703C">
        <w:rPr>
          <w:rFonts w:asciiTheme="minorBidi" w:hAnsiTheme="minorBidi" w:cstheme="minorBidi"/>
        </w:rPr>
        <w:t>Thanh toán xuyên biên giới</w:t>
      </w:r>
      <w:r w:rsidRPr="00C1535B">
        <w:rPr>
          <w:rFonts w:asciiTheme="minorBidi" w:hAnsiTheme="minorBidi" w:cstheme="minorBidi"/>
        </w:rPr>
        <w:t xml:space="preserve">, </w:t>
      </w:r>
      <w:hyperlink r:id="rId125" w:history="1">
        <w:r w:rsidRPr="00C1535B">
          <w:rPr>
            <w:rStyle w:val="Hyperlink"/>
            <w:rFonts w:asciiTheme="minorBidi" w:hAnsiTheme="minorBidi" w:cstheme="minorBidi"/>
            <w:color w:val="auto"/>
          </w:rPr>
          <w:t>https://www.fsb.org/wp-content/uploads/P070722.pdf</w:t>
        </w:r>
      </w:hyperlink>
      <w:r w:rsidRPr="00C1535B">
        <w:rPr>
          <w:rFonts w:asciiTheme="minorBidi" w:hAnsiTheme="minorBidi" w:cstheme="minorBidi"/>
        </w:rPr>
        <w:t xml:space="preserve"> </w:t>
      </w:r>
    </w:p>
  </w:footnote>
  <w:footnote w:id="141">
    <w:p w14:paraId="0A4CC40A" w14:textId="176D8F95" w:rsidR="00E867AB" w:rsidRPr="00C1535B" w:rsidRDefault="00E867AB" w:rsidP="00E867AB">
      <w:pPr>
        <w:pStyle w:val="FootnoteText"/>
        <w:jc w:val="left"/>
        <w:rPr>
          <w:rFonts w:asciiTheme="minorBidi" w:hAnsiTheme="minorBidi" w:cstheme="minorBidi"/>
          <w:b/>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1D08E5">
        <w:rPr>
          <w:rFonts w:asciiTheme="minorBidi" w:hAnsiTheme="minorBidi" w:cstheme="minorBidi"/>
        </w:rPr>
        <w:t>Xem</w:t>
      </w:r>
      <w:r w:rsidRPr="00C1535B">
        <w:rPr>
          <w:rFonts w:asciiTheme="minorBidi" w:hAnsiTheme="minorBidi" w:cstheme="minorBidi"/>
          <w:i/>
        </w:rPr>
        <w:t xml:space="preserve"> </w:t>
      </w:r>
      <w:r w:rsidRPr="00C1535B">
        <w:rPr>
          <w:rFonts w:asciiTheme="minorBidi" w:hAnsiTheme="minorBidi" w:cstheme="minorBidi"/>
        </w:rPr>
        <w:t xml:space="preserve">BCG (2023) </w:t>
      </w:r>
      <w:r w:rsidR="001D08E5">
        <w:rPr>
          <w:rFonts w:asciiTheme="minorBidi" w:hAnsiTheme="minorBidi" w:cstheme="minorBidi"/>
        </w:rPr>
        <w:t>Hệ thống thanh toán theo mã QR có khả năng tương tác</w:t>
      </w:r>
      <w:r w:rsidRPr="00C1535B">
        <w:rPr>
          <w:rFonts w:asciiTheme="minorBidi" w:hAnsiTheme="minorBidi" w:cstheme="minorBidi"/>
        </w:rPr>
        <w:t xml:space="preserve"> </w:t>
      </w:r>
      <w:r w:rsidR="001D08E5">
        <w:rPr>
          <w:rFonts w:asciiTheme="minorBidi" w:hAnsiTheme="minorBidi" w:cstheme="minorBidi"/>
        </w:rPr>
        <w:t xml:space="preserve">ở </w:t>
      </w:r>
      <w:r w:rsidRPr="00C1535B">
        <w:rPr>
          <w:rFonts w:asciiTheme="minorBidi" w:hAnsiTheme="minorBidi" w:cstheme="minorBidi"/>
        </w:rPr>
        <w:t xml:space="preserve">ASEAN: </w:t>
      </w:r>
      <w:r w:rsidR="001D08E5">
        <w:rPr>
          <w:rFonts w:asciiTheme="minorBidi" w:hAnsiTheme="minorBidi" w:cstheme="minorBidi"/>
        </w:rPr>
        <w:t>Ý nghĩa với thế giới</w:t>
      </w:r>
      <w:r w:rsidRPr="00C1535B">
        <w:rPr>
          <w:rFonts w:asciiTheme="minorBidi" w:hAnsiTheme="minorBidi" w:cstheme="minorBidi"/>
        </w:rPr>
        <w:t xml:space="preserve">, </w:t>
      </w:r>
      <w:hyperlink r:id="rId126" w:history="1">
        <w:r w:rsidRPr="00C1535B">
          <w:rPr>
            <w:rStyle w:val="Hyperlink"/>
            <w:rFonts w:asciiTheme="minorBidi" w:hAnsiTheme="minorBidi" w:cstheme="minorBidi"/>
            <w:color w:val="auto"/>
          </w:rPr>
          <w:t>https://web-assets.bcg.com/9c/ac/72af6ed244c39123f679ffc899ee/bcg-asean-interoperable-qr-code-payment-ecosystem-in-asean.pdf</w:t>
        </w:r>
      </w:hyperlink>
      <w:r w:rsidRPr="00C1535B">
        <w:rPr>
          <w:rStyle w:val="Hyperlink"/>
          <w:rFonts w:asciiTheme="minorBidi" w:hAnsiTheme="minorBidi" w:cstheme="minorBidi"/>
          <w:color w:val="auto"/>
        </w:rPr>
        <w:t>;</w:t>
      </w:r>
      <w:r w:rsidRPr="00C1535B">
        <w:rPr>
          <w:rFonts w:asciiTheme="minorBidi" w:hAnsiTheme="minorBidi" w:cstheme="minorBidi"/>
        </w:rPr>
        <w:t xml:space="preserve"> </w:t>
      </w:r>
      <w:r w:rsidR="001D08E5">
        <w:rPr>
          <w:rFonts w:asciiTheme="minorBidi" w:hAnsiTheme="minorBidi" w:cstheme="minorBidi"/>
        </w:rPr>
        <w:t xml:space="preserve">Cơ quan quản lý tiền tệ </w:t>
      </w:r>
      <w:r w:rsidRPr="00C1535B">
        <w:rPr>
          <w:rFonts w:asciiTheme="minorBidi" w:hAnsiTheme="minorBidi" w:cstheme="minorBidi"/>
        </w:rPr>
        <w:t xml:space="preserve">Singapore (2023) MAS </w:t>
      </w:r>
      <w:r w:rsidR="001D08E5">
        <w:rPr>
          <w:rFonts w:asciiTheme="minorBidi" w:hAnsiTheme="minorBidi" w:cstheme="minorBidi"/>
        </w:rPr>
        <w:t>khởi động</w:t>
      </w:r>
      <w:r w:rsidRPr="00C1535B">
        <w:rPr>
          <w:rFonts w:asciiTheme="minorBidi" w:hAnsiTheme="minorBidi" w:cstheme="minorBidi"/>
        </w:rPr>
        <w:t xml:space="preserve"> SGQR+ </w:t>
      </w:r>
      <w:r w:rsidR="001D08E5">
        <w:rPr>
          <w:rFonts w:asciiTheme="minorBidi" w:hAnsiTheme="minorBidi" w:cstheme="minorBidi"/>
        </w:rPr>
        <w:t xml:space="preserve">Bằng chứng khái niệm ở tăng khả năng tương tác đối với thanh toán </w:t>
      </w:r>
      <w:r w:rsidRPr="00C1535B">
        <w:rPr>
          <w:rFonts w:asciiTheme="minorBidi" w:hAnsiTheme="minorBidi" w:cstheme="minorBidi"/>
        </w:rPr>
        <w:t xml:space="preserve">QR, </w:t>
      </w:r>
      <w:hyperlink r:id="rId127" w:history="1">
        <w:r w:rsidRPr="00C1535B">
          <w:rPr>
            <w:rStyle w:val="Hyperlink"/>
            <w:rFonts w:asciiTheme="minorBidi" w:hAnsiTheme="minorBidi" w:cstheme="minorBidi"/>
            <w:color w:val="auto"/>
          </w:rPr>
          <w:t>https://www.mas.gov.sg/news/media-releases/2023/mas-to-launch-sgqrplus-proof-of-concept-to-enhance-interoperability-for-qr-payments</w:t>
        </w:r>
      </w:hyperlink>
      <w:r w:rsidRPr="00C1535B">
        <w:rPr>
          <w:rFonts w:asciiTheme="minorBidi" w:hAnsiTheme="minorBidi" w:cstheme="minorBidi"/>
        </w:rPr>
        <w:t xml:space="preserve">; </w:t>
      </w:r>
      <w:r w:rsidR="00EF6EFF">
        <w:rPr>
          <w:rFonts w:asciiTheme="minorBidi" w:hAnsiTheme="minorBidi" w:cstheme="minorBidi"/>
        </w:rPr>
        <w:t>Tiêu chuẩn Singapore</w:t>
      </w:r>
      <w:r w:rsidRPr="00C1535B">
        <w:rPr>
          <w:rFonts w:asciiTheme="minorBidi" w:hAnsiTheme="minorBidi" w:cstheme="minorBidi"/>
        </w:rPr>
        <w:t xml:space="preserve"> (2015) ISO/IEC 18004:2015, </w:t>
      </w:r>
      <w:hyperlink r:id="rId128" w:history="1">
        <w:r w:rsidRPr="00C1535B">
          <w:rPr>
            <w:rStyle w:val="Hyperlink"/>
            <w:rFonts w:asciiTheme="minorBidi" w:hAnsiTheme="minorBidi" w:cstheme="minorBidi"/>
            <w:color w:val="auto"/>
          </w:rPr>
          <w:t>https://www.singaporestandardseshop.sg/Product/SSPdtDetail/d7aeb163-96d6-1c70-e302-39fc432119e0</w:t>
        </w:r>
      </w:hyperlink>
      <w:r w:rsidRPr="00C1535B">
        <w:rPr>
          <w:rFonts w:asciiTheme="minorBidi" w:hAnsiTheme="minorBidi" w:cstheme="minorBidi"/>
        </w:rPr>
        <w:t>; N</w:t>
      </w:r>
      <w:r w:rsidR="001D08E5">
        <w:rPr>
          <w:rFonts w:asciiTheme="minorBidi" w:hAnsiTheme="minorBidi" w:cstheme="minorBidi"/>
        </w:rPr>
        <w:t xml:space="preserve">gân hàng quốc gia </w:t>
      </w:r>
      <w:r w:rsidRPr="00C1535B">
        <w:rPr>
          <w:rFonts w:asciiTheme="minorBidi" w:hAnsiTheme="minorBidi" w:cstheme="minorBidi"/>
        </w:rPr>
        <w:t xml:space="preserve">Cambodia (2020); Bakong </w:t>
      </w:r>
      <w:r w:rsidR="001D08E5">
        <w:rPr>
          <w:rFonts w:asciiTheme="minorBidi" w:hAnsiTheme="minorBidi" w:cstheme="minorBidi"/>
        </w:rPr>
        <w:t>là một điểm thanh toán</w:t>
      </w:r>
      <w:r w:rsidRPr="00C1535B">
        <w:rPr>
          <w:rFonts w:asciiTheme="minorBidi" w:hAnsiTheme="minorBidi" w:cstheme="minorBidi"/>
        </w:rPr>
        <w:t xml:space="preserve"> (2020), </w:t>
      </w:r>
      <w:hyperlink r:id="rId129" w:history="1">
        <w:r w:rsidRPr="00C1535B">
          <w:rPr>
            <w:rStyle w:val="Hyperlink"/>
            <w:rFonts w:asciiTheme="minorBidi" w:hAnsiTheme="minorBidi" w:cstheme="minorBidi"/>
            <w:color w:val="auto"/>
          </w:rPr>
          <w:t>https://bakong.nbc.gov.kh/en/download/KHQR/integration/KHQR%20Content%20Guideline%20v.1.3.pdf</w:t>
        </w:r>
      </w:hyperlink>
      <w:r w:rsidRPr="00C1535B">
        <w:rPr>
          <w:rFonts w:asciiTheme="minorBidi" w:hAnsiTheme="minorBidi" w:cstheme="minorBidi"/>
        </w:rPr>
        <w:t xml:space="preserve">; </w:t>
      </w:r>
      <w:r w:rsidR="001D08E5">
        <w:rPr>
          <w:rFonts w:asciiTheme="minorBidi" w:hAnsiTheme="minorBidi" w:cstheme="minorBidi"/>
        </w:rPr>
        <w:t xml:space="preserve">Bưu chính </w:t>
      </w:r>
      <w:r w:rsidRPr="00C1535B">
        <w:rPr>
          <w:rFonts w:asciiTheme="minorBidi" w:hAnsiTheme="minorBidi" w:cstheme="minorBidi"/>
        </w:rPr>
        <w:t xml:space="preserve">Jakarta (2019) </w:t>
      </w:r>
      <w:r w:rsidR="001D08E5">
        <w:rPr>
          <w:rFonts w:asciiTheme="minorBidi" w:hAnsiTheme="minorBidi" w:cstheme="minorBidi"/>
        </w:rPr>
        <w:t>Ngân hàng</w:t>
      </w:r>
      <w:r w:rsidRPr="00C1535B">
        <w:rPr>
          <w:rFonts w:asciiTheme="minorBidi" w:hAnsiTheme="minorBidi" w:cstheme="minorBidi"/>
        </w:rPr>
        <w:t xml:space="preserve"> Indonesia </w:t>
      </w:r>
      <w:r w:rsidR="001D08E5">
        <w:rPr>
          <w:rFonts w:asciiTheme="minorBidi" w:hAnsiTheme="minorBidi" w:cstheme="minorBidi"/>
        </w:rPr>
        <w:t xml:space="preserve">bắt đầu mã </w:t>
      </w:r>
      <w:r w:rsidRPr="00C1535B">
        <w:rPr>
          <w:rFonts w:asciiTheme="minorBidi" w:hAnsiTheme="minorBidi" w:cstheme="minorBidi"/>
        </w:rPr>
        <w:t xml:space="preserve">QR </w:t>
      </w:r>
      <w:r w:rsidR="001D08E5">
        <w:rPr>
          <w:rFonts w:asciiTheme="minorBidi" w:hAnsiTheme="minorBidi" w:cstheme="minorBidi"/>
        </w:rPr>
        <w:t>toàn quốc</w:t>
      </w:r>
      <w:r w:rsidRPr="00C1535B">
        <w:rPr>
          <w:rFonts w:asciiTheme="minorBidi" w:hAnsiTheme="minorBidi" w:cstheme="minorBidi"/>
        </w:rPr>
        <w:t xml:space="preserve">, </w:t>
      </w:r>
      <w:hyperlink r:id="rId130" w:history="1">
        <w:r w:rsidRPr="00C1535B">
          <w:rPr>
            <w:rStyle w:val="Hyperlink"/>
            <w:rFonts w:asciiTheme="minorBidi" w:hAnsiTheme="minorBidi" w:cstheme="minorBidi"/>
            <w:color w:val="auto"/>
          </w:rPr>
          <w:t>https://www.thejakartapost.com/news/2019/05/27/bank-indonesia-launches-national-standard-qr-code.html</w:t>
        </w:r>
      </w:hyperlink>
      <w:r w:rsidRPr="00C1535B">
        <w:rPr>
          <w:rFonts w:asciiTheme="minorBidi" w:hAnsiTheme="minorBidi" w:cstheme="minorBidi"/>
        </w:rPr>
        <w:t xml:space="preserve">; Favian (2024) </w:t>
      </w:r>
      <w:r w:rsidR="001D08E5">
        <w:rPr>
          <w:rFonts w:asciiTheme="minorBidi" w:hAnsiTheme="minorBidi" w:cstheme="minorBidi"/>
        </w:rPr>
        <w:t>Bước vào tương lai</w:t>
      </w:r>
      <w:r w:rsidRPr="00C1535B">
        <w:rPr>
          <w:rFonts w:asciiTheme="minorBidi" w:hAnsiTheme="minorBidi" w:cstheme="minorBidi"/>
        </w:rPr>
        <w:t xml:space="preserve">: </w:t>
      </w:r>
      <w:r w:rsidR="001D08E5">
        <w:rPr>
          <w:rFonts w:asciiTheme="minorBidi" w:hAnsiTheme="minorBidi" w:cstheme="minorBidi"/>
        </w:rPr>
        <w:t xml:space="preserve">Khai mở thanh toán </w:t>
      </w:r>
      <w:r w:rsidRPr="00C1535B">
        <w:rPr>
          <w:rFonts w:asciiTheme="minorBidi" w:hAnsiTheme="minorBidi" w:cstheme="minorBidi"/>
        </w:rPr>
        <w:t xml:space="preserve">Apple </w:t>
      </w:r>
      <w:r w:rsidR="001D08E5">
        <w:rPr>
          <w:rFonts w:asciiTheme="minorBidi" w:hAnsiTheme="minorBidi" w:cstheme="minorBidi"/>
        </w:rPr>
        <w:t xml:space="preserve">và </w:t>
      </w:r>
      <w:r w:rsidRPr="00C1535B">
        <w:rPr>
          <w:rFonts w:asciiTheme="minorBidi" w:hAnsiTheme="minorBidi" w:cstheme="minorBidi"/>
        </w:rPr>
        <w:t xml:space="preserve">Google </w:t>
      </w:r>
      <w:r w:rsidR="001D08E5">
        <w:rPr>
          <w:rFonts w:asciiTheme="minorBidi" w:hAnsiTheme="minorBidi" w:cstheme="minorBidi"/>
        </w:rPr>
        <w:t xml:space="preserve">trong bối cảnh </w:t>
      </w:r>
      <w:r w:rsidRPr="00C1535B">
        <w:rPr>
          <w:rFonts w:asciiTheme="minorBidi" w:hAnsiTheme="minorBidi" w:cstheme="minorBidi"/>
        </w:rPr>
        <w:t xml:space="preserve">Indonesia, </w:t>
      </w:r>
      <w:hyperlink r:id="rId131" w:history="1">
        <w:r w:rsidRPr="00C1535B">
          <w:rPr>
            <w:rStyle w:val="Hyperlink"/>
            <w:rFonts w:asciiTheme="minorBidi" w:hAnsiTheme="minorBidi" w:cstheme="minorBidi"/>
            <w:color w:val="auto"/>
          </w:rPr>
          <w:t>https://www.linkedin.com/pulse/tap-future-exploring-apple-pay-google-indonesias-favian-d-a--wdolc</w:t>
        </w:r>
      </w:hyperlink>
      <w:r w:rsidRPr="00C1535B">
        <w:rPr>
          <w:rFonts w:asciiTheme="minorBidi" w:hAnsiTheme="minorBidi" w:cstheme="minorBidi"/>
        </w:rPr>
        <w:t xml:space="preserve">; Makhapun et al. (2011) </w:t>
      </w:r>
      <w:r w:rsidR="001D08E5">
        <w:rPr>
          <w:rFonts w:asciiTheme="minorBidi" w:hAnsiTheme="minorBidi" w:cstheme="minorBidi"/>
        </w:rPr>
        <w:t xml:space="preserve">Người </w:t>
      </w:r>
      <w:r w:rsidRPr="00C1535B">
        <w:rPr>
          <w:rFonts w:asciiTheme="minorBidi" w:hAnsiTheme="minorBidi" w:cstheme="minorBidi"/>
        </w:rPr>
        <w:t xml:space="preserve">Thai </w:t>
      </w:r>
      <w:r w:rsidR="001D08E5">
        <w:rPr>
          <w:rFonts w:asciiTheme="minorBidi" w:hAnsiTheme="minorBidi" w:cstheme="minorBidi"/>
        </w:rPr>
        <w:t xml:space="preserve">dùng mã </w:t>
      </w:r>
      <w:r w:rsidRPr="00C1535B">
        <w:rPr>
          <w:rFonts w:asciiTheme="minorBidi" w:hAnsiTheme="minorBidi" w:cstheme="minorBidi"/>
        </w:rPr>
        <w:t xml:space="preserve">QR; </w:t>
      </w:r>
      <w:hyperlink r:id="rId132" w:history="1">
        <w:r w:rsidRPr="00C1535B">
          <w:rPr>
            <w:rStyle w:val="Hyperlink"/>
            <w:rFonts w:asciiTheme="minorBidi" w:hAnsiTheme="minorBidi" w:cstheme="minorBidi"/>
            <w:color w:val="auto"/>
          </w:rPr>
          <w:t>https://ieeexplore.ieee.org/document/5947888</w:t>
        </w:r>
      </w:hyperlink>
      <w:r w:rsidRPr="00C1535B">
        <w:rPr>
          <w:rFonts w:asciiTheme="minorBidi" w:hAnsiTheme="minorBidi" w:cstheme="minorBidi"/>
        </w:rPr>
        <w:t xml:space="preserve">; LuatVietnam (2023) </w:t>
      </w:r>
      <w:r w:rsidR="001D08E5">
        <w:rPr>
          <w:rFonts w:asciiTheme="minorBidi" w:hAnsiTheme="minorBidi" w:cstheme="minorBidi"/>
        </w:rPr>
        <w:t xml:space="preserve">Ứng dụng mã </w:t>
      </w:r>
      <w:r w:rsidRPr="00C1535B">
        <w:rPr>
          <w:rFonts w:asciiTheme="minorBidi" w:hAnsiTheme="minorBidi" w:cstheme="minorBidi"/>
        </w:rPr>
        <w:t xml:space="preserve">QR </w:t>
      </w:r>
      <w:r w:rsidR="001D08E5">
        <w:rPr>
          <w:rFonts w:asciiTheme="minorBidi" w:hAnsiTheme="minorBidi" w:cstheme="minorBidi"/>
        </w:rPr>
        <w:t>trong quy trình hành chính giao nhận</w:t>
      </w:r>
      <w:r w:rsidRPr="00C1535B">
        <w:rPr>
          <w:rFonts w:asciiTheme="minorBidi" w:hAnsiTheme="minorBidi" w:cstheme="minorBidi"/>
        </w:rPr>
        <w:t xml:space="preserve">, </w:t>
      </w:r>
      <w:hyperlink r:id="rId133" w:history="1">
        <w:r w:rsidRPr="00C1535B">
          <w:rPr>
            <w:rStyle w:val="Hyperlink"/>
            <w:rFonts w:asciiTheme="minorBidi" w:hAnsiTheme="minorBidi" w:cstheme="minorBidi"/>
            <w:color w:val="auto"/>
          </w:rPr>
          <w:t>https://english.luatvietnam.vn/legal-updates/application-of-qr-codes-in-receiving-and-handling-administrative-procedures-892-93763-article.html</w:t>
        </w:r>
      </w:hyperlink>
      <w:r w:rsidRPr="00C1535B">
        <w:rPr>
          <w:rFonts w:asciiTheme="minorBidi" w:hAnsiTheme="minorBidi" w:cstheme="minorBidi"/>
        </w:rPr>
        <w:t xml:space="preserve">; Bangko Sentral ng Pilipinas (2020) QR Ph FAQs (for Person to Person), </w:t>
      </w:r>
      <w:hyperlink r:id="rId134" w:history="1">
        <w:r w:rsidRPr="00C1535B">
          <w:rPr>
            <w:rStyle w:val="Hyperlink"/>
            <w:rFonts w:asciiTheme="minorBidi" w:hAnsiTheme="minorBidi" w:cstheme="minorBidi"/>
            <w:color w:val="auto"/>
          </w:rPr>
          <w:t>https://www.bsp.gov.ph/Media_and_Research/Primers%20Faqs/QR_Ph_P2P_FAQs.pdf</w:t>
        </w:r>
      </w:hyperlink>
      <w:r w:rsidRPr="00C1535B">
        <w:rPr>
          <w:rFonts w:asciiTheme="minorBidi" w:hAnsiTheme="minorBidi" w:cstheme="minorBidi"/>
        </w:rPr>
        <w:t xml:space="preserve">; PayNet (2024) DuitNow QR, </w:t>
      </w:r>
      <w:hyperlink r:id="rId135" w:history="1">
        <w:r w:rsidRPr="00C1535B">
          <w:rPr>
            <w:rStyle w:val="Hyperlink"/>
            <w:rFonts w:asciiTheme="minorBidi" w:hAnsiTheme="minorBidi" w:cstheme="minorBidi"/>
            <w:color w:val="auto"/>
          </w:rPr>
          <w:t>https://docs.developer.paynet.my/docs/duitnowqr/testdata/domesticissuer</w:t>
        </w:r>
      </w:hyperlink>
      <w:r w:rsidRPr="00C1535B">
        <w:rPr>
          <w:rFonts w:asciiTheme="minorBidi" w:hAnsiTheme="minorBidi" w:cstheme="minorBidi"/>
        </w:rPr>
        <w:t xml:space="preserve">; </w:t>
      </w:r>
      <w:r w:rsidR="001D08E5">
        <w:rPr>
          <w:rFonts w:asciiTheme="minorBidi" w:hAnsiTheme="minorBidi" w:cstheme="minorBidi"/>
        </w:rPr>
        <w:t xml:space="preserve">Bưu chính quốc gia </w:t>
      </w:r>
      <w:r w:rsidRPr="00C1535B">
        <w:rPr>
          <w:rFonts w:asciiTheme="minorBidi" w:hAnsiTheme="minorBidi" w:cstheme="minorBidi"/>
        </w:rPr>
        <w:t xml:space="preserve">Myanmar (2023) CBM </w:t>
      </w:r>
      <w:r w:rsidR="001D08E5">
        <w:rPr>
          <w:rFonts w:asciiTheme="minorBidi" w:hAnsiTheme="minorBidi" w:cstheme="minorBidi"/>
        </w:rPr>
        <w:t>bắt đầu mạng thanh toán số</w:t>
      </w:r>
      <w:r w:rsidRPr="00C1535B">
        <w:rPr>
          <w:rFonts w:asciiTheme="minorBidi" w:hAnsiTheme="minorBidi" w:cstheme="minorBidi"/>
        </w:rPr>
        <w:t xml:space="preserve">, </w:t>
      </w:r>
      <w:hyperlink r:id="rId136" w:history="1">
        <w:r w:rsidRPr="00C1535B">
          <w:rPr>
            <w:rStyle w:val="Hyperlink"/>
            <w:rFonts w:asciiTheme="minorBidi" w:hAnsiTheme="minorBidi" w:cstheme="minorBidi"/>
            <w:color w:val="auto"/>
          </w:rPr>
          <w:t>https://myanmar.gov.mm/news-media/news/latest-news/-/asset_publisher/idasset354/content/cbm-to-launch-digital-payment-switch</w:t>
        </w:r>
      </w:hyperlink>
      <w:r w:rsidRPr="00C1535B">
        <w:rPr>
          <w:rFonts w:asciiTheme="minorBidi" w:hAnsiTheme="minorBidi" w:cstheme="minorBidi"/>
        </w:rPr>
        <w:t xml:space="preserve">; VN </w:t>
      </w:r>
      <w:r w:rsidR="001D08E5">
        <w:rPr>
          <w:rFonts w:asciiTheme="minorBidi" w:hAnsiTheme="minorBidi" w:cstheme="minorBidi"/>
        </w:rPr>
        <w:t xml:space="preserve">số </w:t>
      </w:r>
      <w:r w:rsidRPr="00C1535B">
        <w:rPr>
          <w:rFonts w:asciiTheme="minorBidi" w:hAnsiTheme="minorBidi" w:cstheme="minorBidi"/>
        </w:rPr>
        <w:t xml:space="preserve">(2023) </w:t>
      </w:r>
      <w:r w:rsidR="001D08E5">
        <w:rPr>
          <w:rFonts w:asciiTheme="minorBidi" w:hAnsiTheme="minorBidi" w:cstheme="minorBidi"/>
        </w:rPr>
        <w:t xml:space="preserve">Kích hoạt </w:t>
      </w:r>
      <w:r w:rsidRPr="00C1535B">
        <w:rPr>
          <w:rFonts w:asciiTheme="minorBidi" w:hAnsiTheme="minorBidi" w:cstheme="minorBidi"/>
        </w:rPr>
        <w:t xml:space="preserve">VietQR </w:t>
      </w:r>
      <w:r w:rsidR="001D08E5">
        <w:rPr>
          <w:rFonts w:asciiTheme="minorBidi" w:hAnsiTheme="minorBidi" w:cstheme="minorBidi"/>
        </w:rPr>
        <w:t>để thúc đẩy chuyển đổi số trong lĩnh vực ngân hàng</w:t>
      </w:r>
      <w:r w:rsidRPr="00C1535B">
        <w:rPr>
          <w:rFonts w:asciiTheme="minorBidi" w:hAnsiTheme="minorBidi" w:cstheme="minorBidi"/>
        </w:rPr>
        <w:t xml:space="preserve">, </w:t>
      </w:r>
      <w:hyperlink r:id="rId137" w:history="1">
        <w:r w:rsidRPr="00C1535B">
          <w:rPr>
            <w:rStyle w:val="Hyperlink"/>
            <w:rFonts w:asciiTheme="minorBidi" w:hAnsiTheme="minorBidi" w:cstheme="minorBidi"/>
            <w:color w:val="auto"/>
          </w:rPr>
          <w:t>https://digitalvn.vn/vietqr-launched-to-promote-digital-transformation-in-banking-sector/</w:t>
        </w:r>
      </w:hyperlink>
      <w:r w:rsidRPr="00C1535B">
        <w:rPr>
          <w:rFonts w:asciiTheme="minorBidi" w:hAnsiTheme="minorBidi" w:cstheme="minorBidi"/>
        </w:rPr>
        <w:t xml:space="preserve"> </w:t>
      </w:r>
    </w:p>
  </w:footnote>
  <w:footnote w:id="142">
    <w:p w14:paraId="1A89EA7A" w14:textId="6FEDD306" w:rsidR="0081310A" w:rsidRPr="00FD4695" w:rsidRDefault="0081310A" w:rsidP="002C0F22">
      <w:pPr>
        <w:pStyle w:val="FootnoteText"/>
        <w:jc w:val="left"/>
      </w:pPr>
      <w:r w:rsidRPr="00C1535B">
        <w:rPr>
          <w:rStyle w:val="FootnoteReference"/>
          <w:rFonts w:asciiTheme="minorBidi" w:hAnsiTheme="minorBidi" w:cstheme="minorBidi"/>
        </w:rPr>
        <w:footnoteRef/>
      </w:r>
      <w:r w:rsidRPr="00C1535B">
        <w:rPr>
          <w:rFonts w:asciiTheme="minorBidi" w:hAnsiTheme="minorBidi" w:cstheme="minorBidi"/>
        </w:rPr>
        <w:t xml:space="preserve"> BSP (2024)</w:t>
      </w:r>
      <w:r w:rsidR="001D08E5">
        <w:rPr>
          <w:rFonts w:asciiTheme="minorBidi" w:hAnsiTheme="minorBidi" w:cstheme="minorBidi"/>
        </w:rPr>
        <w:t xml:space="preserve"> Ngân hàng Trung ương</w:t>
      </w:r>
      <w:r w:rsidRPr="00C1535B">
        <w:rPr>
          <w:rFonts w:asciiTheme="minorBidi" w:hAnsiTheme="minorBidi" w:cstheme="minorBidi"/>
        </w:rPr>
        <w:t xml:space="preserve"> Brunei (BDCB) </w:t>
      </w:r>
      <w:r w:rsidR="001D08E5">
        <w:rPr>
          <w:rFonts w:asciiTheme="minorBidi" w:hAnsiTheme="minorBidi" w:cstheme="minorBidi"/>
        </w:rPr>
        <w:t xml:space="preserve">và Ngân hàng </w:t>
      </w:r>
      <w:r w:rsidRPr="00C1535B">
        <w:rPr>
          <w:rFonts w:asciiTheme="minorBidi" w:hAnsiTheme="minorBidi" w:cstheme="minorBidi"/>
        </w:rPr>
        <w:t xml:space="preserve">Lao (BOL) </w:t>
      </w:r>
      <w:r w:rsidR="001D08E5">
        <w:rPr>
          <w:rFonts w:asciiTheme="minorBidi" w:hAnsiTheme="minorBidi" w:cstheme="minorBidi"/>
        </w:rPr>
        <w:t>chính thức gia nhập sáng kiến kết nối thanh toán vùng</w:t>
      </w:r>
      <w:r w:rsidRPr="00C1535B">
        <w:rPr>
          <w:rFonts w:asciiTheme="minorBidi" w:hAnsiTheme="minorBidi" w:cstheme="minorBidi"/>
        </w:rPr>
        <w:t xml:space="preserve"> (RPC), </w:t>
      </w:r>
      <w:hyperlink r:id="rId138" w:history="1">
        <w:r w:rsidRPr="00FD4695">
          <w:rPr>
            <w:rStyle w:val="Hyperlink"/>
            <w:color w:val="auto"/>
          </w:rPr>
          <w:t>https://www.bsp.gov.ph/SitePages/MediaAndResearch/MediaDisp.aspx?ItemId=7051</w:t>
        </w:r>
      </w:hyperlink>
      <w:r w:rsidRPr="00FD4695">
        <w:t xml:space="preserve"> </w:t>
      </w:r>
    </w:p>
    <w:p w14:paraId="2FF00390" w14:textId="3A89EDBB" w:rsidR="0081310A" w:rsidRPr="00C1535B" w:rsidRDefault="0081310A" w:rsidP="002C0F22">
      <w:pPr>
        <w:pStyle w:val="FootnoteText"/>
        <w:jc w:val="left"/>
        <w:rPr>
          <w:rFonts w:asciiTheme="minorBidi" w:hAnsiTheme="minorBidi" w:cstheme="minorBidi"/>
        </w:rPr>
      </w:pPr>
    </w:p>
  </w:footnote>
  <w:footnote w:id="143">
    <w:p w14:paraId="2ED1D8F8" w14:textId="480955D5" w:rsidR="0081310A" w:rsidRPr="00C1535B" w:rsidRDefault="0081310A" w:rsidP="00475ED7">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BSP (2024) </w:t>
      </w:r>
      <w:r w:rsidR="001D08E5" w:rsidRPr="001D08E5">
        <w:rPr>
          <w:rFonts w:asciiTheme="minorBidi" w:hAnsiTheme="minorBidi" w:cstheme="minorBidi"/>
        </w:rPr>
        <w:t xml:space="preserve">Ngân hàng Trung ương Brunei (BDCB) và Ngân hàng Lao (BOL) chính thức gia nhập sáng kiến kết nối thanh toán vùng </w:t>
      </w:r>
      <w:r w:rsidRPr="00C1535B">
        <w:rPr>
          <w:rFonts w:asciiTheme="minorBidi" w:hAnsiTheme="minorBidi" w:cstheme="minorBidi"/>
        </w:rPr>
        <w:t xml:space="preserve">(RPC), </w:t>
      </w:r>
      <w:hyperlink r:id="rId139" w:history="1">
        <w:r w:rsidRPr="00FD4695">
          <w:rPr>
            <w:rStyle w:val="Hyperlink"/>
            <w:color w:val="auto"/>
          </w:rPr>
          <w:t>https://www.bsp.gov.ph/SitePages/MediaAndResearch/MediaDisp.aspx?ItemId=7051</w:t>
        </w:r>
      </w:hyperlink>
      <w:r w:rsidRPr="00FD4695">
        <w:t xml:space="preserve"> </w:t>
      </w:r>
    </w:p>
  </w:footnote>
  <w:footnote w:id="144">
    <w:p w14:paraId="4C93D70E" w14:textId="042B6DB9" w:rsidR="00962530" w:rsidRPr="00C1535B" w:rsidRDefault="00962530" w:rsidP="00962530">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Interpol (2021) </w:t>
      </w:r>
      <w:r w:rsidR="001D08E5">
        <w:rPr>
          <w:rFonts w:asciiTheme="minorBidi" w:hAnsiTheme="minorBidi" w:cstheme="minorBidi"/>
        </w:rPr>
        <w:t xml:space="preserve">Báo cáo </w:t>
      </w:r>
      <w:r w:rsidRPr="00C1535B">
        <w:rPr>
          <w:rFonts w:asciiTheme="minorBidi" w:hAnsiTheme="minorBidi" w:cstheme="minorBidi"/>
        </w:rPr>
        <w:t xml:space="preserve">Interpol </w:t>
      </w:r>
      <w:r w:rsidR="00D96663">
        <w:rPr>
          <w:rFonts w:asciiTheme="minorBidi" w:hAnsiTheme="minorBidi" w:cstheme="minorBidi"/>
        </w:rPr>
        <w:t>cho thấy những mối đe dọa hàng đầu trên mạng ở ĐNA</w:t>
      </w:r>
      <w:r w:rsidRPr="00C1535B">
        <w:rPr>
          <w:rFonts w:asciiTheme="minorBidi" w:hAnsiTheme="minorBidi" w:cstheme="minorBidi"/>
        </w:rPr>
        <w:t xml:space="preserve">, </w:t>
      </w:r>
      <w:hyperlink r:id="rId140" w:history="1">
        <w:r w:rsidRPr="00C1535B">
          <w:rPr>
            <w:rStyle w:val="Hyperlink"/>
            <w:rFonts w:asciiTheme="minorBidi" w:hAnsiTheme="minorBidi" w:cstheme="minorBidi"/>
            <w:color w:val="auto"/>
          </w:rPr>
          <w:t>https://www.interpol.int/en/News-and-Events/News/2021/INTERPOL-report-charts-top-cyberthreats-in-Southeast-Asia</w:t>
        </w:r>
      </w:hyperlink>
      <w:r w:rsidRPr="00C1535B">
        <w:rPr>
          <w:rFonts w:asciiTheme="minorBidi" w:hAnsiTheme="minorBidi" w:cstheme="minorBidi"/>
        </w:rPr>
        <w:t xml:space="preserve"> </w:t>
      </w:r>
    </w:p>
  </w:footnote>
  <w:footnote w:id="145">
    <w:p w14:paraId="36AC01C3" w14:textId="48EDA8E0" w:rsidR="00962530" w:rsidRPr="00C1535B" w:rsidRDefault="00962530" w:rsidP="00962530">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Fulcrum (2023) </w:t>
      </w:r>
      <w:r w:rsidR="00D96663">
        <w:rPr>
          <w:rFonts w:asciiTheme="minorBidi" w:hAnsiTheme="minorBidi" w:cstheme="minorBidi"/>
        </w:rPr>
        <w:t>Củng cố tự cường mạng ở ĐNA</w:t>
      </w:r>
      <w:r w:rsidRPr="00C1535B">
        <w:rPr>
          <w:rFonts w:asciiTheme="minorBidi" w:hAnsiTheme="minorBidi" w:cstheme="minorBidi"/>
        </w:rPr>
        <w:t xml:space="preserve">, </w:t>
      </w:r>
      <w:hyperlink r:id="rId141" w:history="1">
        <w:r w:rsidRPr="00C1535B">
          <w:rPr>
            <w:rStyle w:val="Hyperlink"/>
            <w:rFonts w:asciiTheme="minorBidi" w:hAnsiTheme="minorBidi" w:cstheme="minorBidi"/>
            <w:color w:val="auto"/>
          </w:rPr>
          <w:t>https://fulcrum.sg/strengthening-cyber-resilience-in-southeast-asia/</w:t>
        </w:r>
      </w:hyperlink>
    </w:p>
  </w:footnote>
  <w:footnote w:id="146">
    <w:p w14:paraId="05E85592" w14:textId="6B069623" w:rsidR="00962530" w:rsidRPr="00C1535B" w:rsidRDefault="00962530" w:rsidP="00962530">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Cyfirma (2023) </w:t>
      </w:r>
      <w:r w:rsidR="00D96663">
        <w:rPr>
          <w:rFonts w:asciiTheme="minorBidi" w:hAnsiTheme="minorBidi" w:cstheme="minorBidi"/>
        </w:rPr>
        <w:t xml:space="preserve">Những hiểm họa ở </w:t>
      </w:r>
      <w:r w:rsidRPr="00C1535B">
        <w:rPr>
          <w:rFonts w:asciiTheme="minorBidi" w:hAnsiTheme="minorBidi" w:cstheme="minorBidi"/>
        </w:rPr>
        <w:t xml:space="preserve">Singapore </w:t>
      </w:r>
      <w:r w:rsidR="00D96663">
        <w:rPr>
          <w:rFonts w:asciiTheme="minorBidi" w:hAnsiTheme="minorBidi" w:cstheme="minorBidi"/>
        </w:rPr>
        <w:t>và ĐNA</w:t>
      </w:r>
      <w:r w:rsidRPr="00C1535B">
        <w:rPr>
          <w:rFonts w:asciiTheme="minorBidi" w:hAnsiTheme="minorBidi" w:cstheme="minorBidi"/>
        </w:rPr>
        <w:t xml:space="preserve">, </w:t>
      </w:r>
      <w:hyperlink r:id="rId142" w:history="1">
        <w:r w:rsidRPr="00C1535B">
          <w:rPr>
            <w:rStyle w:val="Hyperlink"/>
            <w:rFonts w:asciiTheme="minorBidi" w:hAnsiTheme="minorBidi" w:cstheme="minorBidi"/>
            <w:color w:val="auto"/>
          </w:rPr>
          <w:t>https://www.cyfirma.com/research/singapore-and-southeast-asia-threat-landscape/</w:t>
        </w:r>
      </w:hyperlink>
    </w:p>
  </w:footnote>
  <w:footnote w:id="147">
    <w:p w14:paraId="267CA6E4" w14:textId="4BAAF31D" w:rsidR="00962530" w:rsidRPr="00C1535B" w:rsidRDefault="00962530" w:rsidP="00962530">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D96663">
        <w:rPr>
          <w:rFonts w:asciiTheme="minorBidi" w:hAnsiTheme="minorBidi" w:cstheme="minorBidi"/>
        </w:rPr>
        <w:t>Hội đồng kinh doanh US-ASEAN</w:t>
      </w:r>
      <w:r w:rsidRPr="00C1535B">
        <w:rPr>
          <w:rFonts w:asciiTheme="minorBidi" w:hAnsiTheme="minorBidi" w:cstheme="minorBidi"/>
        </w:rPr>
        <w:t xml:space="preserve"> (n.d.) </w:t>
      </w:r>
      <w:r w:rsidR="00D96663">
        <w:rPr>
          <w:rFonts w:asciiTheme="minorBidi" w:hAnsiTheme="minorBidi" w:cstheme="minorBidi"/>
        </w:rPr>
        <w:t>Nhận diện số ở ASEAN</w:t>
      </w:r>
      <w:r w:rsidRPr="00C1535B">
        <w:rPr>
          <w:rFonts w:asciiTheme="minorBidi" w:hAnsiTheme="minorBidi" w:cstheme="minorBidi"/>
        </w:rPr>
        <w:t xml:space="preserve">, </w:t>
      </w:r>
      <w:hyperlink r:id="rId143" w:history="1">
        <w:r w:rsidRPr="00C1535B">
          <w:rPr>
            <w:rStyle w:val="Hyperlink"/>
            <w:rFonts w:asciiTheme="minorBidi" w:hAnsiTheme="minorBidi" w:cstheme="minorBidi"/>
            <w:color w:val="auto"/>
          </w:rPr>
          <w:t>https://www.usasean.org/article/digital-identity-asean</w:t>
        </w:r>
      </w:hyperlink>
      <w:r w:rsidRPr="00C1535B">
        <w:rPr>
          <w:rFonts w:asciiTheme="minorBidi" w:hAnsiTheme="minorBidi" w:cstheme="minorBidi"/>
        </w:rPr>
        <w:t xml:space="preserve"> </w:t>
      </w:r>
    </w:p>
  </w:footnote>
  <w:footnote w:id="148">
    <w:p w14:paraId="7B8B71A1" w14:textId="7AF846B2" w:rsidR="00962530" w:rsidRPr="00C1535B" w:rsidRDefault="00962530" w:rsidP="00962530">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FB6362">
        <w:rPr>
          <w:rFonts w:asciiTheme="minorBidi" w:hAnsiTheme="minorBidi" w:cstheme="minorBidi"/>
        </w:rPr>
        <w:t>Ban Thư ký ASEAN</w:t>
      </w:r>
      <w:r w:rsidRPr="00C1535B">
        <w:rPr>
          <w:rFonts w:asciiTheme="minorBidi" w:hAnsiTheme="minorBidi" w:cstheme="minorBidi"/>
        </w:rPr>
        <w:t xml:space="preserve"> (2023) </w:t>
      </w:r>
      <w:r w:rsidR="00852DEA">
        <w:rPr>
          <w:rFonts w:asciiTheme="minorBidi" w:hAnsiTheme="minorBidi" w:cstheme="minorBidi"/>
        </w:rPr>
        <w:t>Nghiên cứu về Hiệp định khung ASEAN về Kinh tế số (DEFA)</w:t>
      </w:r>
    </w:p>
  </w:footnote>
  <w:footnote w:id="149">
    <w:p w14:paraId="5DFBEDE9" w14:textId="1B2B94C5" w:rsidR="001D6223" w:rsidRPr="00C1535B" w:rsidRDefault="001D6223" w:rsidP="001D6223">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D96663">
        <w:rPr>
          <w:rFonts w:asciiTheme="minorBidi" w:hAnsiTheme="minorBidi" w:cstheme="minorBidi"/>
        </w:rPr>
        <w:t>Học viện toàn cầu McKinsey</w:t>
      </w:r>
      <w:r w:rsidRPr="00C1535B">
        <w:rPr>
          <w:rFonts w:asciiTheme="minorBidi" w:hAnsiTheme="minorBidi" w:cstheme="minorBidi"/>
        </w:rPr>
        <w:t xml:space="preserve"> (2019) </w:t>
      </w:r>
      <w:r w:rsidR="00D96663">
        <w:rPr>
          <w:rFonts w:asciiTheme="minorBidi" w:hAnsiTheme="minorBidi" w:cstheme="minorBidi"/>
        </w:rPr>
        <w:t>Nhận diện số</w:t>
      </w:r>
      <w:r w:rsidRPr="00C1535B">
        <w:rPr>
          <w:rFonts w:asciiTheme="minorBidi" w:hAnsiTheme="minorBidi" w:cstheme="minorBidi"/>
        </w:rPr>
        <w:t xml:space="preserve">: </w:t>
      </w:r>
      <w:r w:rsidR="00D96663">
        <w:rPr>
          <w:rFonts w:asciiTheme="minorBidi" w:hAnsiTheme="minorBidi" w:cstheme="minorBidi"/>
        </w:rPr>
        <w:t>chìa khóa đến tăng trưởng bao trùm</w:t>
      </w:r>
      <w:r w:rsidRPr="00C1535B">
        <w:rPr>
          <w:rFonts w:asciiTheme="minorBidi" w:hAnsiTheme="minorBidi" w:cstheme="minorBidi"/>
        </w:rPr>
        <w:t xml:space="preserve">, </w:t>
      </w:r>
      <w:hyperlink r:id="rId144" w:history="1">
        <w:r w:rsidRPr="00C1535B">
          <w:rPr>
            <w:rStyle w:val="Hyperlink"/>
            <w:rFonts w:asciiTheme="minorBidi" w:hAnsiTheme="minorBidi" w:cstheme="minorBidi"/>
            <w:color w:val="auto"/>
          </w:rPr>
          <w:t>https://www.mckinsey.com/~/media/McKinsey/Business%20Functions/McKinsey%20Digital/Our%20Insights/Digital%20identification%20A%20key%20to%20inclusive%20growth/MGI-Digital-identification-Report.ashx</w:t>
        </w:r>
      </w:hyperlink>
      <w:r w:rsidRPr="00C1535B">
        <w:rPr>
          <w:rFonts w:asciiTheme="minorBidi" w:hAnsiTheme="minorBidi" w:cstheme="minorBidi"/>
        </w:rPr>
        <w:t xml:space="preserve"> </w:t>
      </w:r>
    </w:p>
  </w:footnote>
  <w:footnote w:id="150">
    <w:p w14:paraId="44F40466" w14:textId="77777777" w:rsidR="00DF1BC5" w:rsidRPr="00C1535B" w:rsidRDefault="00DF1BC5" w:rsidP="00DF1BC5">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(2021) DTSCWG, </w:t>
      </w:r>
      <w:hyperlink r:id="rId145" w:history="1">
        <w:r w:rsidRPr="00C1535B">
          <w:rPr>
            <w:rStyle w:val="Hyperlink"/>
            <w:rFonts w:asciiTheme="minorBidi" w:hAnsiTheme="minorBidi" w:cstheme="minorBidi"/>
            <w:color w:val="auto"/>
          </w:rPr>
          <w:t>https://asean.org/wp-content/uploads/2021/12/DTSCWG-Infographic-final.pdf</w:t>
        </w:r>
      </w:hyperlink>
      <w:r w:rsidRPr="00C1535B">
        <w:rPr>
          <w:rFonts w:asciiTheme="minorBidi" w:hAnsiTheme="minorBidi" w:cstheme="minorBidi"/>
        </w:rPr>
        <w:t xml:space="preserve"> </w:t>
      </w:r>
    </w:p>
  </w:footnote>
  <w:footnote w:id="151">
    <w:p w14:paraId="14FF4F1D" w14:textId="6FFE79E8" w:rsidR="00DF1BC5" w:rsidRPr="00C1535B" w:rsidRDefault="00DF1BC5" w:rsidP="00DF1BC5">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FB6362">
        <w:rPr>
          <w:rFonts w:asciiTheme="minorBidi" w:hAnsiTheme="minorBidi" w:cstheme="minorBidi"/>
        </w:rPr>
        <w:t>Ban Thư ký ASEAN</w:t>
      </w:r>
      <w:r w:rsidRPr="00C1535B">
        <w:rPr>
          <w:rFonts w:asciiTheme="minorBidi" w:hAnsiTheme="minorBidi" w:cstheme="minorBidi"/>
        </w:rPr>
        <w:t xml:space="preserve"> (2023) </w:t>
      </w:r>
      <w:r w:rsidR="00852DEA">
        <w:rPr>
          <w:rFonts w:asciiTheme="minorBidi" w:hAnsiTheme="minorBidi" w:cstheme="minorBidi"/>
        </w:rPr>
        <w:t>Nghiên cứu về Hiệp định khung ASEAN về Kinh tế số (DEFA)</w:t>
      </w:r>
    </w:p>
  </w:footnote>
  <w:footnote w:id="152">
    <w:p w14:paraId="28943D3E" w14:textId="77777777" w:rsidR="00EE6266" w:rsidRPr="00C1535B" w:rsidRDefault="00EE6266" w:rsidP="00EE6266">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(2021) DTSCWG, </w:t>
      </w:r>
      <w:hyperlink r:id="rId146" w:history="1">
        <w:r w:rsidRPr="00C1535B">
          <w:rPr>
            <w:rStyle w:val="Hyperlink"/>
            <w:rFonts w:asciiTheme="minorBidi" w:hAnsiTheme="minorBidi" w:cstheme="minorBidi"/>
            <w:color w:val="auto"/>
          </w:rPr>
          <w:t>https://asean.org/wp-content/uploads/2021/12/DTSCWG-Infographic-final.pdf</w:t>
        </w:r>
      </w:hyperlink>
      <w:r w:rsidRPr="00C1535B">
        <w:rPr>
          <w:rFonts w:asciiTheme="minorBidi" w:hAnsiTheme="minorBidi" w:cstheme="minorBidi"/>
        </w:rPr>
        <w:t xml:space="preserve"> </w:t>
      </w:r>
    </w:p>
  </w:footnote>
  <w:footnote w:id="153">
    <w:p w14:paraId="7815CCB9" w14:textId="287FB2B0" w:rsidR="00EE6266" w:rsidRPr="00C1535B" w:rsidRDefault="00EE6266" w:rsidP="00EE6266">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FB6362">
        <w:rPr>
          <w:rFonts w:asciiTheme="minorBidi" w:hAnsiTheme="minorBidi" w:cstheme="minorBidi"/>
        </w:rPr>
        <w:t>Ban Thư ký ASEAN</w:t>
      </w:r>
      <w:r w:rsidRPr="00C1535B">
        <w:rPr>
          <w:rFonts w:asciiTheme="minorBidi" w:hAnsiTheme="minorBidi" w:cstheme="minorBidi"/>
        </w:rPr>
        <w:t xml:space="preserve"> (2023) </w:t>
      </w:r>
      <w:r w:rsidR="00852DEA">
        <w:rPr>
          <w:rFonts w:asciiTheme="minorBidi" w:hAnsiTheme="minorBidi" w:cstheme="minorBidi"/>
        </w:rPr>
        <w:t>Nghiên cứu về Hiệp định khung ASEAN về Kinh tế số (DEFA)</w:t>
      </w:r>
    </w:p>
  </w:footnote>
  <w:footnote w:id="154">
    <w:p w14:paraId="680909D0" w14:textId="7B326762" w:rsidR="00EE6266" w:rsidRPr="00C1535B" w:rsidRDefault="00EE6266" w:rsidP="00EE6266">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UNICTRAL (1996) </w:t>
      </w:r>
      <w:r w:rsidR="005B569F">
        <w:rPr>
          <w:rFonts w:asciiTheme="minorBidi" w:hAnsiTheme="minorBidi" w:cstheme="minorBidi"/>
        </w:rPr>
        <w:t>Luật mẫu về thương mại điện tử của UNCITRAL</w:t>
      </w:r>
      <w:r w:rsidRPr="00C1535B">
        <w:rPr>
          <w:rFonts w:asciiTheme="minorBidi" w:hAnsiTheme="minorBidi" w:cstheme="minorBidi"/>
        </w:rPr>
        <w:t xml:space="preserve"> (MLEC), </w:t>
      </w:r>
      <w:hyperlink r:id="rId147" w:history="1">
        <w:r w:rsidRPr="00C1535B">
          <w:rPr>
            <w:rStyle w:val="Hyperlink"/>
            <w:rFonts w:asciiTheme="minorBidi" w:hAnsiTheme="minorBidi" w:cstheme="minorBidi"/>
            <w:color w:val="auto"/>
          </w:rPr>
          <w:t>https://uncitral.un.org/en/texts/ecommerce/modellaw/electronic_commerce</w:t>
        </w:r>
      </w:hyperlink>
      <w:r w:rsidRPr="00C1535B">
        <w:rPr>
          <w:rFonts w:asciiTheme="minorBidi" w:hAnsiTheme="minorBidi" w:cstheme="minorBidi"/>
        </w:rPr>
        <w:t xml:space="preserve"> </w:t>
      </w:r>
    </w:p>
  </w:footnote>
  <w:footnote w:id="155">
    <w:p w14:paraId="31C2C2EB" w14:textId="77AC8632" w:rsidR="00EE6266" w:rsidRPr="00C1535B" w:rsidRDefault="00EE6266" w:rsidP="00EE6266">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(2012) </w:t>
      </w:r>
      <w:r w:rsidR="00D96663">
        <w:rPr>
          <w:rFonts w:asciiTheme="minorBidi" w:hAnsiTheme="minorBidi" w:cstheme="minorBidi"/>
        </w:rPr>
        <w:t>Khung tham khảo E-ASEAN cho hạ tầng pháp lý thương mại điện tử</w:t>
      </w:r>
      <w:r w:rsidRPr="00C1535B">
        <w:rPr>
          <w:rFonts w:asciiTheme="minorBidi" w:hAnsiTheme="minorBidi" w:cstheme="minorBidi"/>
        </w:rPr>
        <w:t xml:space="preserve">, </w:t>
      </w:r>
      <w:hyperlink r:id="rId148" w:history="1">
        <w:r w:rsidRPr="00C1535B">
          <w:rPr>
            <w:rStyle w:val="Hyperlink"/>
            <w:rFonts w:asciiTheme="minorBidi" w:hAnsiTheme="minorBidi" w:cstheme="minorBidi"/>
            <w:color w:val="auto"/>
          </w:rPr>
          <w:t>https://asean.org/wp-content/uploads/images/2012/Economic/TELMIN/e-Asean%20Reference%20Framework.pdf</w:t>
        </w:r>
      </w:hyperlink>
      <w:r w:rsidRPr="00C1535B">
        <w:rPr>
          <w:rFonts w:asciiTheme="minorBidi" w:hAnsiTheme="minorBidi" w:cstheme="minorBidi"/>
        </w:rPr>
        <w:t xml:space="preserve"> </w:t>
      </w:r>
    </w:p>
  </w:footnote>
  <w:footnote w:id="156">
    <w:p w14:paraId="5B5DF633" w14:textId="77777777" w:rsidR="00210827" w:rsidRPr="00C1535B" w:rsidRDefault="00210827" w:rsidP="00210827">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(2021) DTSCWG, </w:t>
      </w:r>
      <w:hyperlink r:id="rId149" w:history="1">
        <w:r w:rsidRPr="00C1535B">
          <w:rPr>
            <w:rStyle w:val="Hyperlink"/>
            <w:rFonts w:asciiTheme="minorBidi" w:hAnsiTheme="minorBidi" w:cstheme="minorBidi"/>
            <w:color w:val="auto"/>
          </w:rPr>
          <w:t>https://asean.org/wp-content/uploads/2021/12/DTSCWG-Infographic-final.pdf</w:t>
        </w:r>
      </w:hyperlink>
      <w:r w:rsidRPr="00C1535B">
        <w:rPr>
          <w:rFonts w:asciiTheme="minorBidi" w:hAnsiTheme="minorBidi" w:cstheme="minorBidi"/>
        </w:rPr>
        <w:t xml:space="preserve"> </w:t>
      </w:r>
    </w:p>
  </w:footnote>
  <w:footnote w:id="157">
    <w:p w14:paraId="7D58B123" w14:textId="2E907BA0" w:rsidR="00210827" w:rsidRPr="00C1535B" w:rsidRDefault="00210827" w:rsidP="00210827">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BCG (2023), </w:t>
      </w:r>
      <w:r w:rsidR="001F7407">
        <w:rPr>
          <w:rFonts w:asciiTheme="minorBidi" w:hAnsiTheme="minorBidi" w:cstheme="minorBidi"/>
        </w:rPr>
        <w:t>Báo cáo cuối cùng</w:t>
      </w:r>
      <w:r w:rsidRPr="00C1535B">
        <w:rPr>
          <w:rFonts w:asciiTheme="minorBidi" w:hAnsiTheme="minorBidi" w:cstheme="minorBidi"/>
        </w:rPr>
        <w:t xml:space="preserve">: </w:t>
      </w:r>
      <w:r w:rsidR="00852DEA">
        <w:rPr>
          <w:rFonts w:asciiTheme="minorBidi" w:hAnsiTheme="minorBidi" w:cstheme="minorBidi"/>
        </w:rPr>
        <w:t>Nghiên cứu về Hiệp định khung ASEAN về Kinh tế số (DEFA)</w:t>
      </w:r>
    </w:p>
  </w:footnote>
  <w:footnote w:id="158">
    <w:p w14:paraId="52EE681E" w14:textId="38D8F6E3" w:rsidR="00210827" w:rsidRPr="00C1535B" w:rsidRDefault="00210827" w:rsidP="00210827">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(2022) </w:t>
      </w:r>
      <w:r w:rsidR="001F7407">
        <w:rPr>
          <w:rFonts w:asciiTheme="minorBidi" w:hAnsiTheme="minorBidi" w:cstheme="minorBidi"/>
        </w:rPr>
        <w:t>Chiến lược hợp tác an ninh mạng ASEAN</w:t>
      </w:r>
      <w:r w:rsidRPr="00C1535B">
        <w:rPr>
          <w:rFonts w:asciiTheme="minorBidi" w:hAnsiTheme="minorBidi" w:cstheme="minorBidi"/>
        </w:rPr>
        <w:t xml:space="preserve"> (2021-2025), </w:t>
      </w:r>
      <w:hyperlink r:id="rId150" w:history="1">
        <w:r w:rsidRPr="00C1535B">
          <w:rPr>
            <w:rStyle w:val="Hyperlink"/>
            <w:rFonts w:asciiTheme="minorBidi" w:hAnsiTheme="minorBidi" w:cstheme="minorBidi"/>
            <w:color w:val="auto"/>
          </w:rPr>
          <w:t>https://asean.org/wp-content/uploads/2022/02/01-ASEAN-Cybersecurity-Cooperation-Paper-2021-2025_final-23-0122.pdf</w:t>
        </w:r>
      </w:hyperlink>
    </w:p>
  </w:footnote>
  <w:footnote w:id="159">
    <w:p w14:paraId="1972D228" w14:textId="71915A95" w:rsidR="00210827" w:rsidRPr="00C1535B" w:rsidRDefault="00210827" w:rsidP="00210827">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(2021) </w:t>
      </w:r>
      <w:r w:rsidR="00FB6362">
        <w:rPr>
          <w:rFonts w:asciiTheme="minorBidi" w:hAnsiTheme="minorBidi" w:cstheme="minorBidi"/>
        </w:rPr>
        <w:t>Kế hoạch tổng thể số 2025</w:t>
      </w:r>
      <w:r w:rsidRPr="00C1535B">
        <w:rPr>
          <w:rFonts w:asciiTheme="minorBidi" w:hAnsiTheme="minorBidi" w:cstheme="minorBidi"/>
        </w:rPr>
        <w:t xml:space="preserve">, </w:t>
      </w:r>
      <w:hyperlink r:id="rId151" w:history="1">
        <w:r w:rsidRPr="00C1535B">
          <w:rPr>
            <w:rStyle w:val="Hyperlink"/>
            <w:rFonts w:asciiTheme="minorBidi" w:hAnsiTheme="minorBidi" w:cstheme="minorBidi"/>
            <w:color w:val="auto"/>
          </w:rPr>
          <w:t>https://asean.org/book/asean-digital-masterplan-2025/</w:t>
        </w:r>
      </w:hyperlink>
      <w:r w:rsidRPr="00C1535B">
        <w:rPr>
          <w:rFonts w:asciiTheme="minorBidi" w:hAnsiTheme="minorBidi" w:cstheme="minorBidi"/>
        </w:rPr>
        <w:t xml:space="preserve"> </w:t>
      </w:r>
    </w:p>
  </w:footnote>
  <w:footnote w:id="160">
    <w:p w14:paraId="1A3D7E60" w14:textId="55EFF9E5" w:rsidR="00210827" w:rsidRPr="00C1535B" w:rsidRDefault="00210827" w:rsidP="00210827">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FB6362">
        <w:rPr>
          <w:rFonts w:asciiTheme="minorBidi" w:hAnsiTheme="minorBidi" w:cstheme="minorBidi"/>
        </w:rPr>
        <w:t>Ban Thư ký ASEAN</w:t>
      </w:r>
      <w:r w:rsidRPr="00C1535B">
        <w:rPr>
          <w:rFonts w:asciiTheme="minorBidi" w:hAnsiTheme="minorBidi" w:cstheme="minorBidi"/>
        </w:rPr>
        <w:t xml:space="preserve"> (2023) </w:t>
      </w:r>
      <w:r w:rsidR="00852DEA">
        <w:rPr>
          <w:rFonts w:asciiTheme="minorBidi" w:hAnsiTheme="minorBidi" w:cstheme="minorBidi"/>
        </w:rPr>
        <w:t>Nghiên cứu về Hiệp định khung ASEAN về Kinh tế số (DEFA)</w:t>
      </w:r>
    </w:p>
  </w:footnote>
  <w:footnote w:id="161">
    <w:p w14:paraId="223DC4FF" w14:textId="6A221E6D" w:rsidR="00210827" w:rsidRPr="00C1535B" w:rsidRDefault="00210827" w:rsidP="00210827">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FB6362">
        <w:rPr>
          <w:rFonts w:asciiTheme="minorBidi" w:hAnsiTheme="minorBidi" w:cstheme="minorBidi"/>
        </w:rPr>
        <w:t>Ban Thư ký ASEAN</w:t>
      </w:r>
      <w:r w:rsidRPr="00C1535B">
        <w:rPr>
          <w:rFonts w:asciiTheme="minorBidi" w:hAnsiTheme="minorBidi" w:cstheme="minorBidi"/>
        </w:rPr>
        <w:t xml:space="preserve"> (2023) </w:t>
      </w:r>
      <w:r w:rsidR="00852DEA">
        <w:rPr>
          <w:rFonts w:asciiTheme="minorBidi" w:hAnsiTheme="minorBidi" w:cstheme="minorBidi"/>
        </w:rPr>
        <w:t>Nghiên cứu về Hiệp định khung ASEAN về Kinh tế số (DEFA)</w:t>
      </w:r>
    </w:p>
  </w:footnote>
  <w:footnote w:id="162">
    <w:p w14:paraId="0509DB76" w14:textId="20DFC072" w:rsidR="00210827" w:rsidRPr="00C1535B" w:rsidRDefault="00210827" w:rsidP="00210827">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1F7407">
        <w:rPr>
          <w:rFonts w:asciiTheme="minorBidi" w:hAnsiTheme="minorBidi" w:cstheme="minorBidi"/>
        </w:rPr>
        <w:t>Hội nghị Bộ trưởng Thông tin và Truyền thông ASEAN</w:t>
      </w:r>
      <w:r w:rsidRPr="00C1535B">
        <w:rPr>
          <w:rFonts w:asciiTheme="minorBidi" w:hAnsiTheme="minorBidi" w:cstheme="minorBidi"/>
        </w:rPr>
        <w:t xml:space="preserve"> (2012) </w:t>
      </w:r>
      <w:r w:rsidR="001F7407">
        <w:rPr>
          <w:rFonts w:asciiTheme="minorBidi" w:hAnsiTheme="minorBidi" w:cstheme="minorBidi"/>
        </w:rPr>
        <w:t>Khung quản trị dữ liệu số</w:t>
      </w:r>
      <w:r w:rsidRPr="00C1535B">
        <w:rPr>
          <w:rFonts w:asciiTheme="minorBidi" w:hAnsiTheme="minorBidi" w:cstheme="minorBidi"/>
        </w:rPr>
        <w:t xml:space="preserve">, </w:t>
      </w:r>
      <w:hyperlink r:id="rId152" w:history="1">
        <w:r w:rsidRPr="00C1535B">
          <w:rPr>
            <w:rStyle w:val="Hyperlink"/>
            <w:rFonts w:asciiTheme="minorBidi" w:hAnsiTheme="minorBidi" w:cstheme="minorBidi"/>
            <w:color w:val="auto"/>
          </w:rPr>
          <w:t>https://asean.org/wp-content/uploads/2012/05/6B-ASEAN-Framework-on-Digital-Data-Governance_Endorsedv1.pdf</w:t>
        </w:r>
      </w:hyperlink>
    </w:p>
  </w:footnote>
  <w:footnote w:id="163">
    <w:p w14:paraId="4CE30EF0" w14:textId="6C854598" w:rsidR="00457C69" w:rsidRPr="00C1535B" w:rsidRDefault="00457C69" w:rsidP="00457C69">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D96663">
        <w:rPr>
          <w:rFonts w:asciiTheme="minorBidi" w:hAnsiTheme="minorBidi" w:cstheme="minorBidi"/>
        </w:rPr>
        <w:t>Hội đồng kinh doanh US-ASEAN</w:t>
      </w:r>
      <w:r w:rsidRPr="00C1535B">
        <w:rPr>
          <w:rFonts w:asciiTheme="minorBidi" w:hAnsiTheme="minorBidi" w:cstheme="minorBidi"/>
        </w:rPr>
        <w:t xml:space="preserve"> (2023) </w:t>
      </w:r>
      <w:r w:rsidR="00D96663">
        <w:rPr>
          <w:rFonts w:asciiTheme="minorBidi" w:hAnsiTheme="minorBidi" w:cstheme="minorBidi"/>
        </w:rPr>
        <w:t>Nhận diện số ở ASEAN</w:t>
      </w:r>
      <w:r w:rsidRPr="00C1535B">
        <w:rPr>
          <w:rFonts w:asciiTheme="minorBidi" w:hAnsiTheme="minorBidi" w:cstheme="minorBidi"/>
        </w:rPr>
        <w:t xml:space="preserve">, </w:t>
      </w:r>
      <w:hyperlink r:id="rId153" w:history="1">
        <w:r w:rsidRPr="00C1535B">
          <w:rPr>
            <w:rStyle w:val="Hyperlink"/>
            <w:rFonts w:asciiTheme="minorBidi" w:hAnsiTheme="minorBidi" w:cstheme="minorBidi"/>
            <w:color w:val="auto"/>
          </w:rPr>
          <w:t>https://www.usasean.org/article/digital-identity-asean</w:t>
        </w:r>
      </w:hyperlink>
      <w:r w:rsidRPr="00C1535B">
        <w:rPr>
          <w:rFonts w:asciiTheme="minorBidi" w:hAnsiTheme="minorBidi" w:cstheme="minorBidi"/>
        </w:rPr>
        <w:t xml:space="preserve"> </w:t>
      </w:r>
    </w:p>
  </w:footnote>
  <w:footnote w:id="164">
    <w:p w14:paraId="03A5F8B3" w14:textId="2541806B" w:rsidR="00457C69" w:rsidRPr="00C1535B" w:rsidRDefault="00457C69" w:rsidP="00457C69">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GSMA (2018) </w:t>
      </w:r>
      <w:r w:rsidR="001F7407">
        <w:rPr>
          <w:rFonts w:asciiTheme="minorBidi" w:hAnsiTheme="minorBidi" w:cstheme="minorBidi"/>
        </w:rPr>
        <w:t>Nhận diện số</w:t>
      </w:r>
      <w:r w:rsidRPr="00C1535B">
        <w:rPr>
          <w:rFonts w:asciiTheme="minorBidi" w:hAnsiTheme="minorBidi" w:cstheme="minorBidi"/>
        </w:rPr>
        <w:t xml:space="preserve">: </w:t>
      </w:r>
      <w:r w:rsidR="001F7407">
        <w:rPr>
          <w:rFonts w:asciiTheme="minorBidi" w:hAnsiTheme="minorBidi" w:cstheme="minorBidi"/>
        </w:rPr>
        <w:t>Thúc đẩy các xã hội số ở châu Á Thái Bình Dương</w:t>
      </w:r>
      <w:r w:rsidRPr="00C1535B">
        <w:rPr>
          <w:rFonts w:asciiTheme="minorBidi" w:hAnsiTheme="minorBidi" w:cstheme="minorBidi"/>
        </w:rPr>
        <w:t xml:space="preserve">, </w:t>
      </w:r>
      <w:hyperlink r:id="rId154" w:history="1">
        <w:r w:rsidRPr="00FD4695">
          <w:rPr>
            <w:rStyle w:val="Hyperlink"/>
            <w:color w:val="auto"/>
          </w:rPr>
          <w:t>https://data.gsmaintelligence.com/api-web/v2/research-file download?id=30933435&amp;file=Digital%20identities%20advancing%20digital%20societies%20in%20Asia%20Pacific.pdf</w:t>
        </w:r>
      </w:hyperlink>
      <w:r w:rsidRPr="00C1535B">
        <w:rPr>
          <w:rFonts w:asciiTheme="minorBidi" w:hAnsiTheme="minorBidi" w:cstheme="minorBidi"/>
        </w:rPr>
        <w:t xml:space="preserve"> </w:t>
      </w:r>
    </w:p>
  </w:footnote>
  <w:footnote w:id="165">
    <w:p w14:paraId="0BF52D0B" w14:textId="325BE772" w:rsidR="00457C69" w:rsidRPr="00C1535B" w:rsidRDefault="00457C69" w:rsidP="00457C69">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FB6362">
        <w:rPr>
          <w:rFonts w:asciiTheme="minorBidi" w:hAnsiTheme="minorBidi" w:cstheme="minorBidi"/>
        </w:rPr>
        <w:t>Ban Thư ký ASEAN</w:t>
      </w:r>
      <w:r w:rsidRPr="00C1535B">
        <w:rPr>
          <w:rFonts w:asciiTheme="minorBidi" w:hAnsiTheme="minorBidi" w:cstheme="minorBidi"/>
        </w:rPr>
        <w:t xml:space="preserve"> (2023) </w:t>
      </w:r>
      <w:r w:rsidR="00852DEA">
        <w:rPr>
          <w:rFonts w:asciiTheme="minorBidi" w:hAnsiTheme="minorBidi" w:cstheme="minorBidi"/>
        </w:rPr>
        <w:t>Nghiên cứu về Hiệp định khung ASEAN về Kinh tế số (DEFA)</w:t>
      </w:r>
    </w:p>
  </w:footnote>
  <w:footnote w:id="166">
    <w:p w14:paraId="0BDA1C1D" w14:textId="54AC8CDD" w:rsidR="00457C69" w:rsidRPr="00C1535B" w:rsidRDefault="00457C69" w:rsidP="00457C69">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FB6362">
        <w:rPr>
          <w:rFonts w:asciiTheme="minorBidi" w:hAnsiTheme="minorBidi" w:cstheme="minorBidi"/>
        </w:rPr>
        <w:t>Tổ chức Thương mại Thế giới</w:t>
      </w:r>
      <w:r w:rsidR="001F7407">
        <w:rPr>
          <w:rFonts w:asciiTheme="minorBidi" w:hAnsiTheme="minorBidi" w:cstheme="minorBidi"/>
        </w:rPr>
        <w:t xml:space="preserve"> và Diễn đàn Kinh tế Thế giới</w:t>
      </w:r>
      <w:r w:rsidRPr="00C1535B">
        <w:rPr>
          <w:rFonts w:asciiTheme="minorBidi" w:hAnsiTheme="minorBidi" w:cstheme="minorBidi"/>
        </w:rPr>
        <w:t xml:space="preserve"> (2022) </w:t>
      </w:r>
      <w:r w:rsidR="005C7ED1">
        <w:rPr>
          <w:rFonts w:asciiTheme="minorBidi" w:hAnsiTheme="minorBidi" w:cstheme="minorBidi"/>
        </w:rPr>
        <w:t>Lời hứa về Công nghệ thương mại: Các phương pháp tiếp cận chính sách để triển khai số hóa thương mại</w:t>
      </w:r>
      <w:r w:rsidRPr="00C1535B">
        <w:rPr>
          <w:rFonts w:asciiTheme="minorBidi" w:hAnsiTheme="minorBidi" w:cstheme="minorBidi"/>
        </w:rPr>
        <w:t xml:space="preserve">, </w:t>
      </w:r>
      <w:hyperlink r:id="rId155" w:history="1">
        <w:r w:rsidRPr="00C1535B">
          <w:rPr>
            <w:rStyle w:val="Hyperlink"/>
            <w:rFonts w:asciiTheme="minorBidi" w:hAnsiTheme="minorBidi" w:cstheme="minorBidi"/>
            <w:color w:val="auto"/>
          </w:rPr>
          <w:t>https://www.wto.org/english/res_e/publications_e/tradtechpolicyharddigit0422_e.htm</w:t>
        </w:r>
      </w:hyperlink>
      <w:r w:rsidRPr="00C1535B">
        <w:rPr>
          <w:rFonts w:asciiTheme="minorBidi" w:hAnsiTheme="minorBidi" w:cstheme="minorBidi"/>
        </w:rPr>
        <w:t xml:space="preserve"> </w:t>
      </w:r>
    </w:p>
  </w:footnote>
  <w:footnote w:id="167">
    <w:p w14:paraId="21D190F0" w14:textId="5AD25A63" w:rsidR="00457C69" w:rsidRPr="00C1535B" w:rsidRDefault="00457C69" w:rsidP="00457C69">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5C7ED1">
        <w:rPr>
          <w:rFonts w:asciiTheme="minorBidi" w:hAnsiTheme="minorBidi" w:cstheme="minorBidi"/>
        </w:rPr>
        <w:t>Phòng Thương mại quốc tế &amp; Google</w:t>
      </w:r>
      <w:r w:rsidRPr="00C1535B">
        <w:rPr>
          <w:rFonts w:asciiTheme="minorBidi" w:hAnsiTheme="minorBidi" w:cstheme="minorBidi"/>
        </w:rPr>
        <w:t xml:space="preserve"> (2022), </w:t>
      </w:r>
      <w:r w:rsidR="005C7ED1">
        <w:rPr>
          <w:rFonts w:asciiTheme="minorBidi" w:hAnsiTheme="minorBidi" w:cstheme="minorBidi"/>
        </w:rPr>
        <w:t xml:space="preserve">Xuất khẩu số </w:t>
      </w:r>
      <w:r w:rsidRPr="00C1535B">
        <w:rPr>
          <w:rFonts w:asciiTheme="minorBidi" w:hAnsiTheme="minorBidi" w:cstheme="minorBidi"/>
        </w:rPr>
        <w:t xml:space="preserve">MSME </w:t>
      </w:r>
      <w:r w:rsidR="005C7ED1">
        <w:rPr>
          <w:rFonts w:asciiTheme="minorBidi" w:hAnsiTheme="minorBidi" w:cstheme="minorBidi"/>
        </w:rPr>
        <w:t>ở ĐNA</w:t>
      </w:r>
      <w:r w:rsidRPr="00C1535B">
        <w:rPr>
          <w:rFonts w:asciiTheme="minorBidi" w:hAnsiTheme="minorBidi" w:cstheme="minorBidi"/>
        </w:rPr>
        <w:t xml:space="preserve"> – </w:t>
      </w:r>
      <w:r w:rsidR="005C7ED1">
        <w:rPr>
          <w:rFonts w:asciiTheme="minorBidi" w:hAnsiTheme="minorBidi" w:cstheme="minorBidi"/>
        </w:rPr>
        <w:t xml:space="preserve">Nghiên cứu về xuất khẩu số </w:t>
      </w:r>
      <w:r w:rsidRPr="00C1535B">
        <w:rPr>
          <w:rFonts w:asciiTheme="minorBidi" w:hAnsiTheme="minorBidi" w:cstheme="minorBidi"/>
        </w:rPr>
        <w:t xml:space="preserve">MSME </w:t>
      </w:r>
      <w:r w:rsidR="005C7ED1">
        <w:rPr>
          <w:rFonts w:asciiTheme="minorBidi" w:hAnsiTheme="minorBidi" w:cstheme="minorBidi"/>
        </w:rPr>
        <w:t xml:space="preserve">ở 10 thị trường </w:t>
      </w:r>
      <w:r w:rsidRPr="00C1535B">
        <w:rPr>
          <w:rFonts w:asciiTheme="minorBidi" w:hAnsiTheme="minorBidi" w:cstheme="minorBidi"/>
        </w:rPr>
        <w:t xml:space="preserve">ASEAN </w:t>
      </w:r>
      <w:hyperlink r:id="rId156" w:history="1">
        <w:r w:rsidRPr="00C1535B">
          <w:rPr>
            <w:rStyle w:val="Hyperlink"/>
            <w:rFonts w:asciiTheme="minorBidi" w:hAnsiTheme="minorBidi" w:cstheme="minorBidi"/>
            <w:color w:val="auto"/>
          </w:rPr>
          <w:t>https://iccwbo.org/news-publications/policies-reports/msme-digital-exports-in-southeast-asia-a-study-of-msme-digital-exports-in-10-asean-markets/</w:t>
        </w:r>
      </w:hyperlink>
      <w:r w:rsidRPr="00C1535B">
        <w:rPr>
          <w:rFonts w:asciiTheme="minorBidi" w:hAnsiTheme="minorBidi" w:cstheme="minorBidi"/>
        </w:rPr>
        <w:t xml:space="preserve"> </w:t>
      </w:r>
    </w:p>
  </w:footnote>
  <w:footnote w:id="168">
    <w:p w14:paraId="09A8F0CA" w14:textId="77777777" w:rsidR="005B28E5" w:rsidRPr="00C1535B" w:rsidRDefault="005B28E5" w:rsidP="005B28E5">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(2023) AEM JMS, </w:t>
      </w:r>
      <w:hyperlink r:id="rId157" w:history="1">
        <w:r w:rsidRPr="00C1535B">
          <w:rPr>
            <w:rStyle w:val="Hyperlink"/>
            <w:rFonts w:asciiTheme="minorBidi" w:hAnsiTheme="minorBidi" w:cstheme="minorBidi"/>
            <w:color w:val="auto"/>
          </w:rPr>
          <w:t>https://asean.org/wp-content/uploads/2023/08/AEM-55-JMS_19-Aug.pdf</w:t>
        </w:r>
      </w:hyperlink>
      <w:r w:rsidRPr="00C1535B">
        <w:rPr>
          <w:rFonts w:asciiTheme="minorBidi" w:hAnsiTheme="minorBidi" w:cstheme="minorBidi"/>
        </w:rPr>
        <w:t xml:space="preserve"> </w:t>
      </w:r>
    </w:p>
  </w:footnote>
  <w:footnote w:id="169">
    <w:p w14:paraId="0C9907A1" w14:textId="12548BC3" w:rsidR="008E4193" w:rsidRPr="00C1535B" w:rsidRDefault="008E4193" w:rsidP="008E4193">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LEI (2024) </w:t>
      </w:r>
      <w:r w:rsidR="005C7ED1">
        <w:rPr>
          <w:rFonts w:asciiTheme="minorBidi" w:hAnsiTheme="minorBidi" w:cstheme="minorBidi"/>
        </w:rPr>
        <w:t>Giới thiệu LEI</w:t>
      </w:r>
      <w:r w:rsidRPr="00C1535B">
        <w:rPr>
          <w:rFonts w:asciiTheme="minorBidi" w:hAnsiTheme="minorBidi" w:cstheme="minorBidi"/>
        </w:rPr>
        <w:t xml:space="preserve">, </w:t>
      </w:r>
      <w:hyperlink r:id="rId158" w:history="1">
        <w:r w:rsidRPr="00C1535B">
          <w:rPr>
            <w:rStyle w:val="Hyperlink"/>
            <w:rFonts w:asciiTheme="minorBidi" w:hAnsiTheme="minorBidi" w:cstheme="minorBidi"/>
            <w:color w:val="auto"/>
          </w:rPr>
          <w:t>https://www.gleif.org/en/about-lei/introducing-the-legal-entity-identifier-lei</w:t>
        </w:r>
      </w:hyperlink>
    </w:p>
  </w:footnote>
  <w:footnote w:id="170">
    <w:p w14:paraId="440F746C" w14:textId="39B25CBF" w:rsidR="008E4193" w:rsidRPr="00C1535B" w:rsidRDefault="008E4193" w:rsidP="008E4193">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LEI (2024) </w:t>
      </w:r>
      <w:r w:rsidR="006F703C">
        <w:rPr>
          <w:rFonts w:asciiTheme="minorBidi" w:hAnsiTheme="minorBidi" w:cstheme="minorBidi"/>
        </w:rPr>
        <w:t>Thanh toán xuyên biên giới</w:t>
      </w:r>
      <w:r w:rsidRPr="00C1535B">
        <w:rPr>
          <w:rFonts w:asciiTheme="minorBidi" w:hAnsiTheme="minorBidi" w:cstheme="minorBidi"/>
        </w:rPr>
        <w:t xml:space="preserve">, </w:t>
      </w:r>
      <w:hyperlink r:id="rId159" w:history="1">
        <w:r w:rsidRPr="00C1535B">
          <w:rPr>
            <w:rStyle w:val="Hyperlink"/>
            <w:rFonts w:asciiTheme="minorBidi" w:hAnsiTheme="minorBidi" w:cstheme="minorBidi"/>
            <w:color w:val="auto"/>
          </w:rPr>
          <w:t>https://www.gleif.org/en/lei-solutions/featuring-the-lei/cross-border-payments</w:t>
        </w:r>
      </w:hyperlink>
      <w:r w:rsidRPr="00C1535B">
        <w:rPr>
          <w:rFonts w:asciiTheme="minorBidi" w:hAnsiTheme="minorBidi" w:cstheme="minorBidi"/>
        </w:rPr>
        <w:t xml:space="preserve"> </w:t>
      </w:r>
    </w:p>
  </w:footnote>
  <w:footnote w:id="171">
    <w:p w14:paraId="42613151" w14:textId="2515F1B7" w:rsidR="00A01A6E" w:rsidRPr="00C1535B" w:rsidRDefault="00A01A6E" w:rsidP="00A01A6E">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5C7ED1">
        <w:rPr>
          <w:rFonts w:asciiTheme="minorBidi" w:hAnsiTheme="minorBidi" w:cstheme="minorBidi"/>
        </w:rPr>
        <w:t>Ngân hàng phát triển châu Á</w:t>
      </w:r>
      <w:r w:rsidRPr="00C1535B">
        <w:rPr>
          <w:rFonts w:asciiTheme="minorBidi" w:hAnsiTheme="minorBidi" w:cstheme="minorBidi"/>
        </w:rPr>
        <w:t xml:space="preserve"> (2019), </w:t>
      </w:r>
      <w:r w:rsidR="005C7ED1">
        <w:rPr>
          <w:rFonts w:asciiTheme="minorBidi" w:hAnsiTheme="minorBidi" w:cstheme="minorBidi"/>
        </w:rPr>
        <w:t>Tiếp cận nhận dạng thể chế pháp lý</w:t>
      </w:r>
      <w:r w:rsidRPr="00C1535B">
        <w:rPr>
          <w:rFonts w:asciiTheme="minorBidi" w:hAnsiTheme="minorBidi" w:cstheme="minorBidi"/>
        </w:rPr>
        <w:t xml:space="preserve">: </w:t>
      </w:r>
      <w:r w:rsidR="005C7ED1">
        <w:rPr>
          <w:rFonts w:asciiTheme="minorBidi" w:hAnsiTheme="minorBidi" w:cstheme="minorBidi"/>
        </w:rPr>
        <w:t xml:space="preserve">Khảo sát của Chương trình Tài chính thương mại </w:t>
      </w:r>
      <w:hyperlink r:id="rId160" w:history="1">
        <w:r w:rsidRPr="00C1535B">
          <w:rPr>
            <w:rStyle w:val="Hyperlink"/>
            <w:rFonts w:asciiTheme="minorBidi" w:hAnsiTheme="minorBidi" w:cstheme="minorBidi"/>
            <w:color w:val="auto"/>
          </w:rPr>
          <w:t>https://www.adb.org/sites/default/files/publication/505076/adb-brief-109-legal-entity-identifier-tfp-survey.pdf</w:t>
        </w:r>
      </w:hyperlink>
      <w:r w:rsidRPr="00C1535B">
        <w:rPr>
          <w:rFonts w:asciiTheme="minorBidi" w:hAnsiTheme="minorBidi" w:cstheme="minorBidi"/>
        </w:rPr>
        <w:t xml:space="preserve"> </w:t>
      </w:r>
    </w:p>
  </w:footnote>
  <w:footnote w:id="172">
    <w:p w14:paraId="0026E7A9" w14:textId="3D977053" w:rsidR="00A01A6E" w:rsidRPr="00C1535B" w:rsidRDefault="00A01A6E" w:rsidP="00A01A6E">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GLEIF (2024) </w:t>
      </w:r>
      <w:r w:rsidR="006F703C">
        <w:rPr>
          <w:rFonts w:asciiTheme="minorBidi" w:hAnsiTheme="minorBidi" w:cstheme="minorBidi"/>
        </w:rPr>
        <w:t>Thanh toán xuyên biên giới</w:t>
      </w:r>
      <w:r w:rsidRPr="00C1535B">
        <w:rPr>
          <w:rFonts w:asciiTheme="minorBidi" w:hAnsiTheme="minorBidi" w:cstheme="minorBidi"/>
        </w:rPr>
        <w:t xml:space="preserve">, </w:t>
      </w:r>
      <w:hyperlink r:id="rId161" w:history="1">
        <w:r w:rsidRPr="00C1535B">
          <w:rPr>
            <w:rStyle w:val="Hyperlink"/>
            <w:rFonts w:asciiTheme="minorBidi" w:hAnsiTheme="minorBidi" w:cstheme="minorBidi"/>
            <w:color w:val="auto"/>
          </w:rPr>
          <w:t>https://www.gleif.org/en/lei-solutions/featuring-the-lei/cross-border-payments</w:t>
        </w:r>
      </w:hyperlink>
      <w:r w:rsidRPr="00C1535B">
        <w:rPr>
          <w:rFonts w:asciiTheme="minorBidi" w:hAnsiTheme="minorBidi" w:cstheme="minorBidi"/>
        </w:rPr>
        <w:t xml:space="preserve"> </w:t>
      </w:r>
    </w:p>
  </w:footnote>
  <w:footnote w:id="173">
    <w:p w14:paraId="265847EB" w14:textId="552EC1DE" w:rsidR="0081310A" w:rsidRPr="00C1535B" w:rsidRDefault="0081310A" w:rsidP="00525708">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5C7ED1">
        <w:rPr>
          <w:rFonts w:asciiTheme="minorBidi" w:hAnsiTheme="minorBidi" w:cstheme="minorBidi"/>
        </w:rPr>
        <w:t>Ngân hàng quốc tế về tái cấu trúc và phát triển</w:t>
      </w:r>
      <w:r w:rsidR="001F7407">
        <w:rPr>
          <w:rFonts w:asciiTheme="minorBidi" w:hAnsiTheme="minorBidi" w:cstheme="minorBidi"/>
        </w:rPr>
        <w:t xml:space="preserve"> và </w:t>
      </w:r>
      <w:r w:rsidR="005C7ED1">
        <w:rPr>
          <w:rFonts w:asciiTheme="minorBidi" w:hAnsiTheme="minorBidi" w:cstheme="minorBidi"/>
        </w:rPr>
        <w:t>Ngân hàng Thế giới</w:t>
      </w:r>
      <w:r w:rsidRPr="00C1535B">
        <w:rPr>
          <w:rFonts w:asciiTheme="minorBidi" w:hAnsiTheme="minorBidi" w:cstheme="minorBidi"/>
        </w:rPr>
        <w:t xml:space="preserve"> (2017) </w:t>
      </w:r>
      <w:r w:rsidR="005C7ED1">
        <w:rPr>
          <w:rFonts w:asciiTheme="minorBidi" w:hAnsiTheme="minorBidi" w:cstheme="minorBidi"/>
        </w:rPr>
        <w:t>Tiêu chuẩn kỹ thuật cho hệ thống nhận dạng số cho việc nhận dạng số</w:t>
      </w:r>
      <w:r w:rsidRPr="00C1535B">
        <w:rPr>
          <w:rFonts w:asciiTheme="minorBidi" w:hAnsiTheme="minorBidi" w:cstheme="minorBidi"/>
        </w:rPr>
        <w:t xml:space="preserve">, </w:t>
      </w:r>
      <w:r w:rsidR="005C7ED1">
        <w:rPr>
          <w:rFonts w:asciiTheme="minorBidi" w:hAnsiTheme="minorBidi" w:cstheme="minorBidi"/>
        </w:rPr>
        <w:t>Dự thảo để thảo luận</w:t>
      </w:r>
      <w:r w:rsidRPr="00C1535B">
        <w:rPr>
          <w:rFonts w:asciiTheme="minorBidi" w:hAnsiTheme="minorBidi" w:cstheme="minorBidi"/>
        </w:rPr>
        <w:t xml:space="preserve">, </w:t>
      </w:r>
      <w:hyperlink r:id="rId162" w:history="1">
        <w:r w:rsidRPr="00C1535B">
          <w:rPr>
            <w:rStyle w:val="Hyperlink"/>
            <w:rFonts w:asciiTheme="minorBidi" w:hAnsiTheme="minorBidi" w:cstheme="minorBidi"/>
            <w:color w:val="auto"/>
          </w:rPr>
          <w:t>https://thedocs.worldbank.org/en/doc/579151515518705630-0190022018/original/ID4DTechnicalStandardsforDigitalIdentity.pdf</w:t>
        </w:r>
      </w:hyperlink>
    </w:p>
  </w:footnote>
  <w:footnote w:id="174">
    <w:p w14:paraId="591F83E4" w14:textId="51D11055" w:rsidR="00A01A6E" w:rsidRPr="00C1535B" w:rsidRDefault="00A01A6E" w:rsidP="00A01A6E">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ISO (n.d.) ISO/IEC 24745:2022 </w:t>
      </w:r>
      <w:r w:rsidR="00583A41">
        <w:rPr>
          <w:rFonts w:asciiTheme="minorBidi" w:hAnsiTheme="minorBidi" w:cstheme="minorBidi"/>
        </w:rPr>
        <w:t>An ninh thông tin, an ninh mạng và bảo vệ quyền riêng tư</w:t>
      </w:r>
      <w:r w:rsidRPr="00C1535B">
        <w:rPr>
          <w:rFonts w:asciiTheme="minorBidi" w:hAnsiTheme="minorBidi" w:cstheme="minorBidi"/>
        </w:rPr>
        <w:t xml:space="preserve"> – </w:t>
      </w:r>
      <w:r w:rsidR="00583A41">
        <w:rPr>
          <w:rFonts w:asciiTheme="minorBidi" w:hAnsiTheme="minorBidi" w:cstheme="minorBidi"/>
        </w:rPr>
        <w:t>Bảo vệ thông tin sinh trắc học</w:t>
      </w:r>
      <w:r w:rsidRPr="00C1535B">
        <w:rPr>
          <w:rFonts w:asciiTheme="minorBidi" w:hAnsiTheme="minorBidi" w:cstheme="minorBidi"/>
        </w:rPr>
        <w:t xml:space="preserve">, </w:t>
      </w:r>
      <w:hyperlink r:id="rId163" w:anchor=":~:text=This%20document%20covers%20the%20protection,and%20processing%20of%20biometric%20information" w:history="1">
        <w:r w:rsidRPr="00C1535B">
          <w:rPr>
            <w:rStyle w:val="Hyperlink"/>
            <w:rFonts w:asciiTheme="minorBidi" w:hAnsiTheme="minorBidi" w:cstheme="minorBidi"/>
            <w:color w:val="auto"/>
          </w:rPr>
          <w:t>https://www.iso.org/standard/75302.html</w:t>
        </w:r>
      </w:hyperlink>
    </w:p>
  </w:footnote>
  <w:footnote w:id="175">
    <w:p w14:paraId="2708943E" w14:textId="2BC6E770" w:rsidR="00A01A6E" w:rsidRPr="00C1535B" w:rsidRDefault="00A01A6E" w:rsidP="00A01A6E">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TRPC (2020) </w:t>
      </w:r>
      <w:r w:rsidR="00583A41">
        <w:rPr>
          <w:rFonts w:asciiTheme="minorBidi" w:hAnsiTheme="minorBidi" w:cstheme="minorBidi"/>
        </w:rPr>
        <w:t>Tiêu chuẩn thương mại số Australia-Singapore</w:t>
      </w:r>
      <w:r w:rsidRPr="00C1535B">
        <w:rPr>
          <w:rFonts w:asciiTheme="minorBidi" w:hAnsiTheme="minorBidi" w:cstheme="minorBidi"/>
        </w:rPr>
        <w:t xml:space="preserve">, </w:t>
      </w:r>
      <w:hyperlink r:id="rId164" w:history="1">
        <w:r w:rsidRPr="00C1535B">
          <w:rPr>
            <w:rStyle w:val="Hyperlink"/>
            <w:rFonts w:asciiTheme="minorBidi" w:hAnsiTheme="minorBidi" w:cstheme="minorBidi"/>
            <w:color w:val="auto"/>
          </w:rPr>
          <w:t>https://www.dfat.gov.au/sites/default/files/australia-singapore-digital-trade-standards-research-report.pdf</w:t>
        </w:r>
      </w:hyperlink>
      <w:r w:rsidRPr="00C1535B">
        <w:rPr>
          <w:rFonts w:asciiTheme="minorBidi" w:hAnsiTheme="minorBidi" w:cstheme="minorBidi"/>
        </w:rPr>
        <w:t xml:space="preserve"> </w:t>
      </w:r>
    </w:p>
  </w:footnote>
  <w:footnote w:id="176">
    <w:p w14:paraId="6071BCCF" w14:textId="46656A3D" w:rsidR="00A01A6E" w:rsidRPr="00C1535B" w:rsidRDefault="00A01A6E" w:rsidP="00A01A6E">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ISO (n.d.) ISO/IEC 24745:2022 </w:t>
      </w:r>
      <w:r w:rsidR="00583A41">
        <w:rPr>
          <w:rFonts w:asciiTheme="minorBidi" w:hAnsiTheme="minorBidi" w:cstheme="minorBidi"/>
        </w:rPr>
        <w:t>An ninh thông tin, an ninh mạng và bảo vệ quyền riêng tư</w:t>
      </w:r>
      <w:r w:rsidRPr="00C1535B">
        <w:rPr>
          <w:rFonts w:asciiTheme="minorBidi" w:hAnsiTheme="minorBidi" w:cstheme="minorBidi"/>
        </w:rPr>
        <w:t xml:space="preserve"> – </w:t>
      </w:r>
      <w:r w:rsidR="00583A41">
        <w:rPr>
          <w:rFonts w:asciiTheme="minorBidi" w:hAnsiTheme="minorBidi" w:cstheme="minorBidi"/>
        </w:rPr>
        <w:t>Bảo vệ thông tin sinh trắc học</w:t>
      </w:r>
      <w:r w:rsidRPr="00C1535B">
        <w:rPr>
          <w:rFonts w:asciiTheme="minorBidi" w:hAnsiTheme="minorBidi" w:cstheme="minorBidi"/>
        </w:rPr>
        <w:t>,</w:t>
      </w:r>
      <w:r w:rsidRPr="00C1535B">
        <w:rPr>
          <w:rFonts w:asciiTheme="minorBidi" w:hAnsiTheme="minorBidi" w:cstheme="minorBidi"/>
          <w:u w:val="single"/>
        </w:rPr>
        <w:t xml:space="preserve"> https://www.iso.org/standard/75302.html</w:t>
      </w:r>
    </w:p>
  </w:footnote>
  <w:footnote w:id="177">
    <w:p w14:paraId="4253F42D" w14:textId="0EC2E868" w:rsidR="00144426" w:rsidRPr="00C1535B" w:rsidRDefault="00144426" w:rsidP="00144426">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TRPC (2020) </w:t>
      </w:r>
      <w:r w:rsidR="00583A41">
        <w:rPr>
          <w:rFonts w:asciiTheme="minorBidi" w:hAnsiTheme="minorBidi" w:cstheme="minorBidi"/>
        </w:rPr>
        <w:t>Tiêu chuẩn thương mại số Australia-Singapore</w:t>
      </w:r>
      <w:r w:rsidRPr="00C1535B">
        <w:rPr>
          <w:rFonts w:asciiTheme="minorBidi" w:hAnsiTheme="minorBidi" w:cstheme="minorBidi"/>
        </w:rPr>
        <w:t xml:space="preserve">, </w:t>
      </w:r>
      <w:hyperlink r:id="rId165" w:history="1">
        <w:r w:rsidRPr="00C1535B">
          <w:rPr>
            <w:rStyle w:val="Hyperlink"/>
            <w:rFonts w:asciiTheme="minorBidi" w:hAnsiTheme="minorBidi" w:cstheme="minorBidi"/>
            <w:color w:val="auto"/>
          </w:rPr>
          <w:t>https://www.dfat.gov.au/sites/default/files/australia-singapore-digital-trade-standards-research-report.pdf</w:t>
        </w:r>
      </w:hyperlink>
      <w:r w:rsidRPr="00C1535B">
        <w:rPr>
          <w:rFonts w:asciiTheme="minorBidi" w:hAnsiTheme="minorBidi" w:cstheme="minorBidi"/>
        </w:rPr>
        <w:t xml:space="preserve">; Honey Consulting (2022) </w:t>
      </w:r>
      <w:r w:rsidR="00583A41">
        <w:rPr>
          <w:rFonts w:asciiTheme="minorBidi" w:hAnsiTheme="minorBidi" w:cstheme="minorBidi"/>
        </w:rPr>
        <w:t>Nhận diện số ở APEC: Tăng cường niềm tin, sự bao trùm và tương tác trong kinh tế số</w:t>
      </w:r>
      <w:r w:rsidRPr="00C1535B">
        <w:rPr>
          <w:rFonts w:asciiTheme="minorBidi" w:hAnsiTheme="minorBidi" w:cstheme="minorBidi"/>
        </w:rPr>
        <w:t xml:space="preserve">, </w:t>
      </w:r>
      <w:hyperlink r:id="rId166" w:history="1">
        <w:r w:rsidRPr="00C1535B">
          <w:rPr>
            <w:rStyle w:val="Hyperlink"/>
            <w:rFonts w:asciiTheme="minorBidi" w:hAnsiTheme="minorBidi" w:cstheme="minorBidi"/>
            <w:color w:val="auto"/>
          </w:rPr>
          <w:t>https://km.fti.or.th/wp-content/uploads/2023/06/ABAC-Digital-Identity-Report.pdf</w:t>
        </w:r>
      </w:hyperlink>
      <w:r w:rsidRPr="00C1535B">
        <w:rPr>
          <w:rFonts w:asciiTheme="minorBidi" w:hAnsiTheme="minorBidi" w:cstheme="minorBidi"/>
        </w:rPr>
        <w:t xml:space="preserve"> </w:t>
      </w:r>
    </w:p>
  </w:footnote>
  <w:footnote w:id="178">
    <w:p w14:paraId="7C7E24C7" w14:textId="51C24344" w:rsidR="0081310A" w:rsidRPr="00C1535B" w:rsidRDefault="0081310A">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FB6362">
        <w:rPr>
          <w:rFonts w:asciiTheme="minorBidi" w:hAnsiTheme="minorBidi" w:cstheme="minorBidi"/>
        </w:rPr>
        <w:t>Ban Thư ký ASEAN</w:t>
      </w:r>
      <w:r w:rsidRPr="00C1535B">
        <w:rPr>
          <w:rFonts w:asciiTheme="minorBidi" w:hAnsiTheme="minorBidi" w:cstheme="minorBidi"/>
        </w:rPr>
        <w:t xml:space="preserve"> (2023) </w:t>
      </w:r>
      <w:r w:rsidR="007B0916">
        <w:rPr>
          <w:rFonts w:asciiTheme="minorBidi" w:hAnsiTheme="minorBidi" w:cstheme="minorBidi"/>
        </w:rPr>
        <w:t>Nghiên cứu về Hiệp định khung ASEAN về Kinh tế số: Báo cáo cuối cùng</w:t>
      </w:r>
    </w:p>
  </w:footnote>
  <w:footnote w:id="179">
    <w:p w14:paraId="46587FFF" w14:textId="1FF36604" w:rsidR="009727E0" w:rsidRPr="00C1535B" w:rsidRDefault="009727E0" w:rsidP="009727E0">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FB6362">
        <w:rPr>
          <w:rFonts w:asciiTheme="minorBidi" w:hAnsiTheme="minorBidi" w:cstheme="minorBidi"/>
        </w:rPr>
        <w:t>Ban Thư ký ASEAN</w:t>
      </w:r>
      <w:r w:rsidRPr="00C1535B">
        <w:rPr>
          <w:rFonts w:asciiTheme="minorBidi" w:hAnsiTheme="minorBidi" w:cstheme="minorBidi"/>
        </w:rPr>
        <w:t xml:space="preserve"> (2023) </w:t>
      </w:r>
      <w:r w:rsidR="00852DEA">
        <w:rPr>
          <w:rFonts w:asciiTheme="minorBidi" w:hAnsiTheme="minorBidi" w:cstheme="minorBidi"/>
        </w:rPr>
        <w:t>Nghiên cứu về Hiệp định khung ASEAN về Kinh tế số (DEFA)</w:t>
      </w:r>
    </w:p>
  </w:footnote>
  <w:footnote w:id="180">
    <w:p w14:paraId="1F0B189B" w14:textId="1D65B6A0" w:rsidR="009727E0" w:rsidRPr="00C1535B" w:rsidRDefault="009727E0" w:rsidP="009727E0">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583A41">
        <w:rPr>
          <w:rFonts w:asciiTheme="minorBidi" w:hAnsiTheme="minorBidi" w:cstheme="minorBidi"/>
        </w:rPr>
        <w:t>Ngân hàng thế giới</w:t>
      </w:r>
      <w:r w:rsidRPr="00C1535B">
        <w:rPr>
          <w:rFonts w:asciiTheme="minorBidi" w:hAnsiTheme="minorBidi" w:cstheme="minorBidi"/>
        </w:rPr>
        <w:t xml:space="preserve"> (2022) </w:t>
      </w:r>
      <w:r w:rsidR="00583A41">
        <w:rPr>
          <w:rFonts w:asciiTheme="minorBidi" w:hAnsiTheme="minorBidi" w:cstheme="minorBidi"/>
        </w:rPr>
        <w:t>Nhận diện số quốc gia và chia sẻ dữ liệu chính phủ ở Singapore: Nghiên cứu trường hợp Singapore và APEX</w:t>
      </w:r>
      <w:r w:rsidRPr="00C1535B">
        <w:rPr>
          <w:rFonts w:asciiTheme="minorBidi" w:hAnsiTheme="minorBidi" w:cstheme="minorBidi"/>
        </w:rPr>
        <w:t>,</w:t>
      </w:r>
      <w:r w:rsidR="00583A41">
        <w:rPr>
          <w:rFonts w:asciiTheme="minorBidi" w:hAnsiTheme="minorBidi" w:cstheme="minorBidi"/>
        </w:rPr>
        <w:t xml:space="preserve"> </w:t>
      </w:r>
      <w:hyperlink r:id="rId167" w:history="1">
        <w:r w:rsidR="00583A41" w:rsidRPr="00E55AF8">
          <w:rPr>
            <w:rStyle w:val="Hyperlink"/>
          </w:rPr>
          <w:t>https://documents1.worldbank.org/curated/en/099300010212228518/pdf/P171592079b3e50d70a1630d5663205bf94.pdf</w:t>
        </w:r>
      </w:hyperlink>
      <w:r w:rsidRPr="00C1535B">
        <w:rPr>
          <w:rFonts w:asciiTheme="minorBidi" w:hAnsiTheme="minorBidi" w:cstheme="minorBidi"/>
        </w:rPr>
        <w:t xml:space="preserve"> </w:t>
      </w:r>
    </w:p>
  </w:footnote>
  <w:footnote w:id="181">
    <w:p w14:paraId="2EB638B5" w14:textId="77777777" w:rsidR="00D40DAC" w:rsidRPr="00C1535B" w:rsidRDefault="00D40DAC" w:rsidP="00D40DAC">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(2023) AEM JMS, </w:t>
      </w:r>
      <w:hyperlink r:id="rId168" w:history="1">
        <w:r w:rsidRPr="00C1535B">
          <w:rPr>
            <w:rStyle w:val="Hyperlink"/>
            <w:rFonts w:asciiTheme="minorBidi" w:hAnsiTheme="minorBidi" w:cstheme="minorBidi"/>
            <w:color w:val="auto"/>
          </w:rPr>
          <w:t>https://asean.org/wp-content/uploads/2023/08/AEM-55-JMS_19-Aug.pdf</w:t>
        </w:r>
      </w:hyperlink>
      <w:r w:rsidRPr="00C1535B">
        <w:rPr>
          <w:rFonts w:asciiTheme="minorBidi" w:hAnsiTheme="minorBidi" w:cstheme="minorBidi"/>
        </w:rPr>
        <w:t xml:space="preserve"> </w:t>
      </w:r>
    </w:p>
  </w:footnote>
  <w:footnote w:id="182">
    <w:p w14:paraId="5C073F90" w14:textId="49A6C3F7" w:rsidR="00D40DAC" w:rsidRPr="00C1535B" w:rsidRDefault="00D40DAC" w:rsidP="00D40DAC">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TrustGrid (n.d.) </w:t>
      </w:r>
      <w:r w:rsidR="00583A41">
        <w:rPr>
          <w:rFonts w:asciiTheme="minorBidi" w:hAnsiTheme="minorBidi" w:cstheme="minorBidi"/>
        </w:rPr>
        <w:t>Nền tảng chứng chỉ số ASEAN</w:t>
      </w:r>
      <w:r w:rsidRPr="00C1535B">
        <w:rPr>
          <w:rFonts w:asciiTheme="minorBidi" w:hAnsiTheme="minorBidi" w:cstheme="minorBidi"/>
        </w:rPr>
        <w:t>,</w:t>
      </w:r>
      <w:hyperlink r:id="rId169" w:history="1">
        <w:r w:rsidRPr="00C1535B">
          <w:rPr>
            <w:rStyle w:val="Hyperlink"/>
            <w:rFonts w:asciiTheme="minorBidi" w:hAnsiTheme="minorBidi" w:cstheme="minorBidi"/>
            <w:color w:val="auto"/>
          </w:rPr>
          <w:t>https://trustgrid.com/the-asean-digital-credentials-platform-akredi/</w:t>
        </w:r>
      </w:hyperlink>
      <w:r w:rsidRPr="00C1535B">
        <w:rPr>
          <w:rFonts w:asciiTheme="minorBidi" w:hAnsiTheme="minorBidi" w:cstheme="minorBidi"/>
        </w:rPr>
        <w:t xml:space="preserve"> </w:t>
      </w:r>
    </w:p>
  </w:footnote>
  <w:footnote w:id="183">
    <w:p w14:paraId="0A9C4E63" w14:textId="77777777" w:rsidR="00D40DAC" w:rsidRPr="00C1535B" w:rsidRDefault="00D40DAC" w:rsidP="00D40DAC">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FIDO Alliance (n.d.) FIDO Members </w:t>
      </w:r>
      <w:hyperlink r:id="rId170" w:history="1">
        <w:r w:rsidRPr="00C1535B">
          <w:rPr>
            <w:rStyle w:val="Hyperlink"/>
            <w:rFonts w:asciiTheme="minorBidi" w:hAnsiTheme="minorBidi" w:cstheme="minorBidi"/>
            <w:color w:val="auto"/>
          </w:rPr>
          <w:t>https://fidoalliance.org/members/</w:t>
        </w:r>
      </w:hyperlink>
      <w:r w:rsidRPr="00C1535B">
        <w:rPr>
          <w:rFonts w:asciiTheme="minorBidi" w:hAnsiTheme="minorBidi" w:cstheme="minorBidi"/>
        </w:rPr>
        <w:t xml:space="preserve"> </w:t>
      </w:r>
    </w:p>
  </w:footnote>
  <w:footnote w:id="184">
    <w:p w14:paraId="2521A620" w14:textId="494100FE" w:rsidR="00E67F5B" w:rsidRPr="00C1535B" w:rsidRDefault="00E67F5B" w:rsidP="00E67F5B">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(2021) </w:t>
      </w:r>
      <w:r w:rsidR="00583A41">
        <w:rPr>
          <w:rFonts w:asciiTheme="minorBidi" w:hAnsiTheme="minorBidi" w:cstheme="minorBidi"/>
        </w:rPr>
        <w:t>Kế hoạch tổng thể số ASEAN</w:t>
      </w:r>
      <w:r w:rsidRPr="00C1535B">
        <w:rPr>
          <w:rFonts w:asciiTheme="minorBidi" w:hAnsiTheme="minorBidi" w:cstheme="minorBidi"/>
        </w:rPr>
        <w:t xml:space="preserve">, </w:t>
      </w:r>
      <w:hyperlink r:id="rId171" w:history="1">
        <w:r w:rsidRPr="00C1535B">
          <w:rPr>
            <w:rStyle w:val="Hyperlink"/>
            <w:rFonts w:asciiTheme="minorBidi" w:hAnsiTheme="minorBidi" w:cstheme="minorBidi"/>
            <w:color w:val="auto"/>
          </w:rPr>
          <w:t>https://asean.org/wp-content/uploads/2021/09/ASEAN-Digital-Masterplan-EDITED.pdf</w:t>
        </w:r>
      </w:hyperlink>
    </w:p>
  </w:footnote>
  <w:footnote w:id="185">
    <w:p w14:paraId="2D3D875E" w14:textId="4D904D49" w:rsidR="00E67F5B" w:rsidRPr="00C1535B" w:rsidRDefault="00E67F5B" w:rsidP="00E67F5B">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FB6362">
        <w:rPr>
          <w:rFonts w:asciiTheme="minorBidi" w:hAnsiTheme="minorBidi" w:cstheme="minorBidi"/>
        </w:rPr>
        <w:t>Ban Thư ký ASEAN</w:t>
      </w:r>
      <w:r w:rsidRPr="00C1535B">
        <w:rPr>
          <w:rFonts w:asciiTheme="minorBidi" w:hAnsiTheme="minorBidi" w:cstheme="minorBidi"/>
        </w:rPr>
        <w:t xml:space="preserve"> (2023) </w:t>
      </w:r>
      <w:r w:rsidR="00852DEA">
        <w:rPr>
          <w:rFonts w:asciiTheme="minorBidi" w:hAnsiTheme="minorBidi" w:cstheme="minorBidi"/>
        </w:rPr>
        <w:t>Nghiên cứu về Hiệp định khung ASEAN về Kinh tế số (DEFA)</w:t>
      </w:r>
    </w:p>
  </w:footnote>
  <w:footnote w:id="186">
    <w:p w14:paraId="6FDA62EE" w14:textId="5B2B85C0" w:rsidR="00E67F5B" w:rsidRPr="00C1535B" w:rsidRDefault="00E67F5B" w:rsidP="00E67F5B">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FB6362">
        <w:rPr>
          <w:rFonts w:asciiTheme="minorBidi" w:hAnsiTheme="minorBidi" w:cstheme="minorBidi"/>
        </w:rPr>
        <w:t>Ban Thư ký ASEAN</w:t>
      </w:r>
      <w:r w:rsidRPr="00C1535B">
        <w:rPr>
          <w:rFonts w:asciiTheme="minorBidi" w:hAnsiTheme="minorBidi" w:cstheme="minorBidi"/>
        </w:rPr>
        <w:t xml:space="preserve"> (2023) </w:t>
      </w:r>
      <w:r w:rsidR="00852DEA">
        <w:rPr>
          <w:rFonts w:asciiTheme="minorBidi" w:hAnsiTheme="minorBidi" w:cstheme="minorBidi"/>
        </w:rPr>
        <w:t>Nghiên cứu về Hiệp định khung ASEAN về Kinh tế số (DEFA)</w:t>
      </w:r>
    </w:p>
  </w:footnote>
  <w:footnote w:id="187">
    <w:p w14:paraId="21095D62" w14:textId="244D0F7C" w:rsidR="00E67F5B" w:rsidRPr="00C1535B" w:rsidRDefault="00E67F5B" w:rsidP="00E67F5B">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EngageMedia (2023) </w:t>
      </w:r>
      <w:r w:rsidR="00583A41">
        <w:rPr>
          <w:rFonts w:asciiTheme="minorBidi" w:hAnsiTheme="minorBidi" w:cstheme="minorBidi"/>
        </w:rPr>
        <w:t>Tình trạng hệ thống nhận diện số ở ĐNA</w:t>
      </w:r>
      <w:r w:rsidRPr="00C1535B">
        <w:rPr>
          <w:rFonts w:asciiTheme="minorBidi" w:hAnsiTheme="minorBidi" w:cstheme="minorBidi"/>
        </w:rPr>
        <w:t xml:space="preserve">, </w:t>
      </w:r>
      <w:hyperlink r:id="rId172" w:history="1">
        <w:r w:rsidRPr="00C1535B">
          <w:rPr>
            <w:rStyle w:val="Hyperlink"/>
            <w:rFonts w:asciiTheme="minorBidi" w:hAnsiTheme="minorBidi" w:cstheme="minorBidi"/>
            <w:color w:val="auto"/>
          </w:rPr>
          <w:t>https://engagemedia.org/wp-content/uploads/2023/07/Report-on-the-State-of-Digital-Identification-in-South-and-Southeast-Asia-2023.pdf</w:t>
        </w:r>
      </w:hyperlink>
      <w:r w:rsidRPr="00C1535B">
        <w:rPr>
          <w:rFonts w:asciiTheme="minorBidi" w:hAnsiTheme="minorBidi" w:cstheme="minorBidi"/>
        </w:rPr>
        <w:t xml:space="preserve"> </w:t>
      </w:r>
    </w:p>
  </w:footnote>
  <w:footnote w:id="188">
    <w:p w14:paraId="7CF48371" w14:textId="40F0AA58" w:rsidR="00E67F5B" w:rsidRPr="00C1535B" w:rsidRDefault="00E67F5B" w:rsidP="00E67F5B">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VISA (2022) </w:t>
      </w:r>
      <w:r w:rsidR="00583A41">
        <w:rPr>
          <w:rFonts w:asciiTheme="minorBidi" w:hAnsiTheme="minorBidi" w:cstheme="minorBidi"/>
        </w:rPr>
        <w:t>Nghiên cứu xu hướng thanh toán khách hàng: Định hướng kỷ nguyên mới về thanh toán</w:t>
      </w:r>
      <w:r w:rsidRPr="00C1535B">
        <w:rPr>
          <w:rFonts w:asciiTheme="minorBidi" w:hAnsiTheme="minorBidi" w:cstheme="minorBidi"/>
        </w:rPr>
        <w:t xml:space="preserve">, </w:t>
      </w:r>
      <w:hyperlink r:id="rId173" w:history="1">
        <w:r w:rsidRPr="00C1535B">
          <w:rPr>
            <w:rStyle w:val="Hyperlink"/>
            <w:rFonts w:asciiTheme="minorBidi" w:hAnsiTheme="minorBidi" w:cstheme="minorBidi"/>
            <w:color w:val="auto"/>
          </w:rPr>
          <w:t>https://www.visa.co.th/dam/VCOM/regional/ap/documents/visa-cpa-report-smt-2022.pdf</w:t>
        </w:r>
      </w:hyperlink>
      <w:r w:rsidRPr="00C1535B">
        <w:rPr>
          <w:rFonts w:asciiTheme="minorBidi" w:hAnsiTheme="minorBidi" w:cstheme="minorBidi"/>
        </w:rPr>
        <w:t xml:space="preserve"> </w:t>
      </w:r>
    </w:p>
  </w:footnote>
  <w:footnote w:id="189">
    <w:p w14:paraId="77153BB1" w14:textId="09871486" w:rsidR="00E67F5B" w:rsidRPr="00C1535B" w:rsidRDefault="00E67F5B" w:rsidP="00E67F5B">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(2021) </w:t>
      </w:r>
      <w:r w:rsidR="00583A41">
        <w:rPr>
          <w:rFonts w:asciiTheme="minorBidi" w:hAnsiTheme="minorBidi" w:cstheme="minorBidi"/>
        </w:rPr>
        <w:t>Kế hoạch tổng thể số ASEAN</w:t>
      </w:r>
      <w:r w:rsidRPr="00C1535B">
        <w:rPr>
          <w:rFonts w:asciiTheme="minorBidi" w:hAnsiTheme="minorBidi" w:cstheme="minorBidi"/>
        </w:rPr>
        <w:t xml:space="preserve">, </w:t>
      </w:r>
      <w:hyperlink r:id="rId174" w:history="1">
        <w:r w:rsidRPr="00C1535B">
          <w:rPr>
            <w:rStyle w:val="Hyperlink"/>
            <w:rFonts w:asciiTheme="minorBidi" w:hAnsiTheme="minorBidi" w:cstheme="minorBidi"/>
            <w:color w:val="auto"/>
          </w:rPr>
          <w:t>https://asean.org/wp-content/uploads/2021/09/ASEAN-Digital-Masterplan-EDITED.pdf</w:t>
        </w:r>
      </w:hyperlink>
      <w:r w:rsidRPr="00C1535B">
        <w:rPr>
          <w:rFonts w:asciiTheme="minorBidi" w:hAnsiTheme="minorBidi" w:cstheme="minorBidi"/>
        </w:rPr>
        <w:t xml:space="preserve">; Sawasdee Thailand (2023) </w:t>
      </w:r>
      <w:r w:rsidR="00D809A1">
        <w:rPr>
          <w:rFonts w:asciiTheme="minorBidi" w:hAnsiTheme="minorBidi" w:cstheme="minorBidi"/>
        </w:rPr>
        <w:t>Khung ID số: Tiếp cận dịch vụ trực tuyến cho thành phần công và tư</w:t>
      </w:r>
      <w:r w:rsidRPr="00C1535B">
        <w:rPr>
          <w:rFonts w:asciiTheme="minorBidi" w:hAnsiTheme="minorBidi" w:cstheme="minorBidi"/>
        </w:rPr>
        <w:t xml:space="preserve">, </w:t>
      </w:r>
      <w:hyperlink r:id="rId175" w:history="1">
        <w:r w:rsidRPr="00C1535B">
          <w:rPr>
            <w:rStyle w:val="Hyperlink"/>
            <w:rFonts w:asciiTheme="minorBidi" w:hAnsiTheme="minorBidi" w:cstheme="minorBidi"/>
            <w:color w:val="auto"/>
          </w:rPr>
          <w:t>https://thailand.go.th/issue-focus-detail/001_05_005-2</w:t>
        </w:r>
      </w:hyperlink>
      <w:r w:rsidRPr="00C1535B">
        <w:rPr>
          <w:rFonts w:asciiTheme="minorBidi" w:hAnsiTheme="minorBidi" w:cstheme="minorBidi"/>
        </w:rPr>
        <w:t xml:space="preserve"> </w:t>
      </w:r>
    </w:p>
  </w:footnote>
  <w:footnote w:id="190">
    <w:p w14:paraId="1110FE74" w14:textId="76006678" w:rsidR="00CE15F8" w:rsidRPr="00C1535B" w:rsidRDefault="00CE15F8" w:rsidP="00CE15F8">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D809A1">
        <w:rPr>
          <w:rFonts w:asciiTheme="minorBidi" w:hAnsiTheme="minorBidi" w:cstheme="minorBidi"/>
        </w:rPr>
        <w:t>Ủy ban châu Âu</w:t>
      </w:r>
      <w:r w:rsidRPr="00C1535B">
        <w:rPr>
          <w:rFonts w:asciiTheme="minorBidi" w:hAnsiTheme="minorBidi" w:cstheme="minorBidi"/>
        </w:rPr>
        <w:t xml:space="preserve"> (2024) </w:t>
      </w:r>
      <w:r w:rsidR="00D809A1">
        <w:rPr>
          <w:rFonts w:asciiTheme="minorBidi" w:hAnsiTheme="minorBidi" w:cstheme="minorBidi"/>
        </w:rPr>
        <w:t>Quy định khung về nhận diện số EU bắt đầu có hiệu lực</w:t>
      </w:r>
      <w:r w:rsidRPr="00C1535B">
        <w:rPr>
          <w:rFonts w:asciiTheme="minorBidi" w:hAnsiTheme="minorBidi" w:cstheme="minorBidi"/>
        </w:rPr>
        <w:t xml:space="preserve">, </w:t>
      </w:r>
      <w:hyperlink r:id="rId176" w:anchor=":~:text=The%20Digital%20Identity%20Regulation%20Enters%20into%20Force,-Created%20by%20Antonios&amp;text=The%20EU%20Digital%20Identity%20Framework%20Regulation%20entered%20into%20force%20on,Residents%2C%20and%20Businesses%20by%202026" w:history="1">
        <w:r w:rsidRPr="00C1535B">
          <w:rPr>
            <w:rStyle w:val="Hyperlink"/>
            <w:rFonts w:asciiTheme="minorBidi" w:hAnsiTheme="minorBidi" w:cstheme="minorBidi"/>
            <w:color w:val="auto"/>
          </w:rPr>
          <w:t>https://ec.europa.eu/digital-building-blocks/sites/display/EUDIGITALIDENTITYWALLET/The+Digital+Identity+Regulation+Enters+into+Force</w:t>
        </w:r>
      </w:hyperlink>
    </w:p>
  </w:footnote>
  <w:footnote w:id="191">
    <w:p w14:paraId="74337D1A" w14:textId="1B215F4A" w:rsidR="00CE15F8" w:rsidRPr="00C1535B" w:rsidRDefault="00CE15F8" w:rsidP="00CE15F8">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D809A1">
        <w:rPr>
          <w:rFonts w:asciiTheme="minorBidi" w:hAnsiTheme="minorBidi" w:cstheme="minorBidi"/>
        </w:rPr>
        <w:t>Ủy ban châu Âu</w:t>
      </w:r>
      <w:r w:rsidRPr="00C1535B">
        <w:rPr>
          <w:rFonts w:asciiTheme="minorBidi" w:hAnsiTheme="minorBidi" w:cstheme="minorBidi"/>
        </w:rPr>
        <w:t xml:space="preserve"> (2024) </w:t>
      </w:r>
      <w:r w:rsidR="00D809A1">
        <w:rPr>
          <w:rFonts w:asciiTheme="minorBidi" w:hAnsiTheme="minorBidi" w:cstheme="minorBidi"/>
        </w:rPr>
        <w:t>Quy định khung về nhận diện số EU bắt đầu có hiệu lực</w:t>
      </w:r>
      <w:r w:rsidRPr="00C1535B">
        <w:rPr>
          <w:rFonts w:asciiTheme="minorBidi" w:hAnsiTheme="minorBidi" w:cstheme="minorBidi"/>
        </w:rPr>
        <w:t xml:space="preserve">, </w:t>
      </w:r>
      <w:hyperlink r:id="rId177" w:anchor=":~:text=The%20Digital%20Identity%20Regulation%20Enters%20into%20Force,-Created%20by%20Antonios&amp;text=The%20EU%20Digital%20Identity%20Framework%20Regulation%20entered%20into%20force%20on,Residents%2C%20and%20Businesses%20by%202026" w:history="1">
        <w:r w:rsidRPr="00C1535B">
          <w:rPr>
            <w:rStyle w:val="Hyperlink"/>
            <w:rFonts w:asciiTheme="minorBidi" w:hAnsiTheme="minorBidi" w:cstheme="minorBidi"/>
            <w:color w:val="auto"/>
          </w:rPr>
          <w:t>https://ec.europa.eu/digital-building-blocks/sites/display/EUDIGITALIDENTITYWALLET/The+Digital+Identity+Regulation+Enters+into+Force</w:t>
        </w:r>
      </w:hyperlink>
    </w:p>
  </w:footnote>
  <w:footnote w:id="192">
    <w:p w14:paraId="54EBE851" w14:textId="118B9FE5" w:rsidR="0081310A" w:rsidRPr="00C1535B" w:rsidRDefault="0081310A" w:rsidP="00267F17">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D809A1">
        <w:rPr>
          <w:rFonts w:asciiTheme="minorBidi" w:hAnsiTheme="minorBidi" w:cstheme="minorBidi"/>
        </w:rPr>
        <w:t>Cơ quan quản lý tiền tệ Singapore</w:t>
      </w:r>
      <w:r w:rsidRPr="00C1535B">
        <w:rPr>
          <w:rFonts w:asciiTheme="minorBidi" w:hAnsiTheme="minorBidi" w:cstheme="minorBidi"/>
        </w:rPr>
        <w:t xml:space="preserve"> (2022) </w:t>
      </w:r>
      <w:r w:rsidR="00D809A1">
        <w:rPr>
          <w:rFonts w:asciiTheme="minorBidi" w:hAnsiTheme="minorBidi" w:cstheme="minorBidi"/>
        </w:rPr>
        <w:t>Hợp tác Ngân hàng Trung ương</w:t>
      </w:r>
      <w:r w:rsidRPr="00C1535B">
        <w:rPr>
          <w:rFonts w:asciiTheme="minorBidi" w:hAnsiTheme="minorBidi" w:cstheme="minorBidi"/>
        </w:rPr>
        <w:t xml:space="preserve"> Indonesia, Malaysia, Philippines, Singapore</w:t>
      </w:r>
      <w:r w:rsidR="001F7407">
        <w:rPr>
          <w:rFonts w:asciiTheme="minorBidi" w:hAnsiTheme="minorBidi" w:cstheme="minorBidi"/>
        </w:rPr>
        <w:t xml:space="preserve"> và </w:t>
      </w:r>
      <w:r w:rsidRPr="00C1535B">
        <w:rPr>
          <w:rFonts w:asciiTheme="minorBidi" w:hAnsiTheme="minorBidi" w:cstheme="minorBidi"/>
        </w:rPr>
        <w:t>Th</w:t>
      </w:r>
      <w:r w:rsidR="00D809A1">
        <w:rPr>
          <w:rFonts w:asciiTheme="minorBidi" w:hAnsiTheme="minorBidi" w:cstheme="minorBidi"/>
        </w:rPr>
        <w:t>ái L</w:t>
      </w:r>
      <w:r w:rsidRPr="00C1535B">
        <w:rPr>
          <w:rFonts w:asciiTheme="minorBidi" w:hAnsiTheme="minorBidi" w:cstheme="minorBidi"/>
        </w:rPr>
        <w:t xml:space="preserve">an </w:t>
      </w:r>
      <w:r w:rsidR="00D809A1">
        <w:rPr>
          <w:rFonts w:asciiTheme="minorBidi" w:hAnsiTheme="minorBidi" w:cstheme="minorBidi"/>
        </w:rPr>
        <w:t>trong kết nối thanh toán khu vực</w:t>
      </w:r>
      <w:r w:rsidRPr="00C1535B">
        <w:rPr>
          <w:rFonts w:asciiTheme="minorBidi" w:hAnsiTheme="minorBidi" w:cstheme="minorBidi"/>
        </w:rPr>
        <w:t xml:space="preserve">, </w:t>
      </w:r>
      <w:hyperlink r:id="rId178" w:history="1">
        <w:r w:rsidRPr="00C1535B">
          <w:rPr>
            <w:rStyle w:val="Hyperlink"/>
            <w:rFonts w:asciiTheme="minorBidi" w:hAnsiTheme="minorBidi" w:cstheme="minorBidi"/>
            <w:color w:val="auto"/>
          </w:rPr>
          <w:t>https://www.mas.gov.sg/news/media-releases/2022/central-banks-of-indonesia-malaysia-philippines-singapore-and-thailand-seal-cooperation-in-regional-payment-connectivity</w:t>
        </w:r>
      </w:hyperlink>
    </w:p>
  </w:footnote>
  <w:footnote w:id="193">
    <w:p w14:paraId="793C5B5E" w14:textId="20C68BF7" w:rsidR="0081310A" w:rsidRPr="00C1535B" w:rsidRDefault="0081310A" w:rsidP="00267F17">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Mohammad Thoriq Bahri (2022) </w:t>
      </w:r>
      <w:r w:rsidR="00D809A1">
        <w:rPr>
          <w:rFonts w:asciiTheme="minorBidi" w:hAnsiTheme="minorBidi" w:cstheme="minorBidi"/>
        </w:rPr>
        <w:t>Trao đổi dữ liệu sinh trắc học di cư giữa các nước AMS</w:t>
      </w:r>
      <w:r w:rsidRPr="00C1535B">
        <w:rPr>
          <w:rFonts w:asciiTheme="minorBidi" w:hAnsiTheme="minorBidi" w:cstheme="minorBidi"/>
        </w:rPr>
        <w:t xml:space="preserve">: </w:t>
      </w:r>
      <w:r w:rsidR="00D809A1">
        <w:rPr>
          <w:rFonts w:asciiTheme="minorBidi" w:hAnsiTheme="minorBidi" w:cstheme="minorBidi"/>
        </w:rPr>
        <w:t>Cơ hội và thách thức về pháp lý</w:t>
      </w:r>
      <w:r w:rsidRPr="00C1535B">
        <w:rPr>
          <w:rFonts w:asciiTheme="minorBidi" w:hAnsiTheme="minorBidi" w:cstheme="minorBidi"/>
        </w:rPr>
        <w:t xml:space="preserve">, </w:t>
      </w:r>
      <w:hyperlink r:id="rId179" w:history="1">
        <w:r w:rsidRPr="00C1535B">
          <w:rPr>
            <w:rStyle w:val="Hyperlink"/>
            <w:rFonts w:asciiTheme="minorBidi" w:hAnsiTheme="minorBidi" w:cstheme="minorBidi"/>
            <w:color w:val="auto"/>
          </w:rPr>
          <w:t>https://papers.ssrn.com/sol3/papers.cfm?abstract_id=4292444</w:t>
        </w:r>
      </w:hyperlink>
      <w:r w:rsidRPr="00C1535B">
        <w:rPr>
          <w:rFonts w:asciiTheme="minorBidi" w:hAnsiTheme="minorBidi" w:cstheme="minorBidi"/>
        </w:rPr>
        <w:t xml:space="preserve"> </w:t>
      </w:r>
    </w:p>
  </w:footnote>
  <w:footnote w:id="194">
    <w:p w14:paraId="39864E78" w14:textId="56EAF83E" w:rsidR="002B03BB" w:rsidRPr="00C1535B" w:rsidRDefault="002B03BB" w:rsidP="002B03BB">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Brookings (2019) </w:t>
      </w:r>
      <w:r w:rsidR="00D809A1">
        <w:rPr>
          <w:rFonts w:asciiTheme="minorBidi" w:hAnsiTheme="minorBidi" w:cstheme="minorBidi"/>
        </w:rPr>
        <w:t>Thương mại số và an ninh mạng</w:t>
      </w:r>
      <w:r w:rsidRPr="00C1535B">
        <w:rPr>
          <w:rFonts w:asciiTheme="minorBidi" w:hAnsiTheme="minorBidi" w:cstheme="minorBidi"/>
        </w:rPr>
        <w:t xml:space="preserve">: </w:t>
      </w:r>
      <w:r w:rsidR="00D809A1">
        <w:rPr>
          <w:rFonts w:asciiTheme="minorBidi" w:hAnsiTheme="minorBidi" w:cstheme="minorBidi"/>
        </w:rPr>
        <w:t>Làm đúng</w:t>
      </w:r>
      <w:r w:rsidRPr="00C1535B">
        <w:rPr>
          <w:rFonts w:asciiTheme="minorBidi" w:hAnsiTheme="minorBidi" w:cstheme="minorBidi"/>
        </w:rPr>
        <w:t xml:space="preserve">, </w:t>
      </w:r>
      <w:hyperlink r:id="rId180" w:history="1">
        <w:r w:rsidRPr="00C1535B">
          <w:rPr>
            <w:rStyle w:val="Hyperlink"/>
            <w:rFonts w:asciiTheme="minorBidi" w:hAnsiTheme="minorBidi" w:cstheme="minorBidi"/>
            <w:color w:val="auto"/>
          </w:rPr>
          <w:t>https://www.brookings.edu/articles/cybersecurity-and-digital-trade-getting-it-right/</w:t>
        </w:r>
      </w:hyperlink>
    </w:p>
  </w:footnote>
  <w:footnote w:id="195">
    <w:p w14:paraId="462AEC26" w14:textId="462B9A2D" w:rsidR="00AF6B7C" w:rsidRPr="00C1535B" w:rsidRDefault="00AF6B7C" w:rsidP="00AF6B7C">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AIC (2020) </w:t>
      </w:r>
      <w:r w:rsidR="00D809A1">
        <w:rPr>
          <w:rFonts w:asciiTheme="minorBidi" w:hAnsiTheme="minorBidi" w:cstheme="minorBidi"/>
        </w:rPr>
        <w:t>Chủ đề</w:t>
      </w:r>
      <w:r w:rsidRPr="00C1535B">
        <w:rPr>
          <w:rFonts w:asciiTheme="minorBidi" w:hAnsiTheme="minorBidi" w:cstheme="minorBidi"/>
        </w:rPr>
        <w:t xml:space="preserve">: </w:t>
      </w:r>
      <w:r w:rsidR="00D809A1">
        <w:rPr>
          <w:rFonts w:asciiTheme="minorBidi" w:hAnsiTheme="minorBidi" w:cstheme="minorBidi"/>
        </w:rPr>
        <w:t xml:space="preserve">Liên minh </w:t>
      </w:r>
      <w:r w:rsidRPr="00C1535B">
        <w:rPr>
          <w:rFonts w:asciiTheme="minorBidi" w:hAnsiTheme="minorBidi" w:cstheme="minorBidi"/>
        </w:rPr>
        <w:t xml:space="preserve">Internet </w:t>
      </w:r>
      <w:r w:rsidR="00D809A1">
        <w:rPr>
          <w:rFonts w:asciiTheme="minorBidi" w:hAnsiTheme="minorBidi" w:cstheme="minorBidi"/>
        </w:rPr>
        <w:t>châu Á</w:t>
      </w:r>
      <w:r w:rsidRPr="00C1535B">
        <w:rPr>
          <w:rFonts w:asciiTheme="minorBidi" w:hAnsiTheme="minorBidi" w:cstheme="minorBidi"/>
        </w:rPr>
        <w:t xml:space="preserve"> (AIC) </w:t>
      </w:r>
      <w:r w:rsidR="00D809A1">
        <w:rPr>
          <w:rFonts w:asciiTheme="minorBidi" w:hAnsiTheme="minorBidi" w:cstheme="minorBidi"/>
        </w:rPr>
        <w:t xml:space="preserve">Bình luận về hướng dẫn xử lý trung gian dữ liệu </w:t>
      </w:r>
      <w:r w:rsidRPr="00C1535B">
        <w:rPr>
          <w:rFonts w:asciiTheme="minorBidi" w:hAnsiTheme="minorBidi" w:cstheme="minorBidi"/>
        </w:rPr>
        <w:t xml:space="preserve">(DIs) </w:t>
      </w:r>
      <w:r w:rsidR="00D809A1">
        <w:rPr>
          <w:rFonts w:asciiTheme="minorBidi" w:hAnsiTheme="minorBidi" w:cstheme="minorBidi"/>
        </w:rPr>
        <w:t xml:space="preserve">theo Luật Bảo vệ dữ liệu cá nhân </w:t>
      </w:r>
      <w:r w:rsidRPr="00C1535B">
        <w:rPr>
          <w:rFonts w:asciiTheme="minorBidi" w:hAnsiTheme="minorBidi" w:cstheme="minorBidi"/>
        </w:rPr>
        <w:t>Singapore (“PDPA”),</w:t>
      </w:r>
      <w:hyperlink r:id="rId181" w:history="1">
        <w:r w:rsidRPr="00FD4695">
          <w:rPr>
            <w:rStyle w:val="Hyperlink"/>
            <w:color w:val="auto"/>
          </w:rPr>
          <w:t>https://aicasia.org/wp-content/uploads/2020/07/Asia-Internet-Coalition-AIC-Comments-on-the-Guide-to-Managing-Data-Intermediaries-DIs-under-the-Singapore-Personal-Data-Protection-Act-%E2%80%9CPDPA%E2%80%9D_29062020.pdf</w:t>
        </w:r>
      </w:hyperlink>
      <w:r w:rsidRPr="00FD4695">
        <w:t xml:space="preserve"> </w:t>
      </w:r>
    </w:p>
  </w:footnote>
  <w:footnote w:id="196">
    <w:p w14:paraId="0AA2ABDA" w14:textId="6F4C8DBD" w:rsidR="00AF6B7C" w:rsidRPr="00C1535B" w:rsidRDefault="00AF6B7C" w:rsidP="00AF6B7C">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ARC-</w:t>
      </w:r>
      <w:r w:rsidR="00D809A1">
        <w:rPr>
          <w:rFonts w:asciiTheme="minorBidi" w:hAnsiTheme="minorBidi" w:cstheme="minorBidi"/>
        </w:rPr>
        <w:t xml:space="preserve">Trung tâm nguồn lực </w:t>
      </w:r>
      <w:r w:rsidR="00FB6362">
        <w:rPr>
          <w:rFonts w:asciiTheme="minorBidi" w:hAnsiTheme="minorBidi" w:cstheme="minorBidi"/>
        </w:rPr>
        <w:t>Ban Thư ký ASEAN</w:t>
      </w:r>
      <w:r w:rsidRPr="00C1535B">
        <w:rPr>
          <w:rFonts w:asciiTheme="minorBidi" w:hAnsiTheme="minorBidi" w:cstheme="minorBidi"/>
        </w:rPr>
        <w:t xml:space="preserve"> (2024), ISO/IEC 27001:2013 </w:t>
      </w:r>
      <w:r w:rsidR="00D809A1">
        <w:rPr>
          <w:rFonts w:asciiTheme="minorBidi" w:hAnsiTheme="minorBidi" w:cstheme="minorBidi"/>
        </w:rPr>
        <w:t>Công nghệ thông tin –</w:t>
      </w:r>
      <w:r w:rsidRPr="00C1535B">
        <w:rPr>
          <w:rFonts w:asciiTheme="minorBidi" w:hAnsiTheme="minorBidi" w:cstheme="minorBidi"/>
        </w:rPr>
        <w:t xml:space="preserve"> </w:t>
      </w:r>
      <w:r w:rsidR="00D809A1">
        <w:rPr>
          <w:rFonts w:asciiTheme="minorBidi" w:hAnsiTheme="minorBidi" w:cstheme="minorBidi"/>
        </w:rPr>
        <w:t>Kỹ nghệ an ninh</w:t>
      </w:r>
      <w:r w:rsidR="00D809A1" w:rsidRPr="00C1535B">
        <w:rPr>
          <w:rFonts w:asciiTheme="minorBidi" w:hAnsiTheme="minorBidi" w:cstheme="minorBidi"/>
        </w:rPr>
        <w:t xml:space="preserve"> </w:t>
      </w:r>
      <w:r w:rsidR="00D809A1">
        <w:rPr>
          <w:rFonts w:asciiTheme="minorBidi" w:hAnsiTheme="minorBidi" w:cstheme="minorBidi"/>
        </w:rPr>
        <w:t>–</w:t>
      </w:r>
      <w:r w:rsidRPr="00C1535B">
        <w:rPr>
          <w:rFonts w:asciiTheme="minorBidi" w:hAnsiTheme="minorBidi" w:cstheme="minorBidi"/>
        </w:rPr>
        <w:t xml:space="preserve"> </w:t>
      </w:r>
      <w:r w:rsidR="00D809A1">
        <w:rPr>
          <w:rFonts w:asciiTheme="minorBidi" w:hAnsiTheme="minorBidi" w:cstheme="minorBidi"/>
        </w:rPr>
        <w:t>Hệ thống quản lý an ninh thông tin</w:t>
      </w:r>
      <w:r w:rsidR="00D809A1" w:rsidRPr="00C1535B">
        <w:rPr>
          <w:rFonts w:asciiTheme="minorBidi" w:hAnsiTheme="minorBidi" w:cstheme="minorBidi"/>
        </w:rPr>
        <w:t xml:space="preserve"> </w:t>
      </w:r>
      <w:r w:rsidR="00D809A1">
        <w:rPr>
          <w:rFonts w:asciiTheme="minorBidi" w:hAnsiTheme="minorBidi" w:cstheme="minorBidi"/>
        </w:rPr>
        <w:t>–</w:t>
      </w:r>
      <w:r w:rsidRPr="00C1535B">
        <w:rPr>
          <w:rFonts w:asciiTheme="minorBidi" w:hAnsiTheme="minorBidi" w:cstheme="minorBidi"/>
        </w:rPr>
        <w:t xml:space="preserve"> </w:t>
      </w:r>
      <w:r w:rsidR="00D809A1">
        <w:rPr>
          <w:rFonts w:asciiTheme="minorBidi" w:hAnsiTheme="minorBidi" w:cstheme="minorBidi"/>
        </w:rPr>
        <w:t>Các yêu cầu kỹ thuật</w:t>
      </w:r>
      <w:r w:rsidRPr="00C1535B">
        <w:rPr>
          <w:rFonts w:asciiTheme="minorBidi" w:hAnsiTheme="minorBidi" w:cstheme="minorBidi"/>
        </w:rPr>
        <w:t xml:space="preserve"> 2, </w:t>
      </w:r>
      <w:hyperlink r:id="rId182" w:history="1">
        <w:r w:rsidRPr="00FD4695">
          <w:rPr>
            <w:rStyle w:val="Hyperlink"/>
            <w:color w:val="auto"/>
          </w:rPr>
          <w:t>https://resourcecentre.asean.org/Book_Detail/?ID=2761</w:t>
        </w:r>
      </w:hyperlink>
    </w:p>
  </w:footnote>
  <w:footnote w:id="197">
    <w:p w14:paraId="0106DEA0" w14:textId="71053D92" w:rsidR="00AF6B7C" w:rsidRPr="00C1535B" w:rsidRDefault="00AF6B7C" w:rsidP="00AF6B7C">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DD16FC" w:rsidRPr="00DD16FC">
        <w:rPr>
          <w:rFonts w:asciiTheme="minorBidi" w:hAnsiTheme="minorBidi" w:cstheme="minorBidi"/>
        </w:rPr>
        <w:t>ARC-Trung tâm nguồn lực Ban Thư ký ASEAN (2024), ISO/IEC 27001:2013 Công nghệ thông tin – Kỹ nghệ an ninh –</w:t>
      </w:r>
      <w:r w:rsidRPr="00C1535B">
        <w:rPr>
          <w:rFonts w:asciiTheme="minorBidi" w:hAnsiTheme="minorBidi" w:cstheme="minorBidi"/>
        </w:rPr>
        <w:t xml:space="preserve"> </w:t>
      </w:r>
      <w:r w:rsidR="00DD16FC">
        <w:rPr>
          <w:rFonts w:asciiTheme="minorBidi" w:hAnsiTheme="minorBidi" w:cstheme="minorBidi"/>
        </w:rPr>
        <w:t>Quy tắc thực hành quản lý an ninh thông tin</w:t>
      </w:r>
      <w:r w:rsidRPr="00C1535B">
        <w:rPr>
          <w:rFonts w:asciiTheme="minorBidi" w:hAnsiTheme="minorBidi" w:cstheme="minorBidi"/>
        </w:rPr>
        <w:t xml:space="preserve">, </w:t>
      </w:r>
      <w:hyperlink r:id="rId183" w:history="1">
        <w:r w:rsidRPr="00C1535B">
          <w:rPr>
            <w:rStyle w:val="Hyperlink"/>
            <w:rFonts w:asciiTheme="minorBidi" w:hAnsiTheme="minorBidi" w:cstheme="minorBidi"/>
            <w:color w:val="auto"/>
          </w:rPr>
          <w:t>https://resourcecentre.asean.org/Book_Detail/?ID=2760</w:t>
        </w:r>
      </w:hyperlink>
    </w:p>
  </w:footnote>
  <w:footnote w:id="198">
    <w:p w14:paraId="0756BEA6" w14:textId="04824687" w:rsidR="00063307" w:rsidRPr="00C1535B" w:rsidRDefault="00063307" w:rsidP="00063307">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Pr="00FD4695">
        <w:t xml:space="preserve">ISO/IEC (2021) ISO/IEC 27551:2021 - </w:t>
      </w:r>
      <w:r w:rsidR="00583A41">
        <w:t>An ninh thông tin, an ninh mạng và bảo vệ quyền riêng tư</w:t>
      </w:r>
      <w:r w:rsidRPr="00FD4695">
        <w:t xml:space="preserve"> — </w:t>
      </w:r>
      <w:r w:rsidR="00DD16FC">
        <w:t>yêu cầu xác thực đối tượng không có dữ liệu kết nối</w:t>
      </w:r>
      <w:r w:rsidRPr="00FD4695">
        <w:t xml:space="preserve">, </w:t>
      </w:r>
      <w:r w:rsidRPr="00C1535B">
        <w:rPr>
          <w:rFonts w:asciiTheme="minorBidi" w:hAnsiTheme="minorBidi" w:cstheme="minorBidi"/>
          <w:u w:val="single"/>
        </w:rPr>
        <w:t>https://www.iso.org/standard/72018.html</w:t>
      </w:r>
    </w:p>
  </w:footnote>
  <w:footnote w:id="199">
    <w:p w14:paraId="58318AF0" w14:textId="769215CF" w:rsidR="002C0B2D" w:rsidRPr="00C1535B" w:rsidRDefault="002C0B2D" w:rsidP="002C0B2D">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NIST (2024) </w:t>
      </w:r>
      <w:r w:rsidR="00DD16FC">
        <w:rPr>
          <w:rFonts w:asciiTheme="minorBidi" w:hAnsiTheme="minorBidi" w:cstheme="minorBidi"/>
        </w:rPr>
        <w:t>Khung an ninh mạng NIST</w:t>
      </w:r>
      <w:r w:rsidRPr="00C1535B">
        <w:rPr>
          <w:rFonts w:asciiTheme="minorBidi" w:hAnsiTheme="minorBidi" w:cstheme="minorBidi"/>
        </w:rPr>
        <w:t xml:space="preserve"> (CSF) 2.0, </w:t>
      </w:r>
      <w:hyperlink r:id="rId184" w:history="1">
        <w:r w:rsidRPr="00C1535B">
          <w:rPr>
            <w:rStyle w:val="Hyperlink"/>
            <w:rFonts w:asciiTheme="minorBidi" w:hAnsiTheme="minorBidi" w:cstheme="minorBidi"/>
            <w:color w:val="auto"/>
          </w:rPr>
          <w:t>https://nvlpubs.nist.gov/nistpubs/CSWP/NIST.CSWP.29.pdf</w:t>
        </w:r>
      </w:hyperlink>
    </w:p>
  </w:footnote>
  <w:footnote w:id="200">
    <w:p w14:paraId="1486705A" w14:textId="4570A7F9" w:rsidR="002C0B2D" w:rsidRPr="00C1535B" w:rsidRDefault="002C0B2D" w:rsidP="002C0B2D">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NIST (2024) </w:t>
      </w:r>
      <w:r w:rsidR="00DD16FC">
        <w:rPr>
          <w:rFonts w:asciiTheme="minorBidi" w:hAnsiTheme="minorBidi" w:cstheme="minorBidi"/>
        </w:rPr>
        <w:t>Khung quản lý rủi ro NIST</w:t>
      </w:r>
      <w:r w:rsidRPr="00C1535B">
        <w:rPr>
          <w:rFonts w:asciiTheme="minorBidi" w:hAnsiTheme="minorBidi" w:cstheme="minorBidi"/>
        </w:rPr>
        <w:t xml:space="preserve">, </w:t>
      </w:r>
      <w:hyperlink r:id="rId185" w:history="1">
        <w:r w:rsidRPr="00C1535B">
          <w:rPr>
            <w:rStyle w:val="Hyperlink"/>
            <w:rFonts w:asciiTheme="minorBidi" w:hAnsiTheme="minorBidi" w:cstheme="minorBidi"/>
            <w:color w:val="auto"/>
          </w:rPr>
          <w:t>https://csrc.nist.gov/projects/risk-management</w:t>
        </w:r>
      </w:hyperlink>
    </w:p>
  </w:footnote>
  <w:footnote w:id="201">
    <w:p w14:paraId="2E483941" w14:textId="3A163071" w:rsidR="002E2404" w:rsidRPr="00C1535B" w:rsidRDefault="002E2404" w:rsidP="002E2404">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CIS (2024) </w:t>
      </w:r>
      <w:r w:rsidR="00DD16FC">
        <w:rPr>
          <w:rFonts w:asciiTheme="minorBidi" w:hAnsiTheme="minorBidi" w:cstheme="minorBidi"/>
        </w:rPr>
        <w:t xml:space="preserve">Danh mục </w:t>
      </w:r>
      <w:r w:rsidRPr="00C1535B">
        <w:rPr>
          <w:rFonts w:asciiTheme="minorBidi" w:hAnsiTheme="minorBidi" w:cstheme="minorBidi"/>
        </w:rPr>
        <w:t xml:space="preserve">CIS, </w:t>
      </w:r>
      <w:hyperlink r:id="rId186" w:history="1">
        <w:r w:rsidRPr="00C1535B">
          <w:rPr>
            <w:rStyle w:val="Hyperlink"/>
            <w:rFonts w:asciiTheme="minorBidi" w:hAnsiTheme="minorBidi" w:cstheme="minorBidi"/>
            <w:color w:val="auto"/>
          </w:rPr>
          <w:t>https://www.cisecurity.org/cis-benchmarks</w:t>
        </w:r>
      </w:hyperlink>
    </w:p>
  </w:footnote>
  <w:footnote w:id="202">
    <w:p w14:paraId="67D0B3DF" w14:textId="7A115C34" w:rsidR="002E2404" w:rsidRPr="00C1535B" w:rsidRDefault="002E2404" w:rsidP="002E2404">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CIS (2024) </w:t>
      </w:r>
      <w:r w:rsidR="00DD16FC">
        <w:rPr>
          <w:rFonts w:asciiTheme="minorBidi" w:hAnsiTheme="minorBidi" w:cstheme="minorBidi"/>
        </w:rPr>
        <w:t xml:space="preserve">Kiểm soát an ninh cơ yếu </w:t>
      </w:r>
      <w:r w:rsidRPr="00C1535B">
        <w:rPr>
          <w:rFonts w:asciiTheme="minorBidi" w:hAnsiTheme="minorBidi" w:cstheme="minorBidi"/>
        </w:rPr>
        <w:t xml:space="preserve">CIS, </w:t>
      </w:r>
      <w:hyperlink r:id="rId187" w:history="1">
        <w:r w:rsidRPr="00C1535B">
          <w:rPr>
            <w:rStyle w:val="Hyperlink"/>
            <w:rFonts w:asciiTheme="minorBidi" w:hAnsiTheme="minorBidi" w:cstheme="minorBidi"/>
            <w:color w:val="auto"/>
          </w:rPr>
          <w:t>https://www.cisecurity.org/controls</w:t>
        </w:r>
      </w:hyperlink>
    </w:p>
  </w:footnote>
  <w:footnote w:id="203">
    <w:p w14:paraId="52F81673" w14:textId="300F435F" w:rsidR="002E2404" w:rsidRPr="00C1535B" w:rsidRDefault="002E2404" w:rsidP="002E2404">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CIS (2024) </w:t>
      </w:r>
      <w:r w:rsidR="00DD16FC" w:rsidRPr="00DD16FC">
        <w:rPr>
          <w:rFonts w:asciiTheme="minorBidi" w:hAnsiTheme="minorBidi" w:cstheme="minorBidi"/>
        </w:rPr>
        <w:t xml:space="preserve">Kiểm soát an ninh cơ yếu </w:t>
      </w:r>
      <w:r w:rsidRPr="00C1535B">
        <w:rPr>
          <w:rFonts w:asciiTheme="minorBidi" w:hAnsiTheme="minorBidi" w:cstheme="minorBidi"/>
        </w:rPr>
        <w:t xml:space="preserve">CIS FAQ, </w:t>
      </w:r>
      <w:hyperlink r:id="rId188" w:history="1">
        <w:r w:rsidRPr="00C1535B">
          <w:rPr>
            <w:rStyle w:val="Hyperlink"/>
            <w:rFonts w:asciiTheme="minorBidi" w:hAnsiTheme="minorBidi" w:cstheme="minorBidi"/>
            <w:color w:val="auto"/>
          </w:rPr>
          <w:t>https://www.cisecurity.org/controls/cis-controls-faq</w:t>
        </w:r>
      </w:hyperlink>
    </w:p>
  </w:footnote>
  <w:footnote w:id="204">
    <w:p w14:paraId="38226BB7" w14:textId="5CB1C5D2" w:rsidR="00246FAF" w:rsidRPr="00C1535B" w:rsidRDefault="00246FAF" w:rsidP="00246FAF">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IMDA (2023) </w:t>
      </w:r>
      <w:r w:rsidR="00DD16FC">
        <w:rPr>
          <w:rFonts w:asciiTheme="minorBidi" w:hAnsiTheme="minorBidi" w:cstheme="minorBidi"/>
        </w:rPr>
        <w:t>Tiêu chuẩn IT Singapore</w:t>
      </w:r>
      <w:r w:rsidRPr="00C1535B">
        <w:rPr>
          <w:rFonts w:asciiTheme="minorBidi" w:hAnsiTheme="minorBidi" w:cstheme="minorBidi"/>
        </w:rPr>
        <w:t>,</w:t>
      </w:r>
      <w:hyperlink r:id="rId189" w:history="1">
        <w:r w:rsidRPr="00FD4695">
          <w:rPr>
            <w:rStyle w:val="Hyperlink"/>
            <w:color w:val="auto"/>
          </w:rPr>
          <w:t>https://www.imda.gov.sg/-/media/imda/files/regulations-and-licensing/licensing/ict-standards-and-quality-of-service/industry-committees-and-working-groups/it-standards-committee/singapore-it-standards.pdf</w:t>
        </w:r>
      </w:hyperlink>
    </w:p>
  </w:footnote>
  <w:footnote w:id="205">
    <w:p w14:paraId="2F8822C8" w14:textId="464E03C9" w:rsidR="00246FAF" w:rsidRPr="00C1535B" w:rsidRDefault="00246FAF" w:rsidP="00246FAF">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DD16FC">
        <w:rPr>
          <w:rFonts w:asciiTheme="minorBidi" w:hAnsiTheme="minorBidi" w:cstheme="minorBidi"/>
        </w:rPr>
        <w:t>Diễn đàn quốc tế Thái Bình Dương</w:t>
      </w:r>
      <w:r w:rsidRPr="00C1535B">
        <w:rPr>
          <w:rFonts w:asciiTheme="minorBidi" w:hAnsiTheme="minorBidi" w:cstheme="minorBidi"/>
        </w:rPr>
        <w:t xml:space="preserve"> (2024) </w:t>
      </w:r>
      <w:r w:rsidR="00DD16FC">
        <w:rPr>
          <w:rFonts w:asciiTheme="minorBidi" w:hAnsiTheme="minorBidi" w:cstheme="minorBidi"/>
        </w:rPr>
        <w:t>Mạng ASEAN: Thúc đẩy năng lực và tự cường mạng ở ĐNA</w:t>
      </w:r>
      <w:r w:rsidRPr="00C1535B">
        <w:rPr>
          <w:rFonts w:asciiTheme="minorBidi" w:hAnsiTheme="minorBidi" w:cstheme="minorBidi"/>
        </w:rPr>
        <w:t xml:space="preserve">, </w:t>
      </w:r>
      <w:hyperlink r:id="rId190" w:history="1">
        <w:r w:rsidRPr="00C1535B">
          <w:rPr>
            <w:rStyle w:val="Hyperlink"/>
            <w:rFonts w:asciiTheme="minorBidi" w:hAnsiTheme="minorBidi" w:cstheme="minorBidi"/>
            <w:color w:val="auto"/>
          </w:rPr>
          <w:t>https://downloads.ctfassets.net/corl1354p0t3/750MZKJ7tfh9NSwTdPviqG/9dec46e2d311f2f8b130c28600a55fba/CyberAsean_Report.pdf</w:t>
        </w:r>
      </w:hyperlink>
    </w:p>
  </w:footnote>
  <w:footnote w:id="206">
    <w:p w14:paraId="5B58F28B" w14:textId="12D58279" w:rsidR="00246FAF" w:rsidRPr="00B7347A" w:rsidRDefault="00246FAF" w:rsidP="00246FAF">
      <w:pPr>
        <w:pStyle w:val="FootnoteText"/>
        <w:jc w:val="left"/>
        <w:rPr>
          <w:rStyle w:val="Hyperlink"/>
          <w:rFonts w:asciiTheme="minorBidi" w:hAnsiTheme="minorBidi" w:cstheme="minorBidi"/>
          <w:color w:val="auto"/>
          <w:lang w:val="fr-FR"/>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DD16FC">
        <w:rPr>
          <w:rFonts w:asciiTheme="minorBidi" w:hAnsiTheme="minorBidi" w:cstheme="minorBidi"/>
        </w:rPr>
        <w:t>Cơ quan an ninh mạng</w:t>
      </w:r>
      <w:r w:rsidRPr="00C1535B">
        <w:rPr>
          <w:rFonts w:asciiTheme="minorBidi" w:hAnsiTheme="minorBidi" w:cstheme="minorBidi"/>
        </w:rPr>
        <w:t xml:space="preserve"> (n.d.) </w:t>
      </w:r>
      <w:r w:rsidR="00DD16FC">
        <w:rPr>
          <w:rFonts w:asciiTheme="minorBidi" w:hAnsiTheme="minorBidi" w:cstheme="minorBidi"/>
          <w:lang w:val="fr-FR"/>
        </w:rPr>
        <w:t>Yếu tố thiết yếu về mạng</w:t>
      </w:r>
      <w:r w:rsidRPr="00B7347A">
        <w:rPr>
          <w:rFonts w:asciiTheme="minorBidi" w:hAnsiTheme="minorBidi" w:cstheme="minorBidi"/>
          <w:lang w:val="fr-FR"/>
        </w:rPr>
        <w:t xml:space="preserve">, </w:t>
      </w:r>
      <w:hyperlink r:id="rId191" w:history="1">
        <w:r w:rsidRPr="00B7347A">
          <w:rPr>
            <w:rStyle w:val="Hyperlink"/>
            <w:rFonts w:asciiTheme="minorBidi" w:hAnsiTheme="minorBidi" w:cstheme="minorBidi"/>
            <w:color w:val="auto"/>
            <w:lang w:val="fr-FR"/>
          </w:rPr>
          <w:t>https://www.csa.gov.sg/our-programmes/support-for-enterprises/sg-cyber-safe-programme/cybersecurity-certification-scheme-for-organisation/cyber-essentials</w:t>
        </w:r>
      </w:hyperlink>
      <w:r w:rsidRPr="00B7347A">
        <w:rPr>
          <w:rStyle w:val="Hyperlink"/>
          <w:rFonts w:asciiTheme="minorBidi" w:hAnsiTheme="minorBidi" w:cstheme="minorBidi"/>
          <w:color w:val="auto"/>
          <w:lang w:val="fr-FR"/>
        </w:rPr>
        <w:t xml:space="preserve"> </w:t>
      </w:r>
    </w:p>
  </w:footnote>
  <w:footnote w:id="207">
    <w:p w14:paraId="6815F25E" w14:textId="62E8FE67" w:rsidR="00246FAF" w:rsidRPr="00C1535B" w:rsidRDefault="00246FAF" w:rsidP="00246FAF">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DD16FC">
        <w:rPr>
          <w:rFonts w:asciiTheme="minorBidi" w:hAnsiTheme="minorBidi" w:cstheme="minorBidi"/>
        </w:rPr>
        <w:t>Diễn đàn quốc tế Thái Bình Dương</w:t>
      </w:r>
      <w:r w:rsidRPr="00C1535B">
        <w:rPr>
          <w:rFonts w:asciiTheme="minorBidi" w:hAnsiTheme="minorBidi" w:cstheme="minorBidi"/>
        </w:rPr>
        <w:t xml:space="preserve"> (2024) </w:t>
      </w:r>
      <w:r w:rsidR="00DD16FC">
        <w:rPr>
          <w:rFonts w:asciiTheme="minorBidi" w:hAnsiTheme="minorBidi" w:cstheme="minorBidi"/>
        </w:rPr>
        <w:t>Mạng ASEAN: Thúc đẩy năng lực và tự cường mạng ở ĐNA</w:t>
      </w:r>
      <w:r w:rsidRPr="00C1535B">
        <w:rPr>
          <w:rFonts w:asciiTheme="minorBidi" w:hAnsiTheme="minorBidi" w:cstheme="minorBidi"/>
        </w:rPr>
        <w:t xml:space="preserve">, </w:t>
      </w:r>
      <w:hyperlink r:id="rId192" w:history="1">
        <w:r w:rsidRPr="00C1535B">
          <w:rPr>
            <w:rStyle w:val="Hyperlink"/>
            <w:rFonts w:asciiTheme="minorBidi" w:hAnsiTheme="minorBidi" w:cstheme="minorBidi"/>
            <w:color w:val="auto"/>
          </w:rPr>
          <w:t>https://downloads.ctfassets.net/corl1354p0t3/750MZKJ7tfh9NSwTdPviqG/9dec46e2d311f2f8b130c28600a55fba/CyberAsean_Report.pdf</w:t>
        </w:r>
      </w:hyperlink>
    </w:p>
  </w:footnote>
  <w:footnote w:id="208">
    <w:p w14:paraId="0DCAA821" w14:textId="1A0A4D94" w:rsidR="00674063" w:rsidRPr="00C1535B" w:rsidRDefault="00674063" w:rsidP="00674063">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FB6362">
        <w:rPr>
          <w:rFonts w:asciiTheme="minorBidi" w:hAnsiTheme="minorBidi" w:cstheme="minorBidi"/>
        </w:rPr>
        <w:t>Ban Thư ký ASEAN</w:t>
      </w:r>
      <w:r w:rsidRPr="00C1535B">
        <w:rPr>
          <w:rFonts w:asciiTheme="minorBidi" w:hAnsiTheme="minorBidi" w:cstheme="minorBidi"/>
        </w:rPr>
        <w:t xml:space="preserve"> (2023) </w:t>
      </w:r>
      <w:r w:rsidR="00852DEA">
        <w:rPr>
          <w:rFonts w:asciiTheme="minorBidi" w:hAnsiTheme="minorBidi" w:cstheme="minorBidi"/>
        </w:rPr>
        <w:t>Nghiên cứu về Hiệp định khung ASEAN về Kinh tế số (DEFA)</w:t>
      </w:r>
    </w:p>
  </w:footnote>
  <w:footnote w:id="209">
    <w:p w14:paraId="3DFBDACA" w14:textId="6CCF3ED7" w:rsidR="00674063" w:rsidRPr="00C1535B" w:rsidRDefault="00674063" w:rsidP="00674063">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DD16FC">
        <w:rPr>
          <w:rFonts w:asciiTheme="minorBidi" w:hAnsiTheme="minorBidi" w:cstheme="minorBidi"/>
        </w:rPr>
        <w:t>Dựa trên các nhận định thu được từ tọa đàm trực tuyến với doanh nghiệp “Việc tiếp nhận và triển khai các tiêu chuẩn thương mại số trong ASEAN” được tổ chức ngày 3 tháng 7 năm 2024, với sự tham gia của chín chuyên gia đến từ khu vực doanh nghiệp thuộc sáu và Thái Lan</w:t>
      </w:r>
      <w:r w:rsidRPr="00C1535B">
        <w:rPr>
          <w:rFonts w:asciiTheme="minorBidi" w:hAnsiTheme="minorBidi" w:cstheme="minorBidi"/>
        </w:rPr>
        <w:t>.</w:t>
      </w:r>
    </w:p>
  </w:footnote>
  <w:footnote w:id="210">
    <w:p w14:paraId="35BF07C8" w14:textId="6070C42C" w:rsidR="00674063" w:rsidRPr="00C1535B" w:rsidRDefault="00674063" w:rsidP="00674063">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DD16FC">
        <w:rPr>
          <w:rFonts w:asciiTheme="minorBidi" w:hAnsiTheme="minorBidi" w:cstheme="minorBidi"/>
        </w:rPr>
        <w:t>Dựa trên các nhận định thu được từ tọa đàm trực tuyến với doanh nghiệp “Việc tiếp nhận và triển khai các tiêu chuẩn thương mại số trong ASEAN” được tổ chức ngày 3 tháng 7 năm 2024, với sự tham gia của chín chuyên gia đến từ khu vực doanh nghiệp thuộc sáu và Thái Lan</w:t>
      </w:r>
      <w:r w:rsidRPr="00C1535B">
        <w:rPr>
          <w:rFonts w:asciiTheme="minorBidi" w:hAnsiTheme="minorBidi" w:cstheme="minorBidi"/>
        </w:rPr>
        <w:t>.</w:t>
      </w:r>
    </w:p>
  </w:footnote>
  <w:footnote w:id="211">
    <w:p w14:paraId="3B324FE7" w14:textId="488BFF35" w:rsidR="00674063" w:rsidRPr="00C1535B" w:rsidRDefault="00674063" w:rsidP="00674063">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ASEAN (2022) </w:t>
      </w:r>
      <w:r w:rsidR="001F7407">
        <w:rPr>
          <w:rFonts w:asciiTheme="minorBidi" w:hAnsiTheme="minorBidi" w:cstheme="minorBidi"/>
        </w:rPr>
        <w:t>Chiến lược hợp tác an ninh mạng ASEAN</w:t>
      </w:r>
      <w:r w:rsidRPr="00C1535B">
        <w:rPr>
          <w:rFonts w:asciiTheme="minorBidi" w:hAnsiTheme="minorBidi" w:cstheme="minorBidi"/>
        </w:rPr>
        <w:t xml:space="preserve"> (2021-2025), </w:t>
      </w:r>
      <w:hyperlink r:id="rId193" w:history="1">
        <w:r w:rsidRPr="00C1535B">
          <w:rPr>
            <w:rStyle w:val="Hyperlink"/>
            <w:rFonts w:asciiTheme="minorBidi" w:hAnsiTheme="minorBidi" w:cstheme="minorBidi"/>
            <w:color w:val="auto"/>
          </w:rPr>
          <w:t>https://asean.org/wp-content/uploads/2022/02/01-ASEAN-Cybersecurity-Cooperation-Paper-2021-2025_final-23-0122.pdf</w:t>
        </w:r>
      </w:hyperlink>
    </w:p>
  </w:footnote>
  <w:footnote w:id="212">
    <w:p w14:paraId="390E77B3" w14:textId="0A7F72F9" w:rsidR="0081310A" w:rsidRPr="00C1535B" w:rsidRDefault="0081310A" w:rsidP="00267F17">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DD16FC">
        <w:rPr>
          <w:rFonts w:asciiTheme="minorBidi" w:hAnsiTheme="minorBidi" w:cstheme="minorBidi"/>
        </w:rPr>
        <w:t>Dựa trên các nhận định thu được từ tọa đàm trực tuyến với doanh nghiệp “Việc tiếp nhận và triển khai các tiêu chuẩn thương mại số trong ASEAN” được tổ chức ngày 3 tháng 7 năm 2024, với sự tham gia của chín chuyên gia đến từ khu vực doanh nghiệp thuộc sáu và Thái Lan</w:t>
      </w:r>
      <w:r w:rsidRPr="00C1535B">
        <w:rPr>
          <w:rFonts w:asciiTheme="minorBidi" w:hAnsiTheme="minorBidi" w:cstheme="minorBidi"/>
        </w:rPr>
        <w:t>.</w:t>
      </w:r>
    </w:p>
  </w:footnote>
  <w:footnote w:id="213">
    <w:p w14:paraId="0E66229F" w14:textId="77777777" w:rsidR="00C05343" w:rsidRPr="00C1535B" w:rsidRDefault="00C05343" w:rsidP="00C05343">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ISO (2024) ISO/DIS 32122, </w:t>
      </w:r>
      <w:hyperlink r:id="rId194" w:history="1">
        <w:r w:rsidRPr="00C1535B">
          <w:rPr>
            <w:rStyle w:val="Hyperlink"/>
            <w:rFonts w:asciiTheme="minorBidi" w:hAnsiTheme="minorBidi" w:cstheme="minorBidi"/>
            <w:color w:val="auto"/>
          </w:rPr>
          <w:t>https://www.iso.org/standard/84834.html</w:t>
        </w:r>
      </w:hyperlink>
      <w:r w:rsidRPr="00C1535B">
        <w:rPr>
          <w:rFonts w:asciiTheme="minorBidi" w:hAnsiTheme="minorBidi" w:cstheme="minorBidi"/>
        </w:rPr>
        <w:t xml:space="preserve"> </w:t>
      </w:r>
    </w:p>
  </w:footnote>
  <w:footnote w:id="214">
    <w:p w14:paraId="4FEF2740" w14:textId="50E262CE" w:rsidR="00025B90" w:rsidRPr="00C1535B" w:rsidRDefault="00025B90" w:rsidP="00025B90">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(n.d.) </w:t>
      </w:r>
      <w:r w:rsidR="00DD16FC">
        <w:rPr>
          <w:rFonts w:asciiTheme="minorBidi" w:hAnsiTheme="minorBidi" w:cstheme="minorBidi"/>
        </w:rPr>
        <w:t xml:space="preserve">Hướng dẫn ODR </w:t>
      </w:r>
      <w:r w:rsidRPr="00C1535B">
        <w:rPr>
          <w:rFonts w:asciiTheme="minorBidi" w:hAnsiTheme="minorBidi" w:cstheme="minorBidi"/>
        </w:rPr>
        <w:t xml:space="preserve">ASEAN, </w:t>
      </w:r>
      <w:hyperlink r:id="rId195" w:history="1">
        <w:r w:rsidRPr="00C1535B">
          <w:rPr>
            <w:rStyle w:val="Hyperlink"/>
            <w:rFonts w:asciiTheme="minorBidi" w:hAnsiTheme="minorBidi" w:cstheme="minorBidi"/>
            <w:color w:val="auto"/>
          </w:rPr>
          <w:t>https://asean.org/book/asean-guidelines-on-online-dispute-resolution-odr/</w:t>
        </w:r>
      </w:hyperlink>
      <w:r w:rsidRPr="00C1535B">
        <w:rPr>
          <w:rFonts w:asciiTheme="minorBidi" w:hAnsiTheme="minorBidi" w:cstheme="minorBidi"/>
        </w:rPr>
        <w:t xml:space="preserve"> </w:t>
      </w:r>
    </w:p>
  </w:footnote>
  <w:footnote w:id="215">
    <w:p w14:paraId="753FD94C" w14:textId="7C9ED22F" w:rsidR="00C2419B" w:rsidRPr="00C1535B" w:rsidRDefault="00C2419B" w:rsidP="00C2419B">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G7 (2021) </w:t>
      </w:r>
      <w:r w:rsidR="000470D2">
        <w:rPr>
          <w:rFonts w:asciiTheme="minorBidi" w:hAnsiTheme="minorBidi" w:cstheme="minorBidi"/>
        </w:rPr>
        <w:t>Thông cáo chung Bộ trưởng Thương mại</w:t>
      </w:r>
      <w:r w:rsidRPr="00C1535B">
        <w:rPr>
          <w:rFonts w:asciiTheme="minorBidi" w:hAnsiTheme="minorBidi" w:cstheme="minorBidi"/>
        </w:rPr>
        <w:t xml:space="preserve">, </w:t>
      </w:r>
      <w:hyperlink r:id="rId196" w:history="1">
        <w:r w:rsidRPr="00FD4695">
          <w:rPr>
            <w:rStyle w:val="Hyperlink"/>
            <w:color w:val="auto"/>
          </w:rPr>
          <w:t>https://www.mofa.go.jp/mofaj/files/100251122.pdf</w:t>
        </w:r>
      </w:hyperlink>
      <w:r w:rsidRPr="00C1535B">
        <w:rPr>
          <w:rFonts w:asciiTheme="minorBidi" w:hAnsiTheme="minorBidi" w:cstheme="minorBidi"/>
        </w:rPr>
        <w:t xml:space="preserve"> </w:t>
      </w:r>
    </w:p>
  </w:footnote>
  <w:footnote w:id="216">
    <w:p w14:paraId="0C18DEF5" w14:textId="33C6CAA5" w:rsidR="00C2419B" w:rsidRPr="00C1535B" w:rsidRDefault="00C2419B" w:rsidP="00C2419B">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G7 (2021) </w:t>
      </w:r>
      <w:r w:rsidR="000470D2">
        <w:rPr>
          <w:rFonts w:asciiTheme="minorBidi" w:hAnsiTheme="minorBidi" w:cstheme="minorBidi"/>
        </w:rPr>
        <w:t>Thông cáo chung Bộ trưởng Thương mại</w:t>
      </w:r>
      <w:r w:rsidRPr="00C1535B">
        <w:rPr>
          <w:rFonts w:asciiTheme="minorBidi" w:hAnsiTheme="minorBidi" w:cstheme="minorBidi"/>
        </w:rPr>
        <w:t xml:space="preserve">, </w:t>
      </w:r>
      <w:hyperlink r:id="rId197" w:history="1">
        <w:r w:rsidRPr="00C1535B">
          <w:rPr>
            <w:rStyle w:val="Hyperlink"/>
            <w:rFonts w:asciiTheme="minorBidi" w:hAnsiTheme="minorBidi" w:cstheme="minorBidi"/>
            <w:color w:val="auto"/>
          </w:rPr>
          <w:t>https://www.mofa.go.jp/mofaj/files/100251122.pdf</w:t>
        </w:r>
      </w:hyperlink>
      <w:r w:rsidRPr="00C1535B">
        <w:rPr>
          <w:rFonts w:asciiTheme="minorBidi" w:hAnsiTheme="minorBidi" w:cstheme="minorBidi"/>
        </w:rPr>
        <w:t xml:space="preserve"> </w:t>
      </w:r>
    </w:p>
  </w:footnote>
  <w:footnote w:id="217">
    <w:p w14:paraId="4A5BB332" w14:textId="3749FE71" w:rsidR="00C2419B" w:rsidRPr="00C1535B" w:rsidRDefault="00C2419B" w:rsidP="00C2419B">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D809A1">
        <w:rPr>
          <w:rFonts w:asciiTheme="minorBidi" w:hAnsiTheme="minorBidi" w:cstheme="minorBidi"/>
        </w:rPr>
        <w:t>Ủy ban châu Âu</w:t>
      </w:r>
      <w:r w:rsidRPr="00C1535B">
        <w:rPr>
          <w:rFonts w:asciiTheme="minorBidi" w:hAnsiTheme="minorBidi" w:cstheme="minorBidi"/>
        </w:rPr>
        <w:t xml:space="preserve"> (2023) </w:t>
      </w:r>
      <w:r w:rsidR="000470D2">
        <w:rPr>
          <w:rFonts w:asciiTheme="minorBidi" w:hAnsiTheme="minorBidi" w:cstheme="minorBidi"/>
        </w:rPr>
        <w:t>Cam kết bảo vệ người tiêu dùng</w:t>
      </w:r>
      <w:r w:rsidRPr="00C1535B">
        <w:rPr>
          <w:rFonts w:asciiTheme="minorBidi" w:hAnsiTheme="minorBidi" w:cstheme="minorBidi"/>
        </w:rPr>
        <w:t>,</w:t>
      </w:r>
      <w:hyperlink r:id="rId198" w:history="1">
        <w:r w:rsidRPr="00C1535B">
          <w:rPr>
            <w:rStyle w:val="Hyperlink"/>
            <w:rFonts w:asciiTheme="minorBidi" w:hAnsiTheme="minorBidi" w:cstheme="minorBidi"/>
            <w:color w:val="auto"/>
          </w:rPr>
          <w:t>https://commission.europa.eu/document/8d85b491-81d4-487e-9de9-cb071c8dba41_en</w:t>
        </w:r>
      </w:hyperlink>
      <w:r w:rsidRPr="00C1535B">
        <w:rPr>
          <w:rFonts w:asciiTheme="minorBidi" w:hAnsiTheme="minorBidi" w:cstheme="minorBidi"/>
        </w:rPr>
        <w:t xml:space="preserve"> </w:t>
      </w:r>
    </w:p>
  </w:footnote>
  <w:footnote w:id="218">
    <w:p w14:paraId="32F88D0F" w14:textId="139DC0A7" w:rsidR="00951859" w:rsidRPr="00C1535B" w:rsidRDefault="00951859" w:rsidP="00951859">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IMDA (2023) </w:t>
      </w:r>
      <w:r w:rsidR="00DD16FC">
        <w:rPr>
          <w:rFonts w:asciiTheme="minorBidi" w:hAnsiTheme="minorBidi" w:cstheme="minorBidi"/>
        </w:rPr>
        <w:t>Tiêu chuẩn IT Singapore</w:t>
      </w:r>
      <w:r w:rsidRPr="00C1535B">
        <w:rPr>
          <w:rFonts w:asciiTheme="minorBidi" w:hAnsiTheme="minorBidi" w:cstheme="minorBidi"/>
        </w:rPr>
        <w:t>,</w:t>
      </w:r>
      <w:hyperlink r:id="rId199" w:history="1">
        <w:r w:rsidRPr="00C1535B">
          <w:rPr>
            <w:rStyle w:val="Hyperlink"/>
            <w:rFonts w:asciiTheme="minorBidi" w:hAnsiTheme="minorBidi" w:cstheme="minorBidi"/>
            <w:color w:val="auto"/>
          </w:rPr>
          <w:t xml:space="preserve"> https://www.imda.gov.sg/-/media/imda/files/regulations-and-licensing/licensing/ict-standards-and-quality-of-service/industry-committees-and-working-groups/it-standards-committee/singapore-it-standards.pdf</w:t>
        </w:r>
      </w:hyperlink>
    </w:p>
  </w:footnote>
  <w:footnote w:id="219">
    <w:p w14:paraId="631B174E" w14:textId="587D080F" w:rsidR="00951859" w:rsidRPr="00C1535B" w:rsidRDefault="00951859" w:rsidP="00951859">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DD16FC">
        <w:rPr>
          <w:rFonts w:asciiTheme="minorBidi" w:hAnsiTheme="minorBidi" w:cstheme="minorBidi"/>
        </w:rPr>
        <w:t>Diễn đàn quốc tế Thái Bình Dương</w:t>
      </w:r>
      <w:r w:rsidRPr="00C1535B">
        <w:rPr>
          <w:rFonts w:asciiTheme="minorBidi" w:hAnsiTheme="minorBidi" w:cstheme="minorBidi"/>
        </w:rPr>
        <w:t xml:space="preserve"> (2024) </w:t>
      </w:r>
      <w:r w:rsidR="00DD16FC">
        <w:rPr>
          <w:rFonts w:asciiTheme="minorBidi" w:hAnsiTheme="minorBidi" w:cstheme="minorBidi"/>
        </w:rPr>
        <w:t>Mạng ASEAN: Thúc đẩy năng lực và tự cường mạng ở ĐNA</w:t>
      </w:r>
      <w:r w:rsidRPr="00C1535B">
        <w:rPr>
          <w:rFonts w:asciiTheme="minorBidi" w:hAnsiTheme="minorBidi" w:cstheme="minorBidi"/>
        </w:rPr>
        <w:t xml:space="preserve">, </w:t>
      </w:r>
      <w:hyperlink r:id="rId200" w:history="1">
        <w:r w:rsidRPr="00C1535B">
          <w:rPr>
            <w:rStyle w:val="Hyperlink"/>
            <w:rFonts w:asciiTheme="minorBidi" w:hAnsiTheme="minorBidi" w:cstheme="minorBidi"/>
            <w:color w:val="auto"/>
          </w:rPr>
          <w:t>https://downloads.ctfassets.net/corl1354p0t3/750MZKJ7tfh9NSwTdPviqG/9dec46e2d311f2f8b130c28600a55fba/CyberAsean_Report.pdf</w:t>
        </w:r>
      </w:hyperlink>
    </w:p>
  </w:footnote>
  <w:footnote w:id="220">
    <w:p w14:paraId="2CDAF842" w14:textId="7397B4B0" w:rsidR="00951859" w:rsidRPr="00C1535B" w:rsidRDefault="00951859" w:rsidP="00951859">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(2021) </w:t>
      </w:r>
      <w:r w:rsidR="000470D2">
        <w:rPr>
          <w:rFonts w:asciiTheme="minorBidi" w:hAnsiTheme="minorBidi" w:cstheme="minorBidi"/>
        </w:rPr>
        <w:t>Lộ trình Bandar Seri Begawan</w:t>
      </w:r>
      <w:r w:rsidRPr="00C1535B">
        <w:rPr>
          <w:rFonts w:asciiTheme="minorBidi" w:hAnsiTheme="minorBidi" w:cstheme="minorBidi"/>
        </w:rPr>
        <w:t xml:space="preserve">, </w:t>
      </w:r>
      <w:hyperlink r:id="rId201" w:history="1">
        <w:r w:rsidRPr="00C1535B">
          <w:rPr>
            <w:rStyle w:val="Hyperlink"/>
            <w:rFonts w:asciiTheme="minorBidi" w:hAnsiTheme="minorBidi" w:cstheme="minorBidi"/>
            <w:color w:val="auto"/>
          </w:rPr>
          <w:t>https://asean.org/wp-content/uploads/2021/10/Bandar-Seri-Begawan-Roadmap-on-ASEAN-Digital-Transformation-Agenda_Endorsed.pdf</w:t>
        </w:r>
      </w:hyperlink>
      <w:r w:rsidRPr="00C1535B">
        <w:rPr>
          <w:rFonts w:asciiTheme="minorBidi" w:hAnsiTheme="minorBidi" w:cstheme="minorBidi"/>
        </w:rPr>
        <w:t xml:space="preserve"> </w:t>
      </w:r>
    </w:p>
  </w:footnote>
  <w:footnote w:id="221">
    <w:p w14:paraId="6C3D12E9" w14:textId="682255DF" w:rsidR="001315C7" w:rsidRPr="00C1535B" w:rsidRDefault="001315C7" w:rsidP="001315C7">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(n.d.) </w:t>
      </w:r>
      <w:r w:rsidR="000470D2">
        <w:rPr>
          <w:rFonts w:asciiTheme="minorBidi" w:hAnsiTheme="minorBidi" w:cstheme="minorBidi"/>
        </w:rPr>
        <w:t>Cùng nhau định hình một thế giới số an toàn hơn cho trẻ em</w:t>
      </w:r>
      <w:r w:rsidRPr="00C1535B">
        <w:rPr>
          <w:rFonts w:asciiTheme="minorBidi" w:hAnsiTheme="minorBidi" w:cstheme="minorBidi"/>
        </w:rPr>
        <w:t xml:space="preserve">, </w:t>
      </w:r>
      <w:hyperlink r:id="rId202" w:history="1">
        <w:r w:rsidRPr="00C1535B">
          <w:rPr>
            <w:rStyle w:val="Hyperlink"/>
            <w:rFonts w:asciiTheme="minorBidi" w:hAnsiTheme="minorBidi" w:cstheme="minorBidi"/>
            <w:color w:val="auto"/>
          </w:rPr>
          <w:t>https://asean.org/shaping-a-safer-digital-world-for-children-together/</w:t>
        </w:r>
      </w:hyperlink>
      <w:r w:rsidRPr="00C1535B">
        <w:rPr>
          <w:rFonts w:asciiTheme="minorBidi" w:hAnsiTheme="minorBidi" w:cstheme="minorBidi"/>
        </w:rPr>
        <w:t xml:space="preserve"> </w:t>
      </w:r>
    </w:p>
  </w:footnote>
  <w:footnote w:id="222">
    <w:p w14:paraId="4D3059A0" w14:textId="3D213ED8" w:rsidR="000A43F0" w:rsidRPr="00C1535B" w:rsidRDefault="000A43F0" w:rsidP="000A43F0">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(2023) </w:t>
      </w:r>
      <w:r w:rsidR="000470D2">
        <w:rPr>
          <w:rFonts w:asciiTheme="minorBidi" w:hAnsiTheme="minorBidi" w:cstheme="minorBidi"/>
        </w:rPr>
        <w:t xml:space="preserve">Hướng dẫn ASEAN về Thương mại điện tử có tác động đến </w:t>
      </w:r>
      <w:r w:rsidR="00DB5DB6">
        <w:rPr>
          <w:rFonts w:asciiTheme="minorBidi" w:hAnsiTheme="minorBidi" w:cstheme="minorBidi"/>
        </w:rPr>
        <w:t>người tiêu dùng</w:t>
      </w:r>
      <w:r w:rsidRPr="00C1535B">
        <w:rPr>
          <w:rFonts w:asciiTheme="minorBidi" w:hAnsiTheme="minorBidi" w:cstheme="minorBidi"/>
        </w:rPr>
        <w:t xml:space="preserve">, </w:t>
      </w:r>
      <w:hyperlink r:id="rId203" w:history="1">
        <w:r w:rsidRPr="00C1535B">
          <w:rPr>
            <w:rStyle w:val="Hyperlink"/>
            <w:rFonts w:asciiTheme="minorBidi" w:hAnsiTheme="minorBidi" w:cstheme="minorBidi"/>
            <w:color w:val="auto"/>
          </w:rPr>
          <w:t>https://asean.org/wp-content/uploads/2023/03/ASEAN-Guidelines-on-Consumer-Impact-E-COMMERCE_V2-1.pdf</w:t>
        </w:r>
      </w:hyperlink>
      <w:r w:rsidRPr="00C1535B">
        <w:rPr>
          <w:rFonts w:asciiTheme="minorBidi" w:hAnsiTheme="minorBidi" w:cstheme="minorBidi"/>
        </w:rPr>
        <w:t xml:space="preserve"> </w:t>
      </w:r>
    </w:p>
  </w:footnote>
  <w:footnote w:id="223">
    <w:p w14:paraId="3331C156" w14:textId="6799DF10" w:rsidR="000A43F0" w:rsidRPr="00C1535B" w:rsidRDefault="000A43F0" w:rsidP="000A43F0">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(2021) </w:t>
      </w:r>
      <w:r w:rsidR="00DB5DB6">
        <w:rPr>
          <w:rFonts w:asciiTheme="minorBidi" w:hAnsiTheme="minorBidi" w:cstheme="minorBidi"/>
        </w:rPr>
        <w:t>Kế hoạch hành động chiến lược ASEAN về bảo vệ người tiêu dùng</w:t>
      </w:r>
      <w:r w:rsidRPr="00C1535B">
        <w:rPr>
          <w:rFonts w:asciiTheme="minorBidi" w:hAnsiTheme="minorBidi" w:cstheme="minorBidi"/>
        </w:rPr>
        <w:t xml:space="preserve"> (ASAPCP) 2016-2025</w:t>
      </w:r>
      <w:r w:rsidR="00DB5DB6">
        <w:rPr>
          <w:rFonts w:asciiTheme="minorBidi" w:hAnsiTheme="minorBidi" w:cstheme="minorBidi"/>
        </w:rPr>
        <w:t xml:space="preserve"> </w:t>
      </w:r>
      <w:r w:rsidRPr="00C1535B">
        <w:rPr>
          <w:rFonts w:asciiTheme="minorBidi" w:hAnsiTheme="minorBidi" w:cstheme="minorBidi"/>
        </w:rPr>
        <w:t>,</w:t>
      </w:r>
      <w:hyperlink r:id="rId204" w:history="1">
        <w:r w:rsidRPr="00C1535B">
          <w:rPr>
            <w:rStyle w:val="Hyperlink"/>
            <w:rFonts w:asciiTheme="minorBidi" w:hAnsiTheme="minorBidi" w:cstheme="minorBidi"/>
            <w:color w:val="auto"/>
          </w:rPr>
          <w:t>https://asean.org/wp-content/uploads/2021/01/ASEAN-Strategic-Action-Plan-for-Consumer-Protection-2016-2025-ASAPCP-2025.pdf</w:t>
        </w:r>
      </w:hyperlink>
      <w:r w:rsidRPr="00C1535B">
        <w:rPr>
          <w:rFonts w:asciiTheme="minorBidi" w:hAnsiTheme="minorBidi" w:cstheme="minorBidi"/>
        </w:rPr>
        <w:t xml:space="preserve"> </w:t>
      </w:r>
    </w:p>
  </w:footnote>
  <w:footnote w:id="224">
    <w:p w14:paraId="65590348" w14:textId="44E1727B" w:rsidR="00C55B7B" w:rsidRPr="00C1535B" w:rsidRDefault="00C55B7B" w:rsidP="00C55B7B">
      <w:pPr>
        <w:pStyle w:val="FootnoteText"/>
        <w:jc w:val="left"/>
        <w:rPr>
          <w:rFonts w:asciiTheme="minorBidi" w:hAnsiTheme="minorBidi" w:cstheme="minorBidi"/>
          <w:highlight w:val="yellow"/>
        </w:rPr>
      </w:pPr>
      <w:r w:rsidRPr="00C1535B">
        <w:rPr>
          <w:rStyle w:val="FootnoteReference"/>
          <w:rFonts w:asciiTheme="minorBidi" w:hAnsiTheme="minorBidi" w:cstheme="minorBidi"/>
        </w:rPr>
        <w:footnoteRef/>
      </w:r>
      <w:r w:rsidRPr="00C1535B">
        <w:rPr>
          <w:rFonts w:asciiTheme="minorBidi" w:hAnsiTheme="minorBidi" w:cstheme="minorBidi"/>
        </w:rPr>
        <w:t xml:space="preserve"> ASEAN (n.d.) </w:t>
      </w:r>
      <w:r w:rsidR="00DB5DB6">
        <w:rPr>
          <w:rFonts w:asciiTheme="minorBidi" w:hAnsiTheme="minorBidi" w:cstheme="minorBidi"/>
        </w:rPr>
        <w:t>Nguyên tắc cấp cao về bảo vệ người tiêu dùng</w:t>
      </w:r>
      <w:r w:rsidRPr="00C1535B">
        <w:rPr>
          <w:rFonts w:asciiTheme="minorBidi" w:hAnsiTheme="minorBidi" w:cstheme="minorBidi"/>
        </w:rPr>
        <w:t xml:space="preserve">, </w:t>
      </w:r>
      <w:hyperlink r:id="rId205" w:history="1">
        <w:r w:rsidRPr="00C1535B">
          <w:rPr>
            <w:rStyle w:val="Hyperlink"/>
            <w:rFonts w:asciiTheme="minorBidi" w:hAnsiTheme="minorBidi" w:cstheme="minorBidi"/>
            <w:color w:val="auto"/>
          </w:rPr>
          <w:t>https://aseanconsumer.org/cterms-regional-cooperation-in-asean/asean-high-level-principles-on-consumer-protection</w:t>
        </w:r>
      </w:hyperlink>
      <w:r w:rsidRPr="00C1535B">
        <w:rPr>
          <w:rFonts w:asciiTheme="minorBidi" w:hAnsiTheme="minorBidi" w:cstheme="minorBidi"/>
        </w:rPr>
        <w:t xml:space="preserve"> </w:t>
      </w:r>
    </w:p>
  </w:footnote>
  <w:footnote w:id="225">
    <w:p w14:paraId="74F3D5EB" w14:textId="24E699A3" w:rsidR="00C55B7B" w:rsidRPr="00C1535B" w:rsidRDefault="00C55B7B" w:rsidP="00C55B7B">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(2022) </w:t>
      </w:r>
      <w:r w:rsidR="00DB5DB6">
        <w:rPr>
          <w:rFonts w:asciiTheme="minorBidi" w:hAnsiTheme="minorBidi" w:cstheme="minorBidi"/>
        </w:rPr>
        <w:t>Nghiên cứu khả thi về Cơ chế nhãn tín nhiệm ASEAN</w:t>
      </w:r>
      <w:r w:rsidRPr="00C1535B">
        <w:rPr>
          <w:rFonts w:asciiTheme="minorBidi" w:hAnsiTheme="minorBidi" w:cstheme="minorBidi"/>
        </w:rPr>
        <w:t xml:space="preserve">, </w:t>
      </w:r>
      <w:hyperlink r:id="rId206" w:history="1">
        <w:r w:rsidRPr="00C1535B">
          <w:rPr>
            <w:rStyle w:val="Hyperlink"/>
            <w:rFonts w:asciiTheme="minorBidi" w:hAnsiTheme="minorBidi" w:cstheme="minorBidi"/>
            <w:color w:val="auto"/>
          </w:rPr>
          <w:t>https://asean.org/wp-content/uploads/2022/11/Feasibility-Study-of-ASEAN-Trust-Mark-Scheme-Final-Report.pdf</w:t>
        </w:r>
      </w:hyperlink>
      <w:r w:rsidRPr="00C1535B">
        <w:rPr>
          <w:rFonts w:asciiTheme="minorBidi" w:hAnsiTheme="minorBidi" w:cstheme="minorBidi"/>
        </w:rPr>
        <w:t xml:space="preserve"> </w:t>
      </w:r>
    </w:p>
  </w:footnote>
  <w:footnote w:id="226">
    <w:p w14:paraId="089B263F" w14:textId="2D48E6DC" w:rsidR="00C55B7B" w:rsidRPr="00C1535B" w:rsidRDefault="00C55B7B" w:rsidP="00C55B7B">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(2020) </w:t>
      </w:r>
      <w:r w:rsidR="00DB5DB6">
        <w:rPr>
          <w:rFonts w:asciiTheme="minorBidi" w:hAnsiTheme="minorBidi" w:cstheme="minorBidi"/>
        </w:rPr>
        <w:t>Bộ quy tắc ứng xử ASEAN về kinh doanh trực tuyến</w:t>
      </w:r>
      <w:r w:rsidRPr="00C1535B">
        <w:rPr>
          <w:rFonts w:asciiTheme="minorBidi" w:hAnsiTheme="minorBidi" w:cstheme="minorBidi"/>
        </w:rPr>
        <w:t xml:space="preserve">, </w:t>
      </w:r>
      <w:hyperlink r:id="rId207" w:history="1">
        <w:r w:rsidRPr="00C1535B">
          <w:rPr>
            <w:rStyle w:val="Hyperlink"/>
            <w:rFonts w:asciiTheme="minorBidi" w:hAnsiTheme="minorBidi" w:cstheme="minorBidi"/>
            <w:color w:val="auto"/>
          </w:rPr>
          <w:t>https://aseanconsumer.org/file/post_image/2020-02-26%20ASEAN%20COC%20(fin).pdf</w:t>
        </w:r>
      </w:hyperlink>
      <w:r w:rsidRPr="00C1535B">
        <w:rPr>
          <w:rFonts w:asciiTheme="minorBidi" w:hAnsiTheme="minorBidi" w:cstheme="minorBidi"/>
        </w:rPr>
        <w:t xml:space="preserve"> </w:t>
      </w:r>
    </w:p>
  </w:footnote>
  <w:footnote w:id="227">
    <w:p w14:paraId="04260041" w14:textId="045BB280" w:rsidR="00F52E80" w:rsidRPr="00C1535B" w:rsidRDefault="00F52E80" w:rsidP="00F52E80">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033309">
        <w:rPr>
          <w:rFonts w:asciiTheme="minorBidi" w:hAnsiTheme="minorBidi" w:cstheme="minorBidi"/>
        </w:rPr>
        <w:t xml:space="preserve">Triển vọng </w:t>
      </w:r>
      <w:r w:rsidRPr="00C1535B">
        <w:rPr>
          <w:rFonts w:asciiTheme="minorBidi" w:hAnsiTheme="minorBidi" w:cstheme="minorBidi"/>
        </w:rPr>
        <w:t xml:space="preserve">ACI (2024) </w:t>
      </w:r>
      <w:r w:rsidR="00033309">
        <w:rPr>
          <w:rFonts w:asciiTheme="minorBidi" w:hAnsiTheme="minorBidi" w:cstheme="minorBidi"/>
        </w:rPr>
        <w:t>Khung pháp lý dữ liệu vụn vỡ ASEAN: Triển khai tiếp thế nào</w:t>
      </w:r>
      <w:r w:rsidRPr="00C1535B">
        <w:rPr>
          <w:rFonts w:asciiTheme="minorBidi" w:hAnsiTheme="minorBidi" w:cstheme="minorBidi"/>
        </w:rPr>
        <w:t xml:space="preserve">?, </w:t>
      </w:r>
      <w:hyperlink r:id="rId208" w:history="1">
        <w:r w:rsidRPr="00C1535B">
          <w:rPr>
            <w:rStyle w:val="Hyperlink"/>
            <w:rFonts w:asciiTheme="minorBidi" w:hAnsiTheme="minorBidi" w:cstheme="minorBidi"/>
            <w:color w:val="auto"/>
          </w:rPr>
          <w:t>https://aciperspectives.com/2024/04/17/aseans-fragmenting-data-regulatory-framework-whats-the-way-forward/</w:t>
        </w:r>
      </w:hyperlink>
    </w:p>
  </w:footnote>
  <w:footnote w:id="228">
    <w:p w14:paraId="3A5A7F14" w14:textId="4FE1E38F" w:rsidR="00F52E80" w:rsidRPr="00C1535B" w:rsidRDefault="00F52E80" w:rsidP="00F52E80">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033309">
        <w:rPr>
          <w:rFonts w:asciiTheme="minorBidi" w:hAnsiTheme="minorBidi" w:cstheme="minorBidi"/>
        </w:rPr>
        <w:t xml:space="preserve">Triển vọng </w:t>
      </w:r>
      <w:r w:rsidRPr="00C1535B">
        <w:rPr>
          <w:rFonts w:asciiTheme="minorBidi" w:hAnsiTheme="minorBidi" w:cstheme="minorBidi"/>
        </w:rPr>
        <w:t xml:space="preserve">ACI (2024) </w:t>
      </w:r>
      <w:r w:rsidR="00033309">
        <w:rPr>
          <w:rFonts w:asciiTheme="minorBidi" w:hAnsiTheme="minorBidi" w:cstheme="minorBidi"/>
        </w:rPr>
        <w:t>Khung pháp lý dữ liệu vụn vỡ ASEAN: Triển khai tiếp thế nào</w:t>
      </w:r>
      <w:r w:rsidRPr="00C1535B">
        <w:rPr>
          <w:rFonts w:asciiTheme="minorBidi" w:hAnsiTheme="minorBidi" w:cstheme="minorBidi"/>
        </w:rPr>
        <w:t xml:space="preserve">?, </w:t>
      </w:r>
      <w:hyperlink r:id="rId209" w:history="1">
        <w:r w:rsidRPr="00C1535B">
          <w:rPr>
            <w:rStyle w:val="Hyperlink"/>
            <w:rFonts w:asciiTheme="minorBidi" w:hAnsiTheme="minorBidi" w:cstheme="minorBidi"/>
            <w:color w:val="auto"/>
          </w:rPr>
          <w:t>https://aciperspectives.com/2024/04/17/aseans-fragmenting-data-regulatory-framework-whats-the-way-forward/</w:t>
        </w:r>
      </w:hyperlink>
    </w:p>
  </w:footnote>
  <w:footnote w:id="229">
    <w:p w14:paraId="38CC9EED" w14:textId="603A5F76" w:rsidR="00F52E80" w:rsidRPr="00C1535B" w:rsidRDefault="00F52E80" w:rsidP="00F52E80">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RSIS (2023) </w:t>
      </w:r>
      <w:r w:rsidR="00033309">
        <w:rPr>
          <w:rFonts w:asciiTheme="minorBidi" w:hAnsiTheme="minorBidi" w:cstheme="minorBidi"/>
        </w:rPr>
        <w:t>Quản lý dữ liệu toàn cầu: Lối đi ASEAN để dẫn dắt quốc tế và khu vực</w:t>
      </w:r>
      <w:r w:rsidRPr="00C1535B">
        <w:rPr>
          <w:rFonts w:asciiTheme="minorBidi" w:hAnsiTheme="minorBidi" w:cstheme="minorBidi"/>
        </w:rPr>
        <w:t xml:space="preserve">, </w:t>
      </w:r>
      <w:hyperlink r:id="rId210" w:history="1">
        <w:r w:rsidRPr="00C1535B">
          <w:rPr>
            <w:rStyle w:val="Hyperlink"/>
            <w:rFonts w:asciiTheme="minorBidi" w:hAnsiTheme="minorBidi" w:cstheme="minorBidi"/>
            <w:color w:val="auto"/>
          </w:rPr>
          <w:t>https://www.rsis.edu.sg/rsis-publication/rsis/global-data-governance-asean-pathways-to-regional-and-international-leadership/</w:t>
        </w:r>
      </w:hyperlink>
    </w:p>
  </w:footnote>
  <w:footnote w:id="230">
    <w:p w14:paraId="0F573239" w14:textId="77777777" w:rsidR="004F7E02" w:rsidRPr="00C1535B" w:rsidRDefault="004F7E02" w:rsidP="004F7E02">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ISO (2019) ISO/IEC 27701:2019, </w:t>
      </w:r>
      <w:hyperlink r:id="rId211" w:history="1">
        <w:r w:rsidRPr="00C1535B">
          <w:rPr>
            <w:rStyle w:val="Hyperlink"/>
            <w:rFonts w:asciiTheme="minorBidi" w:hAnsiTheme="minorBidi" w:cstheme="minorBidi"/>
            <w:color w:val="auto"/>
          </w:rPr>
          <w:t>https://www.iso.org/standard/71670.html</w:t>
        </w:r>
      </w:hyperlink>
      <w:r w:rsidRPr="00C1535B">
        <w:rPr>
          <w:rFonts w:asciiTheme="minorBidi" w:hAnsiTheme="minorBidi" w:cstheme="minorBidi"/>
        </w:rPr>
        <w:t xml:space="preserve"> </w:t>
      </w:r>
    </w:p>
  </w:footnote>
  <w:footnote w:id="231">
    <w:p w14:paraId="1CC3DFF2" w14:textId="5AA8E648" w:rsidR="00F50692" w:rsidRPr="00C1535B" w:rsidRDefault="00F50692" w:rsidP="00F50692">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(2021) </w:t>
      </w:r>
      <w:r w:rsidR="00033309">
        <w:rPr>
          <w:rFonts w:asciiTheme="minorBidi" w:hAnsiTheme="minorBidi" w:cstheme="minorBidi"/>
        </w:rPr>
        <w:t>Khung quản lý dữ liệu ASEAN</w:t>
      </w:r>
      <w:r w:rsidRPr="00C1535B">
        <w:rPr>
          <w:rFonts w:asciiTheme="minorBidi" w:hAnsiTheme="minorBidi" w:cstheme="minorBidi"/>
        </w:rPr>
        <w:t xml:space="preserve">, </w:t>
      </w:r>
      <w:hyperlink r:id="rId212" w:history="1">
        <w:r w:rsidRPr="00C1535B">
          <w:rPr>
            <w:rStyle w:val="Hyperlink"/>
            <w:rFonts w:asciiTheme="minorBidi" w:hAnsiTheme="minorBidi" w:cstheme="minorBidi"/>
            <w:color w:val="auto"/>
          </w:rPr>
          <w:t>https://asean.org/wp-content/uploads/2021/08/ASEAN-Data-Management-Framework.pdf</w:t>
        </w:r>
      </w:hyperlink>
    </w:p>
  </w:footnote>
  <w:footnote w:id="232">
    <w:p w14:paraId="37A00B94" w14:textId="544242E9" w:rsidR="001B29F6" w:rsidRPr="00C1535B" w:rsidRDefault="001B29F6" w:rsidP="001B29F6">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Deloitte (2018) </w:t>
      </w:r>
      <w:r w:rsidR="0032574C">
        <w:rPr>
          <w:rFonts w:asciiTheme="minorBidi" w:hAnsiTheme="minorBidi" w:cstheme="minorBidi"/>
        </w:rPr>
        <w:t>Bảo vệ dữ liệu và quyền riêng tư trong ASEAN: Ý nghĩa như thế nào cho các doanh nghiệp trong khu vực</w:t>
      </w:r>
      <w:r w:rsidRPr="00C1535B">
        <w:rPr>
          <w:rFonts w:asciiTheme="minorBidi" w:hAnsiTheme="minorBidi" w:cstheme="minorBidi"/>
        </w:rPr>
        <w:t xml:space="preserve">, </w:t>
      </w:r>
      <w:hyperlink r:id="rId213" w:history="1">
        <w:r w:rsidRPr="00C1535B">
          <w:rPr>
            <w:rStyle w:val="Hyperlink"/>
            <w:rFonts w:asciiTheme="minorBidi" w:hAnsiTheme="minorBidi" w:cstheme="minorBidi"/>
            <w:color w:val="auto"/>
          </w:rPr>
          <w:t>https://www2.deloitte.com/content/dam/Deloitte/sg/Documents/risk/sea-risk-data-privacy-in-asean.pdf</w:t>
        </w:r>
      </w:hyperlink>
    </w:p>
  </w:footnote>
  <w:footnote w:id="233">
    <w:p w14:paraId="11FB1F22" w14:textId="4019C576" w:rsidR="001B29F6" w:rsidRPr="00C1535B" w:rsidRDefault="001B29F6" w:rsidP="001B29F6">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1F7407">
        <w:rPr>
          <w:rFonts w:asciiTheme="minorBidi" w:hAnsiTheme="minorBidi" w:cstheme="minorBidi"/>
        </w:rPr>
        <w:t>Hội nghị Bộ trưởng Thông tin và Truyền thông ASEAN</w:t>
      </w:r>
      <w:r w:rsidRPr="00C1535B">
        <w:rPr>
          <w:rFonts w:asciiTheme="minorBidi" w:hAnsiTheme="minorBidi" w:cstheme="minorBidi"/>
        </w:rPr>
        <w:t xml:space="preserve"> (2016) </w:t>
      </w:r>
      <w:r w:rsidR="0032574C">
        <w:rPr>
          <w:rFonts w:asciiTheme="minorBidi" w:hAnsiTheme="minorBidi" w:cstheme="minorBidi"/>
        </w:rPr>
        <w:t>Khung bảo vệ dữ liệu cá nhân</w:t>
      </w:r>
      <w:r w:rsidRPr="00C1535B">
        <w:rPr>
          <w:rFonts w:asciiTheme="minorBidi" w:hAnsiTheme="minorBidi" w:cstheme="minorBidi"/>
        </w:rPr>
        <w:t xml:space="preserve">, </w:t>
      </w:r>
      <w:hyperlink r:id="rId214" w:history="1">
        <w:r w:rsidRPr="00C1535B">
          <w:rPr>
            <w:rStyle w:val="Hyperlink"/>
            <w:rFonts w:asciiTheme="minorBidi" w:hAnsiTheme="minorBidi" w:cstheme="minorBidi"/>
            <w:color w:val="auto"/>
          </w:rPr>
          <w:t>https://asean.org/wp-content/uploads/2012/05/10-ASEAN-Framework-on-PDP.pdf</w:t>
        </w:r>
      </w:hyperlink>
    </w:p>
  </w:footnote>
  <w:footnote w:id="234">
    <w:p w14:paraId="2F621044" w14:textId="7206770B" w:rsidR="0022118D" w:rsidRPr="00C1535B" w:rsidRDefault="0022118D" w:rsidP="0022118D">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(2021) </w:t>
      </w:r>
      <w:r w:rsidR="00033309">
        <w:rPr>
          <w:rFonts w:asciiTheme="minorBidi" w:hAnsiTheme="minorBidi" w:cstheme="minorBidi"/>
        </w:rPr>
        <w:t>Khung quản lý dữ liệu ASEAN</w:t>
      </w:r>
      <w:r w:rsidRPr="00C1535B">
        <w:rPr>
          <w:rFonts w:asciiTheme="minorBidi" w:hAnsiTheme="minorBidi" w:cstheme="minorBidi"/>
        </w:rPr>
        <w:t xml:space="preserve">, </w:t>
      </w:r>
      <w:hyperlink r:id="rId215" w:history="1">
        <w:r w:rsidRPr="00C1535B">
          <w:rPr>
            <w:rStyle w:val="Hyperlink"/>
            <w:rFonts w:asciiTheme="minorBidi" w:hAnsiTheme="minorBidi" w:cstheme="minorBidi"/>
            <w:color w:val="auto"/>
          </w:rPr>
          <w:t>https://asean.org/wp-content/uploads/2021/08/ASEAN-Data-Management-Framework.pdf</w:t>
        </w:r>
      </w:hyperlink>
    </w:p>
  </w:footnote>
  <w:footnote w:id="235">
    <w:p w14:paraId="35665CBF" w14:textId="311EBD1B" w:rsidR="0022118D" w:rsidRPr="00C1535B" w:rsidRDefault="0022118D" w:rsidP="0022118D">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(2021) </w:t>
      </w:r>
      <w:r w:rsidR="00033309">
        <w:rPr>
          <w:rFonts w:asciiTheme="minorBidi" w:hAnsiTheme="minorBidi" w:cstheme="minorBidi"/>
        </w:rPr>
        <w:t>Khung quản lý dữ liệu ASEAN</w:t>
      </w:r>
      <w:r w:rsidRPr="00C1535B">
        <w:rPr>
          <w:rFonts w:asciiTheme="minorBidi" w:hAnsiTheme="minorBidi" w:cstheme="minorBidi"/>
        </w:rPr>
        <w:t xml:space="preserve">, </w:t>
      </w:r>
      <w:hyperlink r:id="rId216" w:history="1">
        <w:r w:rsidRPr="00C1535B">
          <w:rPr>
            <w:rStyle w:val="Hyperlink"/>
            <w:rFonts w:asciiTheme="minorBidi" w:hAnsiTheme="minorBidi" w:cstheme="minorBidi"/>
            <w:color w:val="auto"/>
          </w:rPr>
          <w:t>https://asean.org/wp-content/uploads/2021/08/ASEAN-Data-Management-Framework.pdf</w:t>
        </w:r>
      </w:hyperlink>
    </w:p>
  </w:footnote>
  <w:footnote w:id="236">
    <w:p w14:paraId="1110B369" w14:textId="6B18A82E" w:rsidR="000817D2" w:rsidRPr="00C1535B" w:rsidRDefault="000817D2" w:rsidP="000817D2">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Robinson, L., K. Kizawa</w:t>
      </w:r>
      <w:r w:rsidR="001F7407">
        <w:rPr>
          <w:rFonts w:asciiTheme="minorBidi" w:hAnsiTheme="minorBidi" w:cstheme="minorBidi"/>
        </w:rPr>
        <w:t xml:space="preserve"> và </w:t>
      </w:r>
      <w:r w:rsidRPr="00C1535B">
        <w:rPr>
          <w:rFonts w:asciiTheme="minorBidi" w:hAnsiTheme="minorBidi" w:cstheme="minorBidi"/>
        </w:rPr>
        <w:t xml:space="preserve">E. Ronchi (2021) </w:t>
      </w:r>
      <w:r w:rsidR="0032574C">
        <w:rPr>
          <w:rFonts w:asciiTheme="minorBidi" w:hAnsiTheme="minorBidi" w:cstheme="minorBidi"/>
        </w:rPr>
        <w:t>Khả năng tương tác của các khung bảo vệ dữ liệu và quyền riêng tư</w:t>
      </w:r>
      <w:r w:rsidRPr="00C1535B">
        <w:rPr>
          <w:rFonts w:asciiTheme="minorBidi" w:hAnsiTheme="minorBidi" w:cstheme="minorBidi"/>
        </w:rPr>
        <w:t xml:space="preserve">, </w:t>
      </w:r>
      <w:hyperlink r:id="rId217" w:history="1">
        <w:r w:rsidRPr="00C1535B">
          <w:rPr>
            <w:rStyle w:val="Hyperlink"/>
            <w:rFonts w:asciiTheme="minorBidi" w:hAnsiTheme="minorBidi" w:cstheme="minorBidi"/>
            <w:color w:val="auto"/>
          </w:rPr>
          <w:t>https://goingdigital.oecd.org/data/notes/No21_ToolkitNote_PrivacyDataInteroperability.pdf</w:t>
        </w:r>
      </w:hyperlink>
    </w:p>
  </w:footnote>
  <w:footnote w:id="237">
    <w:p w14:paraId="64C9F34F" w14:textId="157D5927" w:rsidR="000817D2" w:rsidRPr="00C1535B" w:rsidRDefault="000817D2" w:rsidP="000817D2">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IMDA (2024) </w:t>
      </w:r>
      <w:r w:rsidR="0032574C">
        <w:rPr>
          <w:rFonts w:asciiTheme="minorBidi" w:hAnsiTheme="minorBidi" w:cstheme="minorBidi"/>
        </w:rPr>
        <w:t>Hệ thống quy định quyền riêng tư xuyên biên giới APEC</w:t>
      </w:r>
      <w:r w:rsidRPr="00C1535B">
        <w:rPr>
          <w:rFonts w:asciiTheme="minorBidi" w:hAnsiTheme="minorBidi" w:cstheme="minorBidi"/>
        </w:rPr>
        <w:t xml:space="preserve">, </w:t>
      </w:r>
      <w:hyperlink r:id="rId218" w:history="1">
        <w:r w:rsidRPr="00C1535B">
          <w:rPr>
            <w:rStyle w:val="Hyperlink"/>
            <w:rFonts w:asciiTheme="minorBidi" w:hAnsiTheme="minorBidi" w:cstheme="minorBidi"/>
            <w:color w:val="auto"/>
          </w:rPr>
          <w:t>https://www.imda.gov.sg/how-we-can-help/cross-border-privacy-rules-certification</w:t>
        </w:r>
      </w:hyperlink>
    </w:p>
  </w:footnote>
  <w:footnote w:id="238">
    <w:p w14:paraId="5F89CF47" w14:textId="6F13851D" w:rsidR="00FD2118" w:rsidRPr="00C1535B" w:rsidRDefault="00FD2118" w:rsidP="00FD2118">
      <w:pPr>
        <w:pStyle w:val="FootnoteText"/>
        <w:jc w:val="left"/>
        <w:rPr>
          <w:rFonts w:asciiTheme="minorBidi" w:hAnsiTheme="minorBidi" w:cstheme="minorBidi"/>
          <w:b/>
        </w:rPr>
      </w:pPr>
      <w:r w:rsidRPr="00C1535B">
        <w:rPr>
          <w:rStyle w:val="FootnoteReference"/>
          <w:rFonts w:asciiTheme="minorBidi" w:hAnsiTheme="minorBidi" w:cstheme="minorBidi"/>
        </w:rPr>
        <w:footnoteRef/>
      </w:r>
      <w:r w:rsidRPr="00C1535B">
        <w:rPr>
          <w:rFonts w:asciiTheme="minorBidi" w:hAnsiTheme="minorBidi" w:cstheme="minorBidi"/>
        </w:rPr>
        <w:t xml:space="preserve"> PDPC (2023) </w:t>
      </w:r>
      <w:r w:rsidR="00477436">
        <w:rPr>
          <w:rFonts w:asciiTheme="minorBidi" w:hAnsiTheme="minorBidi" w:cstheme="minorBidi"/>
        </w:rPr>
        <w:t>Khác biệt giữa các tổ chức và trung gian dữ liệu và Tại sao nó lại quan trọng</w:t>
      </w:r>
      <w:r w:rsidRPr="00C1535B">
        <w:rPr>
          <w:rFonts w:asciiTheme="minorBidi" w:hAnsiTheme="minorBidi" w:cstheme="minorBidi"/>
          <w:b/>
        </w:rPr>
        <w:t xml:space="preserve">, </w:t>
      </w:r>
      <w:hyperlink r:id="rId219" w:history="1">
        <w:r w:rsidRPr="00C1535B">
          <w:rPr>
            <w:rStyle w:val="Hyperlink"/>
            <w:rFonts w:asciiTheme="minorBidi" w:hAnsiTheme="minorBidi" w:cstheme="minorBidi"/>
            <w:color w:val="auto"/>
          </w:rPr>
          <w:t>https://www.pdpc.gov.sg/the-distinction-between-organisations-and-data-intermediaries-and-why-it-matters</w:t>
        </w:r>
      </w:hyperlink>
    </w:p>
  </w:footnote>
  <w:footnote w:id="239">
    <w:p w14:paraId="51F1C310" w14:textId="636B505A" w:rsidR="002E6921" w:rsidRPr="00C1535B" w:rsidRDefault="002E6921" w:rsidP="002E6921">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477436">
        <w:rPr>
          <w:rFonts w:asciiTheme="minorBidi" w:hAnsiTheme="minorBidi" w:cstheme="minorBidi"/>
        </w:rPr>
        <w:t>Hội nghị Bộ trưởng Số ASEAN</w:t>
      </w:r>
      <w:r w:rsidRPr="00C1535B">
        <w:rPr>
          <w:rFonts w:asciiTheme="minorBidi" w:hAnsiTheme="minorBidi" w:cstheme="minorBidi"/>
        </w:rPr>
        <w:t xml:space="preserve"> (ADGMIN) (2021) </w:t>
      </w:r>
      <w:r w:rsidR="00477436">
        <w:rPr>
          <w:rFonts w:asciiTheme="minorBidi" w:hAnsiTheme="minorBidi" w:cstheme="minorBidi"/>
        </w:rPr>
        <w:t>Hội nghị Bộ trưởng Số ASEAN</w:t>
      </w:r>
      <w:r w:rsidRPr="00C1535B">
        <w:rPr>
          <w:rFonts w:asciiTheme="minorBidi" w:hAnsiTheme="minorBidi" w:cstheme="minorBidi"/>
        </w:rPr>
        <w:t xml:space="preserve"> (ADGMIN) </w:t>
      </w:r>
      <w:r w:rsidR="00477436">
        <w:rPr>
          <w:rFonts w:asciiTheme="minorBidi" w:hAnsiTheme="minorBidi" w:cstheme="minorBidi"/>
        </w:rPr>
        <w:t xml:space="preserve">lần thứ nhất năm </w:t>
      </w:r>
      <w:r w:rsidRPr="00C1535B">
        <w:rPr>
          <w:rFonts w:asciiTheme="minorBidi" w:hAnsiTheme="minorBidi" w:cstheme="minorBidi"/>
        </w:rPr>
        <w:t xml:space="preserve">2020 </w:t>
      </w:r>
      <w:r w:rsidR="00477436">
        <w:rPr>
          <w:rFonts w:asciiTheme="minorBidi" w:hAnsiTheme="minorBidi" w:cstheme="minorBidi"/>
        </w:rPr>
        <w:t>Hướng dẫn triển khai Khung quản lý dữ liệu ASEAN</w:t>
      </w:r>
      <w:r w:rsidR="001F7407">
        <w:rPr>
          <w:rFonts w:asciiTheme="minorBidi" w:hAnsiTheme="minorBidi" w:cstheme="minorBidi"/>
        </w:rPr>
        <w:t xml:space="preserve"> và </w:t>
      </w:r>
      <w:r w:rsidR="00477436">
        <w:rPr>
          <w:rFonts w:asciiTheme="minorBidi" w:hAnsiTheme="minorBidi" w:cstheme="minorBidi"/>
        </w:rPr>
        <w:t>Cơ chế dòng chảy dữ liệu xuyên biên giới ASEAN</w:t>
      </w:r>
      <w:r w:rsidRPr="00C1535B">
        <w:rPr>
          <w:rFonts w:asciiTheme="minorBidi" w:hAnsiTheme="minorBidi" w:cstheme="minorBidi"/>
        </w:rPr>
        <w:t xml:space="preserve">, </w:t>
      </w:r>
      <w:hyperlink r:id="rId220" w:history="1">
        <w:r w:rsidRPr="00C1535B">
          <w:rPr>
            <w:rStyle w:val="Hyperlink"/>
            <w:rFonts w:asciiTheme="minorBidi" w:hAnsiTheme="minorBidi" w:cstheme="minorBidi"/>
            <w:color w:val="auto"/>
          </w:rPr>
          <w:t>https://asean.org/wp-content/uploads/2021/08/Implementing-Guidelines-for-ASEAN-Data-Management-Framework-and-Cross-Border-Data-Flows.pdf</w:t>
        </w:r>
      </w:hyperlink>
    </w:p>
  </w:footnote>
  <w:footnote w:id="240">
    <w:p w14:paraId="05D3742E" w14:textId="3A6A63BF" w:rsidR="002E6921" w:rsidRPr="00C1535B" w:rsidRDefault="002E6921" w:rsidP="002E6921">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477436">
        <w:rPr>
          <w:rFonts w:asciiTheme="minorBidi" w:hAnsiTheme="minorBidi" w:cstheme="minorBidi"/>
        </w:rPr>
        <w:t>Hội nghị Bộ trưởng Số ASEAN</w:t>
      </w:r>
      <w:r w:rsidRPr="00C1535B">
        <w:rPr>
          <w:rFonts w:asciiTheme="minorBidi" w:hAnsiTheme="minorBidi" w:cstheme="minorBidi"/>
        </w:rPr>
        <w:t xml:space="preserve"> (ADGMIN) (2021) </w:t>
      </w:r>
      <w:r w:rsidR="00477436">
        <w:rPr>
          <w:rFonts w:asciiTheme="minorBidi" w:hAnsiTheme="minorBidi" w:cstheme="minorBidi"/>
        </w:rPr>
        <w:t>Hội nghị Bộ trưởng Số ASEAN</w:t>
      </w:r>
      <w:r w:rsidRPr="00C1535B">
        <w:rPr>
          <w:rFonts w:asciiTheme="minorBidi" w:hAnsiTheme="minorBidi" w:cstheme="minorBidi"/>
        </w:rPr>
        <w:t xml:space="preserve"> (ADGMIN) </w:t>
      </w:r>
      <w:r w:rsidR="00477436">
        <w:rPr>
          <w:rFonts w:asciiTheme="minorBidi" w:hAnsiTheme="minorBidi" w:cstheme="minorBidi"/>
        </w:rPr>
        <w:t xml:space="preserve">lần thứ nhất năm </w:t>
      </w:r>
      <w:r w:rsidRPr="00C1535B">
        <w:rPr>
          <w:rFonts w:asciiTheme="minorBidi" w:hAnsiTheme="minorBidi" w:cstheme="minorBidi"/>
        </w:rPr>
        <w:t xml:space="preserve">2020 </w:t>
      </w:r>
      <w:r w:rsidR="00477436">
        <w:rPr>
          <w:rFonts w:asciiTheme="minorBidi" w:hAnsiTheme="minorBidi" w:cstheme="minorBidi"/>
        </w:rPr>
        <w:t>Hướng dẫn triển khai Khung quản lý dữ liệu ASEAN</w:t>
      </w:r>
      <w:r w:rsidR="001F7407">
        <w:rPr>
          <w:rFonts w:asciiTheme="minorBidi" w:hAnsiTheme="minorBidi" w:cstheme="minorBidi"/>
        </w:rPr>
        <w:t xml:space="preserve"> và </w:t>
      </w:r>
      <w:r w:rsidR="00477436">
        <w:rPr>
          <w:rFonts w:asciiTheme="minorBidi" w:hAnsiTheme="minorBidi" w:cstheme="minorBidi"/>
        </w:rPr>
        <w:t>Cơ chế dòng chảy dữ liệu xuyên biên giới ASEAN</w:t>
      </w:r>
      <w:r w:rsidRPr="00C1535B">
        <w:rPr>
          <w:rFonts w:asciiTheme="minorBidi" w:hAnsiTheme="minorBidi" w:cstheme="minorBidi"/>
        </w:rPr>
        <w:t xml:space="preserve">, </w:t>
      </w:r>
      <w:hyperlink r:id="rId221" w:history="1">
        <w:r w:rsidRPr="00C1535B">
          <w:rPr>
            <w:rStyle w:val="Hyperlink"/>
            <w:rFonts w:asciiTheme="minorBidi" w:hAnsiTheme="minorBidi" w:cstheme="minorBidi"/>
            <w:color w:val="auto"/>
          </w:rPr>
          <w:t>https://asean.org/wp-content/uploads/2021/08/Implementing-Guidelines-for-ASEAN-Data-Management-Framework-and-Cross-Border-Data-Flows.pdf</w:t>
        </w:r>
      </w:hyperlink>
    </w:p>
  </w:footnote>
  <w:footnote w:id="241">
    <w:p w14:paraId="7CE3D831" w14:textId="462FBCBC" w:rsidR="002E6921" w:rsidRPr="00C1535B" w:rsidRDefault="002E6921" w:rsidP="002E6921">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PDPC (2021) </w:t>
      </w:r>
      <w:r w:rsidR="00477436">
        <w:rPr>
          <w:rFonts w:asciiTheme="minorBidi" w:hAnsiTheme="minorBidi" w:cstheme="minorBidi"/>
        </w:rPr>
        <w:t>Hướng dẫn sử dụng điều khoản hợp đồng mẫu ASEAN cho các dòng chảy dữ liệu xuyên biên giới ở Singapore</w:t>
      </w:r>
      <w:r w:rsidRPr="00C1535B">
        <w:rPr>
          <w:rFonts w:asciiTheme="minorBidi" w:hAnsiTheme="minorBidi" w:cstheme="minorBidi"/>
        </w:rPr>
        <w:t>,</w:t>
      </w:r>
      <w:hyperlink r:id="rId222" w:history="1">
        <w:r w:rsidRPr="00C1535B">
          <w:rPr>
            <w:rStyle w:val="Hyperlink"/>
            <w:rFonts w:asciiTheme="minorBidi" w:hAnsiTheme="minorBidi" w:cstheme="minorBidi"/>
            <w:color w:val="auto"/>
          </w:rPr>
          <w:t>https://www.pdpc.gov.sg/-/media/files/pdpc/pdf-files/practical-guidance-provided-by-pdpc/singapore-guidance-for-use-of-asean-mccs---010921.pdf</w:t>
        </w:r>
      </w:hyperlink>
    </w:p>
  </w:footnote>
  <w:footnote w:id="242">
    <w:p w14:paraId="4BB1692D" w14:textId="77777777" w:rsidR="002E6921" w:rsidRPr="00C1535B" w:rsidRDefault="002E6921" w:rsidP="002E6921">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Pr="00C1535B">
        <w:rPr>
          <w:rStyle w:val="Hyperlink"/>
          <w:rFonts w:asciiTheme="minorBidi" w:hAnsiTheme="minorBidi" w:cstheme="minorBidi"/>
          <w:color w:val="auto"/>
        </w:rPr>
        <w:t xml:space="preserve"> https://www.pdpc.gov.sg/news-and-events/announcements/2020/06/singapore-now-recognises-apec-cbpr-and-prp-certifications-under-pdpa; https://privacy.gov.ph/ph-joins-apec-privacy-system/</w:t>
      </w:r>
    </w:p>
  </w:footnote>
  <w:footnote w:id="243">
    <w:p w14:paraId="2261E559" w14:textId="4C67173A" w:rsidR="00E127AD" w:rsidRPr="00C1535B" w:rsidRDefault="00E127AD" w:rsidP="00E127AD">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DD16FC">
        <w:rPr>
          <w:rFonts w:asciiTheme="minorBidi" w:hAnsiTheme="minorBidi" w:cstheme="minorBidi"/>
        </w:rPr>
        <w:t>Dựa trên các nhận định thu được từ tọa đàm trực tuyến với doanh nghiệp “Việc tiếp nhận và triển khai các tiêu chuẩn thương mại số trong ASEAN” được tổ chức ngày 3 tháng 7 năm 2024, với sự tham gia của chín chuyên gia đến từ khu vực doanh nghiệp thuộc sáu và Thái Lan</w:t>
      </w:r>
      <w:r w:rsidRPr="00C1535B">
        <w:rPr>
          <w:rFonts w:asciiTheme="minorBidi" w:hAnsiTheme="minorBidi" w:cstheme="minorBidi"/>
        </w:rPr>
        <w:t>.</w:t>
      </w:r>
    </w:p>
  </w:footnote>
  <w:footnote w:id="244">
    <w:p w14:paraId="72253BDB" w14:textId="77777777" w:rsidR="00E127AD" w:rsidRPr="00C1535B" w:rsidRDefault="00E127AD" w:rsidP="00E127AD">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IMDA (2024) Privacy Enhancing Technology Sandboxes, </w:t>
      </w:r>
      <w:hyperlink r:id="rId223" w:history="1">
        <w:r w:rsidRPr="00C1535B">
          <w:rPr>
            <w:rStyle w:val="Hyperlink"/>
            <w:rFonts w:asciiTheme="minorBidi" w:hAnsiTheme="minorBidi" w:cstheme="minorBidi"/>
            <w:color w:val="auto"/>
          </w:rPr>
          <w:t>https://www.imda.gov.sg/how-we-can-help/data-innovation/privacy-enhancing-technology-sandboxes</w:t>
        </w:r>
      </w:hyperlink>
      <w:r w:rsidRPr="00C1535B">
        <w:rPr>
          <w:rFonts w:asciiTheme="minorBidi" w:hAnsiTheme="minorBidi" w:cstheme="minorBidi"/>
        </w:rPr>
        <w:t xml:space="preserve"> </w:t>
      </w:r>
    </w:p>
  </w:footnote>
  <w:footnote w:id="245">
    <w:p w14:paraId="129D1143" w14:textId="2775A766" w:rsidR="00942C66" w:rsidRPr="00C1535B" w:rsidRDefault="00942C66" w:rsidP="00942C66">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FB6362">
        <w:rPr>
          <w:rFonts w:asciiTheme="minorBidi" w:hAnsiTheme="minorBidi" w:cstheme="minorBidi"/>
        </w:rPr>
        <w:t>Ban Thư ký ASEAN</w:t>
      </w:r>
      <w:r w:rsidRPr="00C1535B">
        <w:rPr>
          <w:rFonts w:asciiTheme="minorBidi" w:hAnsiTheme="minorBidi" w:cstheme="minorBidi"/>
        </w:rPr>
        <w:t xml:space="preserve"> (2023) </w:t>
      </w:r>
      <w:r w:rsidR="00852DEA">
        <w:rPr>
          <w:rFonts w:asciiTheme="minorBidi" w:hAnsiTheme="minorBidi" w:cstheme="minorBidi"/>
        </w:rPr>
        <w:t>Nghiên cứu về Hiệp định khung ASEAN về Kinh tế số (DEFA)</w:t>
      </w:r>
    </w:p>
  </w:footnote>
  <w:footnote w:id="246">
    <w:p w14:paraId="73240B52" w14:textId="10BFEBA5" w:rsidR="00942C66" w:rsidRPr="00C1535B" w:rsidRDefault="00942C66" w:rsidP="00942C66">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FB6362">
        <w:rPr>
          <w:rFonts w:asciiTheme="minorBidi" w:hAnsiTheme="minorBidi" w:cstheme="minorBidi"/>
        </w:rPr>
        <w:t>Ban Thư ký ASEAN</w:t>
      </w:r>
      <w:r w:rsidRPr="00C1535B">
        <w:rPr>
          <w:rFonts w:asciiTheme="minorBidi" w:hAnsiTheme="minorBidi" w:cstheme="minorBidi"/>
        </w:rPr>
        <w:t xml:space="preserve"> (2023) </w:t>
      </w:r>
      <w:r w:rsidR="00852DEA">
        <w:rPr>
          <w:rFonts w:asciiTheme="minorBidi" w:hAnsiTheme="minorBidi" w:cstheme="minorBidi"/>
        </w:rPr>
        <w:t>Nghiên cứu về Hiệp định khung ASEAN về Kinh tế số (DEFA)</w:t>
      </w:r>
    </w:p>
  </w:footnote>
  <w:footnote w:id="247">
    <w:p w14:paraId="49B7AC5B" w14:textId="5E4D48E6" w:rsidR="00942C66" w:rsidRPr="00C1535B" w:rsidRDefault="00942C66" w:rsidP="00942C66">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Deloitte (n.d.) </w:t>
      </w:r>
      <w:r w:rsidR="00477436">
        <w:rPr>
          <w:rFonts w:asciiTheme="minorBidi" w:hAnsiTheme="minorBidi" w:cstheme="minorBidi"/>
        </w:rPr>
        <w:t>Bảo vệ bí mật cá nhân và dữ liệu ở ASEAN</w:t>
      </w:r>
      <w:r w:rsidRPr="00C1535B">
        <w:rPr>
          <w:rFonts w:asciiTheme="minorBidi" w:hAnsiTheme="minorBidi" w:cstheme="minorBidi"/>
        </w:rPr>
        <w:t xml:space="preserve">, </w:t>
      </w:r>
      <w:hyperlink r:id="rId224" w:history="1">
        <w:r w:rsidRPr="00C1535B">
          <w:rPr>
            <w:rStyle w:val="Hyperlink"/>
            <w:rFonts w:asciiTheme="minorBidi" w:hAnsiTheme="minorBidi" w:cstheme="minorBidi"/>
            <w:color w:val="auto"/>
          </w:rPr>
          <w:t>https://www2.deloitte.com/id/en/pages/risk/articles/data-privacy-in-asean.html</w:t>
        </w:r>
      </w:hyperlink>
      <w:r w:rsidRPr="00C1535B">
        <w:rPr>
          <w:rFonts w:asciiTheme="minorBidi" w:hAnsiTheme="minorBidi" w:cstheme="minorBidi"/>
        </w:rPr>
        <w:t xml:space="preserve"> </w:t>
      </w:r>
    </w:p>
  </w:footnote>
  <w:footnote w:id="248">
    <w:p w14:paraId="7AD04C54" w14:textId="4BE63272" w:rsidR="004231EC" w:rsidRPr="00C1535B" w:rsidRDefault="004231EC" w:rsidP="004231EC">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Kearney (2020) </w:t>
      </w:r>
      <w:r w:rsidR="00477436">
        <w:rPr>
          <w:rFonts w:asciiTheme="minorBidi" w:hAnsiTheme="minorBidi" w:cstheme="minorBidi"/>
        </w:rPr>
        <w:t>Cuộc đua đến tương lai: trí thông minh nhân tạo ở ĐNA</w:t>
      </w:r>
      <w:r w:rsidRPr="00C1535B">
        <w:rPr>
          <w:rFonts w:asciiTheme="minorBidi" w:hAnsiTheme="minorBidi" w:cstheme="minorBidi"/>
        </w:rPr>
        <w:t xml:space="preserve">, </w:t>
      </w:r>
      <w:hyperlink r:id="rId225" w:anchor=":~:text=AI%20has%20the%20potential%20to%20add%20%241%20trillion%20to%20the%20region's%20GDP&amp;text=Our%20study%20reveals%20that%20AI,trillion%20(see%20figure%204)" w:history="1">
        <w:r w:rsidRPr="00C1535B">
          <w:rPr>
            <w:rStyle w:val="Hyperlink"/>
            <w:rFonts w:asciiTheme="minorBidi" w:hAnsiTheme="minorBidi" w:cstheme="minorBidi"/>
            <w:color w:val="auto"/>
          </w:rPr>
          <w:t>https://www.middle-east.kearney.com/service/digital-analytics/article/-/insights/racing-toward-the-future-artificial-intelligence-in-southeast-asia</w:t>
        </w:r>
      </w:hyperlink>
      <w:r w:rsidRPr="00C1535B">
        <w:rPr>
          <w:rFonts w:asciiTheme="minorBidi" w:hAnsiTheme="minorBidi" w:cstheme="minorBidi"/>
        </w:rPr>
        <w:t xml:space="preserve"> </w:t>
      </w:r>
    </w:p>
  </w:footnote>
  <w:footnote w:id="249">
    <w:p w14:paraId="43A18D8E" w14:textId="0A5E109E" w:rsidR="00FE2DF7" w:rsidRPr="00C1535B" w:rsidRDefault="00FE2DF7" w:rsidP="00FE2DF7">
      <w:pPr>
        <w:pStyle w:val="FootnoteText"/>
        <w:rPr>
          <w:rFonts w:asciiTheme="minorBidi" w:hAnsiTheme="minorBidi" w:cstheme="minorBidi"/>
        </w:rPr>
      </w:pPr>
      <w:r w:rsidRPr="00C1535B">
        <w:rPr>
          <w:rStyle w:val="FootnoteReference"/>
          <w:rFonts w:asciiTheme="minorBidi" w:hAnsiTheme="minorBidi" w:cstheme="minorBidi"/>
        </w:rPr>
        <w:footnoteRef/>
      </w:r>
      <w:r w:rsidR="00477436">
        <w:rPr>
          <w:rFonts w:asciiTheme="minorBidi" w:hAnsiTheme="minorBidi" w:cstheme="minorBidi"/>
        </w:rPr>
        <w:t>Báo cáo IDC</w:t>
      </w:r>
      <w:r w:rsidRPr="00C1535B">
        <w:rPr>
          <w:rFonts w:asciiTheme="minorBidi" w:hAnsiTheme="minorBidi" w:cstheme="minorBidi"/>
        </w:rPr>
        <w:t xml:space="preserve"> (2022) </w:t>
      </w:r>
      <w:r w:rsidR="00477436">
        <w:rPr>
          <w:rFonts w:asciiTheme="minorBidi" w:hAnsiTheme="minorBidi" w:cstheme="minorBidi"/>
        </w:rPr>
        <w:t>Chi tiêu số ở châu Á Thái Bình Dương đạt 1.05 triệu tỷ USD vào 2026</w:t>
      </w:r>
      <w:r w:rsidRPr="00C1535B">
        <w:rPr>
          <w:rFonts w:asciiTheme="minorBidi" w:hAnsiTheme="minorBidi" w:cstheme="minorBidi"/>
        </w:rPr>
        <w:t xml:space="preserve">, </w:t>
      </w:r>
      <w:hyperlink r:id="rId226" w:history="1">
        <w:r w:rsidRPr="00C1535B">
          <w:rPr>
            <w:rStyle w:val="Hyperlink"/>
            <w:rFonts w:asciiTheme="minorBidi" w:hAnsiTheme="minorBidi" w:cstheme="minorBidi"/>
            <w:color w:val="auto"/>
          </w:rPr>
          <w:t>https://www.idc.com/getdoc.jsp?containerId=prAP49852022</w:t>
        </w:r>
      </w:hyperlink>
      <w:r w:rsidRPr="00C1535B">
        <w:rPr>
          <w:rFonts w:asciiTheme="minorBidi" w:hAnsiTheme="minorBidi" w:cstheme="minorBidi"/>
        </w:rPr>
        <w:t xml:space="preserve"> </w:t>
      </w:r>
    </w:p>
  </w:footnote>
  <w:footnote w:id="250">
    <w:p w14:paraId="617E42FE" w14:textId="329BF056" w:rsidR="0081310A" w:rsidRPr="00C1535B" w:rsidRDefault="0081310A" w:rsidP="0077700F">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FB6362">
        <w:rPr>
          <w:rFonts w:asciiTheme="minorBidi" w:hAnsiTheme="minorBidi" w:cstheme="minorBidi"/>
        </w:rPr>
        <w:t>Ban Thư ký ASEAN</w:t>
      </w:r>
      <w:r w:rsidRPr="00C1535B">
        <w:rPr>
          <w:rFonts w:asciiTheme="minorBidi" w:hAnsiTheme="minorBidi" w:cstheme="minorBidi"/>
        </w:rPr>
        <w:t xml:space="preserve"> (2023) </w:t>
      </w:r>
      <w:r w:rsidR="00852DEA">
        <w:rPr>
          <w:rFonts w:asciiTheme="minorBidi" w:hAnsiTheme="minorBidi" w:cstheme="minorBidi"/>
        </w:rPr>
        <w:t>Nghiên cứu về Hiệp định khung ASEAN về Kinh tế số (DEFA)</w:t>
      </w:r>
    </w:p>
  </w:footnote>
  <w:footnote w:id="251">
    <w:p w14:paraId="57B99719" w14:textId="01BF8854" w:rsidR="004D5FC6" w:rsidRPr="00C1535B" w:rsidRDefault="004D5FC6" w:rsidP="004D5FC6">
      <w:pPr>
        <w:spacing w:after="0"/>
        <w:jc w:val="left"/>
        <w:rPr>
          <w:rFonts w:asciiTheme="minorBidi" w:hAnsiTheme="minorBidi" w:cstheme="minorBidi"/>
          <w:sz w:val="20"/>
          <w:szCs w:val="20"/>
        </w:rPr>
      </w:pPr>
      <w:r w:rsidRPr="00C1535B">
        <w:rPr>
          <w:rStyle w:val="FootnoteReference"/>
          <w:rFonts w:asciiTheme="minorBidi" w:hAnsiTheme="minorBidi" w:cstheme="minorBidi"/>
          <w:sz w:val="20"/>
          <w:szCs w:val="20"/>
        </w:rPr>
        <w:footnoteRef/>
      </w:r>
      <w:r w:rsidRPr="00C1535B">
        <w:rPr>
          <w:rFonts w:asciiTheme="minorBidi" w:hAnsiTheme="minorBidi" w:cstheme="minorBidi"/>
          <w:sz w:val="20"/>
          <w:szCs w:val="20"/>
        </w:rPr>
        <w:t xml:space="preserve"> ASEAN (2024) </w:t>
      </w:r>
      <w:r w:rsidR="00477436">
        <w:rPr>
          <w:rFonts w:asciiTheme="minorBidi" w:hAnsiTheme="minorBidi" w:cstheme="minorBidi"/>
          <w:sz w:val="20"/>
          <w:szCs w:val="20"/>
        </w:rPr>
        <w:t>Hướng dẫn ASEAN về quản lý và đạo đức AI</w:t>
      </w:r>
      <w:r w:rsidRPr="00C1535B">
        <w:rPr>
          <w:rFonts w:asciiTheme="minorBidi" w:hAnsiTheme="minorBidi" w:cstheme="minorBidi"/>
          <w:sz w:val="20"/>
          <w:szCs w:val="20"/>
        </w:rPr>
        <w:t xml:space="preserve">, </w:t>
      </w:r>
      <w:hyperlink r:id="rId227" w:history="1">
        <w:r w:rsidRPr="00C1535B">
          <w:rPr>
            <w:rStyle w:val="Hyperlink"/>
            <w:rFonts w:asciiTheme="minorBidi" w:hAnsiTheme="minorBidi" w:cstheme="minorBidi"/>
            <w:color w:val="auto"/>
            <w:sz w:val="20"/>
            <w:szCs w:val="20"/>
          </w:rPr>
          <w:t>https://asean.org/book/asean-guide-on-ai-governance-and-ethics/</w:t>
        </w:r>
      </w:hyperlink>
    </w:p>
  </w:footnote>
  <w:footnote w:id="252">
    <w:p w14:paraId="3DCA644A" w14:textId="2B2838E3" w:rsidR="004D5FC6" w:rsidRPr="00C1535B" w:rsidRDefault="004D5FC6" w:rsidP="004D5FC6">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(2021) </w:t>
      </w:r>
      <w:r w:rsidR="00477436">
        <w:rPr>
          <w:rFonts w:asciiTheme="minorBidi" w:hAnsiTheme="minorBidi" w:cstheme="minorBidi"/>
        </w:rPr>
        <w:t>Chuỗi khối cho quản lý số - cách của ASEAN</w:t>
      </w:r>
      <w:r w:rsidRPr="00C1535B">
        <w:rPr>
          <w:rFonts w:asciiTheme="minorBidi" w:hAnsiTheme="minorBidi" w:cstheme="minorBidi"/>
        </w:rPr>
        <w:t xml:space="preserve">, </w:t>
      </w:r>
      <w:hyperlink r:id="rId228" w:history="1">
        <w:r w:rsidRPr="00C1535B">
          <w:rPr>
            <w:rStyle w:val="Hyperlink"/>
            <w:rFonts w:asciiTheme="minorBidi" w:hAnsiTheme="minorBidi" w:cstheme="minorBidi"/>
            <w:color w:val="auto"/>
          </w:rPr>
          <w:t>https://asean.org/wp-content/uploads/2022/02/02-Final-_-Report-Blockchain-for-digital-government.pdf</w:t>
        </w:r>
      </w:hyperlink>
      <w:r w:rsidRPr="00C1535B">
        <w:rPr>
          <w:rFonts w:asciiTheme="minorBidi" w:hAnsiTheme="minorBidi" w:cstheme="minorBidi"/>
        </w:rPr>
        <w:t xml:space="preserve"> </w:t>
      </w:r>
    </w:p>
  </w:footnote>
  <w:footnote w:id="253">
    <w:p w14:paraId="740BD722" w14:textId="54D2DA0E" w:rsidR="003E1C9E" w:rsidRPr="00C1535B" w:rsidRDefault="003E1C9E" w:rsidP="003E1C9E">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(2015) </w:t>
      </w:r>
      <w:r w:rsidR="00477436">
        <w:rPr>
          <w:rFonts w:asciiTheme="minorBidi" w:hAnsiTheme="minorBidi" w:cstheme="minorBidi"/>
        </w:rPr>
        <w:t>Xác định kỹ năng ICT ASEAN và tham chiếu chứng chỉ</w:t>
      </w:r>
      <w:r w:rsidRPr="00C1535B">
        <w:rPr>
          <w:rFonts w:asciiTheme="minorBidi" w:hAnsiTheme="minorBidi" w:cstheme="minorBidi"/>
        </w:rPr>
        <w:t xml:space="preserve">, </w:t>
      </w:r>
      <w:hyperlink r:id="rId229" w:history="1">
        <w:r w:rsidRPr="00C1535B">
          <w:rPr>
            <w:rStyle w:val="Hyperlink"/>
            <w:rFonts w:asciiTheme="minorBidi" w:hAnsiTheme="minorBidi" w:cstheme="minorBidi"/>
            <w:color w:val="auto"/>
          </w:rPr>
          <w:t>https://asean.org/wp-content/uploads/2015/12/Edited-ICT-3.pdf</w:t>
        </w:r>
      </w:hyperlink>
      <w:r w:rsidRPr="00C1535B">
        <w:rPr>
          <w:rFonts w:asciiTheme="minorBidi" w:hAnsiTheme="minorBidi" w:cstheme="minorBidi"/>
        </w:rPr>
        <w:t xml:space="preserve"> </w:t>
      </w:r>
    </w:p>
  </w:footnote>
  <w:footnote w:id="254">
    <w:p w14:paraId="4C0D2880" w14:textId="3AD3A396" w:rsidR="003E1C9E" w:rsidRPr="00C1535B" w:rsidRDefault="003E1C9E" w:rsidP="003E1C9E">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(2020) </w:t>
      </w:r>
      <w:r w:rsidR="00477436">
        <w:rPr>
          <w:rFonts w:asciiTheme="minorBidi" w:hAnsiTheme="minorBidi" w:cstheme="minorBidi"/>
        </w:rPr>
        <w:t>Kế hoạch tổng thể ICT ASEAN 2020</w:t>
      </w:r>
      <w:r w:rsidRPr="00C1535B">
        <w:rPr>
          <w:rFonts w:asciiTheme="minorBidi" w:hAnsiTheme="minorBidi" w:cstheme="minorBidi"/>
        </w:rPr>
        <w:t xml:space="preserve">, </w:t>
      </w:r>
      <w:hyperlink r:id="rId230" w:history="1">
        <w:r w:rsidRPr="00C1535B">
          <w:rPr>
            <w:rStyle w:val="Hyperlink"/>
            <w:rFonts w:asciiTheme="minorBidi" w:hAnsiTheme="minorBidi" w:cstheme="minorBidi"/>
            <w:color w:val="auto"/>
          </w:rPr>
          <w:t>https://asean.org/wp-content/uploads/images/2015/November/ICT/15b%20--%20AIM%202020_Publication_Final.pdf</w:t>
        </w:r>
      </w:hyperlink>
      <w:r w:rsidRPr="00C1535B">
        <w:rPr>
          <w:rFonts w:asciiTheme="minorBidi" w:hAnsiTheme="minorBidi" w:cstheme="minorBidi"/>
        </w:rPr>
        <w:t xml:space="preserve"> </w:t>
      </w:r>
    </w:p>
  </w:footnote>
  <w:footnote w:id="255">
    <w:p w14:paraId="29E1FBDB" w14:textId="4865222F" w:rsidR="0069298A" w:rsidRPr="00C1535B" w:rsidRDefault="0069298A" w:rsidP="0069298A">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D809A1">
        <w:rPr>
          <w:rFonts w:asciiTheme="minorBidi" w:hAnsiTheme="minorBidi" w:cstheme="minorBidi"/>
        </w:rPr>
        <w:t>Ủy ban châu Âu</w:t>
      </w:r>
      <w:r w:rsidRPr="00C1535B">
        <w:rPr>
          <w:rFonts w:asciiTheme="minorBidi" w:hAnsiTheme="minorBidi" w:cstheme="minorBidi"/>
        </w:rPr>
        <w:t xml:space="preserve"> (2024) </w:t>
      </w:r>
      <w:r w:rsidR="00477436">
        <w:rPr>
          <w:rFonts w:asciiTheme="minorBidi" w:hAnsiTheme="minorBidi" w:cstheme="minorBidi"/>
        </w:rPr>
        <w:t>Các tiêu chuẩn chuỗi khối</w:t>
      </w:r>
      <w:r w:rsidRPr="00C1535B">
        <w:rPr>
          <w:rFonts w:asciiTheme="minorBidi" w:hAnsiTheme="minorBidi" w:cstheme="minorBidi"/>
        </w:rPr>
        <w:t xml:space="preserve">, </w:t>
      </w:r>
      <w:hyperlink r:id="rId231" w:history="1">
        <w:r w:rsidRPr="00C1535B">
          <w:rPr>
            <w:rStyle w:val="Hyperlink"/>
            <w:rFonts w:asciiTheme="minorBidi" w:hAnsiTheme="minorBidi" w:cstheme="minorBidi"/>
            <w:color w:val="auto"/>
          </w:rPr>
          <w:t>https://digital-strategy.ec.europa.eu/en/policies/blockchain-standards</w:t>
        </w:r>
      </w:hyperlink>
      <w:r w:rsidRPr="00C1535B">
        <w:rPr>
          <w:rFonts w:asciiTheme="minorBidi" w:hAnsiTheme="minorBidi" w:cstheme="minorBidi"/>
        </w:rPr>
        <w:t xml:space="preserve"> </w:t>
      </w:r>
    </w:p>
  </w:footnote>
  <w:footnote w:id="256">
    <w:p w14:paraId="687C189D" w14:textId="15D46B47" w:rsidR="0069298A" w:rsidRPr="00C1535B" w:rsidRDefault="0069298A" w:rsidP="0069298A">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Bowergroup Asia (2024) </w:t>
      </w:r>
      <w:r w:rsidR="00BA52B1">
        <w:rPr>
          <w:rFonts w:asciiTheme="minorBidi" w:hAnsiTheme="minorBidi" w:cstheme="minorBidi"/>
        </w:rPr>
        <w:t>ASEAN thông báo hướng dẫn về quản lý và đạo đức AI</w:t>
      </w:r>
      <w:r w:rsidRPr="00C1535B">
        <w:rPr>
          <w:rFonts w:asciiTheme="minorBidi" w:hAnsiTheme="minorBidi" w:cstheme="minorBidi"/>
        </w:rPr>
        <w:t xml:space="preserve">, </w:t>
      </w:r>
      <w:hyperlink r:id="rId232" w:history="1">
        <w:r w:rsidRPr="00C1535B">
          <w:rPr>
            <w:rStyle w:val="Hyperlink"/>
            <w:rFonts w:asciiTheme="minorBidi" w:hAnsiTheme="minorBidi" w:cstheme="minorBidi"/>
            <w:color w:val="auto"/>
          </w:rPr>
          <w:t>https://bowergroupasia.com/asean-announces-much-anticipated-guide-on-ai-governance-and-ethics/</w:t>
        </w:r>
      </w:hyperlink>
      <w:r w:rsidRPr="00C1535B">
        <w:rPr>
          <w:rFonts w:asciiTheme="minorBidi" w:hAnsiTheme="minorBidi" w:cstheme="minorBidi"/>
        </w:rPr>
        <w:t xml:space="preserve"> </w:t>
      </w:r>
    </w:p>
  </w:footnote>
  <w:footnote w:id="257">
    <w:p w14:paraId="2F76E1F4" w14:textId="7B6DAAE8" w:rsidR="0069298A" w:rsidRPr="00C1535B" w:rsidRDefault="0069298A" w:rsidP="0069298A">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UNESCO (2024) </w:t>
      </w:r>
      <w:r w:rsidR="00BA52B1">
        <w:rPr>
          <w:rFonts w:asciiTheme="minorBidi" w:hAnsiTheme="minorBidi" w:cstheme="minorBidi"/>
        </w:rPr>
        <w:t>Áp dụng quản lý và đổi mới AI thông qua các tiêu chuẩn</w:t>
      </w:r>
      <w:r w:rsidRPr="00C1535B">
        <w:rPr>
          <w:rFonts w:asciiTheme="minorBidi" w:hAnsiTheme="minorBidi" w:cstheme="minorBidi"/>
        </w:rPr>
        <w:t xml:space="preserve">, </w:t>
      </w:r>
      <w:hyperlink r:id="rId233" w:history="1">
        <w:r w:rsidRPr="00C1535B">
          <w:rPr>
            <w:rStyle w:val="Hyperlink"/>
            <w:rFonts w:asciiTheme="minorBidi" w:hAnsiTheme="minorBidi" w:cstheme="minorBidi"/>
            <w:color w:val="auto"/>
          </w:rPr>
          <w:t>https://www.unesco.org/en/articles/enabling-ai-governance-and-innovation-through-standards</w:t>
        </w:r>
      </w:hyperlink>
      <w:r w:rsidRPr="00C1535B">
        <w:rPr>
          <w:rFonts w:asciiTheme="minorBidi" w:hAnsiTheme="minorBidi" w:cstheme="minorBidi"/>
        </w:rPr>
        <w:t xml:space="preserve"> </w:t>
      </w:r>
    </w:p>
  </w:footnote>
  <w:footnote w:id="258">
    <w:p w14:paraId="170C2C34" w14:textId="225616F4" w:rsidR="0081310A" w:rsidRPr="00C1535B" w:rsidRDefault="0081310A" w:rsidP="00A56968">
      <w:pPr>
        <w:spacing w:after="0"/>
        <w:jc w:val="left"/>
        <w:rPr>
          <w:rFonts w:asciiTheme="minorBidi" w:hAnsiTheme="minorBidi" w:cstheme="minorBidi"/>
          <w:sz w:val="20"/>
          <w:szCs w:val="20"/>
        </w:rPr>
      </w:pPr>
      <w:r w:rsidRPr="00C1535B">
        <w:rPr>
          <w:rStyle w:val="FootnoteReference"/>
          <w:rFonts w:asciiTheme="minorBidi" w:hAnsiTheme="minorBidi" w:cstheme="minorBidi"/>
          <w:sz w:val="20"/>
          <w:szCs w:val="20"/>
        </w:rPr>
        <w:footnoteRef/>
      </w:r>
      <w:r w:rsidRPr="00C1535B">
        <w:rPr>
          <w:rFonts w:asciiTheme="minorBidi" w:hAnsiTheme="minorBidi" w:cstheme="minorBidi"/>
          <w:sz w:val="20"/>
          <w:szCs w:val="20"/>
        </w:rPr>
        <w:t xml:space="preserve"> ISO (2021) </w:t>
      </w:r>
      <w:r w:rsidR="00BA52B1">
        <w:rPr>
          <w:rFonts w:asciiTheme="minorBidi" w:hAnsiTheme="minorBidi" w:cstheme="minorBidi"/>
          <w:sz w:val="20"/>
          <w:szCs w:val="20"/>
        </w:rPr>
        <w:t>Tiêu chuẩn ISO</w:t>
      </w:r>
      <w:r w:rsidRPr="00C1535B">
        <w:rPr>
          <w:rFonts w:asciiTheme="minorBidi" w:hAnsiTheme="minorBidi" w:cstheme="minorBidi"/>
          <w:sz w:val="20"/>
          <w:szCs w:val="20"/>
        </w:rPr>
        <w:t xml:space="preserve">/IEC JTC 1/SC 42, </w:t>
      </w:r>
      <w:hyperlink r:id="rId234" w:history="1">
        <w:r w:rsidRPr="00C1535B">
          <w:rPr>
            <w:rStyle w:val="Hyperlink"/>
            <w:rFonts w:asciiTheme="minorBidi" w:hAnsiTheme="minorBidi" w:cstheme="minorBidi"/>
            <w:color w:val="auto"/>
            <w:sz w:val="20"/>
            <w:szCs w:val="20"/>
          </w:rPr>
          <w:t>www.iso.org/committee/6794475/x/catalogue/p/1/u/1/w/0/d/0</w:t>
        </w:r>
      </w:hyperlink>
      <w:r w:rsidRPr="00C1535B">
        <w:rPr>
          <w:rFonts w:asciiTheme="minorBidi" w:hAnsiTheme="minorBidi" w:cstheme="minorBidi"/>
          <w:sz w:val="20"/>
          <w:szCs w:val="20"/>
        </w:rPr>
        <w:t xml:space="preserve"> </w:t>
      </w:r>
    </w:p>
  </w:footnote>
  <w:footnote w:id="259">
    <w:p w14:paraId="1D640257" w14:textId="49D8802D" w:rsidR="008E438D" w:rsidRPr="00C1535B" w:rsidRDefault="008E438D" w:rsidP="008E438D">
      <w:pPr>
        <w:spacing w:after="0"/>
        <w:jc w:val="left"/>
        <w:rPr>
          <w:rFonts w:asciiTheme="minorBidi" w:hAnsiTheme="minorBidi" w:cstheme="minorBidi"/>
          <w:sz w:val="20"/>
          <w:szCs w:val="20"/>
        </w:rPr>
      </w:pPr>
      <w:r w:rsidRPr="00C1535B">
        <w:rPr>
          <w:rStyle w:val="FootnoteReference"/>
          <w:rFonts w:asciiTheme="minorBidi" w:hAnsiTheme="minorBidi" w:cstheme="minorBidi"/>
          <w:sz w:val="20"/>
          <w:szCs w:val="20"/>
        </w:rPr>
        <w:footnoteRef/>
      </w:r>
      <w:r w:rsidRPr="00C1535B">
        <w:rPr>
          <w:rFonts w:asciiTheme="minorBidi" w:hAnsiTheme="minorBidi" w:cstheme="minorBidi"/>
          <w:sz w:val="20"/>
          <w:szCs w:val="20"/>
        </w:rPr>
        <w:t xml:space="preserve"> ISO (2020) ISO/IEC TR 24028:2020 - </w:t>
      </w:r>
      <w:r w:rsidR="00BA52B1">
        <w:rPr>
          <w:rFonts w:asciiTheme="minorBidi" w:hAnsiTheme="minorBidi" w:cstheme="minorBidi"/>
          <w:sz w:val="20"/>
          <w:szCs w:val="20"/>
        </w:rPr>
        <w:t>Tổng quan tính đáng tin cạy của trí thông minh nhân tạo</w:t>
      </w:r>
      <w:r w:rsidRPr="00C1535B">
        <w:rPr>
          <w:rFonts w:asciiTheme="minorBidi" w:hAnsiTheme="minorBidi" w:cstheme="minorBidi"/>
          <w:sz w:val="20"/>
          <w:szCs w:val="20"/>
        </w:rPr>
        <w:t>,</w:t>
      </w:r>
      <w:hyperlink r:id="rId235">
        <w:r w:rsidRPr="00C1535B">
          <w:rPr>
            <w:rFonts w:asciiTheme="minorBidi" w:hAnsiTheme="minorBidi" w:cstheme="minorBidi"/>
            <w:sz w:val="20"/>
            <w:szCs w:val="20"/>
          </w:rPr>
          <w:t xml:space="preserve"> </w:t>
        </w:r>
      </w:hyperlink>
      <w:hyperlink r:id="rId236" w:history="1">
        <w:r w:rsidRPr="00C1535B">
          <w:rPr>
            <w:rStyle w:val="Hyperlink"/>
            <w:rFonts w:asciiTheme="minorBidi" w:hAnsiTheme="minorBidi" w:cstheme="minorBidi"/>
            <w:color w:val="auto"/>
            <w:sz w:val="20"/>
            <w:szCs w:val="20"/>
          </w:rPr>
          <w:t>www.iso.org/standard/77608.html</w:t>
        </w:r>
      </w:hyperlink>
      <w:r w:rsidRPr="00C1535B">
        <w:rPr>
          <w:rFonts w:asciiTheme="minorBidi" w:hAnsiTheme="minorBidi" w:cstheme="minorBidi"/>
          <w:sz w:val="20"/>
          <w:szCs w:val="20"/>
        </w:rPr>
        <w:t xml:space="preserve"> </w:t>
      </w:r>
    </w:p>
  </w:footnote>
  <w:footnote w:id="260">
    <w:p w14:paraId="0F157B69" w14:textId="127899CB" w:rsidR="008E438D" w:rsidRPr="00C1535B" w:rsidRDefault="008E438D" w:rsidP="008E438D">
      <w:pPr>
        <w:spacing w:after="0"/>
        <w:jc w:val="left"/>
        <w:rPr>
          <w:rFonts w:asciiTheme="minorBidi" w:hAnsiTheme="minorBidi" w:cstheme="minorBidi"/>
          <w:sz w:val="20"/>
          <w:szCs w:val="20"/>
        </w:rPr>
      </w:pPr>
      <w:r w:rsidRPr="00C1535B">
        <w:rPr>
          <w:rStyle w:val="FootnoteReference"/>
          <w:rFonts w:asciiTheme="minorBidi" w:hAnsiTheme="minorBidi" w:cstheme="minorBidi"/>
          <w:sz w:val="20"/>
          <w:szCs w:val="20"/>
        </w:rPr>
        <w:footnoteRef/>
      </w:r>
      <w:r w:rsidRPr="00C1535B">
        <w:rPr>
          <w:rFonts w:asciiTheme="minorBidi" w:hAnsiTheme="minorBidi" w:cstheme="minorBidi"/>
          <w:sz w:val="20"/>
          <w:szCs w:val="20"/>
        </w:rPr>
        <w:t xml:space="preserve"> ISO (2021) ISO/IEC TR 24027:2021 - </w:t>
      </w:r>
      <w:r w:rsidR="00BA52B1">
        <w:rPr>
          <w:rFonts w:asciiTheme="minorBidi" w:hAnsiTheme="minorBidi" w:cstheme="minorBidi"/>
          <w:sz w:val="20"/>
          <w:szCs w:val="20"/>
        </w:rPr>
        <w:t>Sai số trong hệ thống AI và việc ra quyết định có AI hỗ trợ</w:t>
      </w:r>
      <w:r w:rsidRPr="00C1535B">
        <w:rPr>
          <w:rFonts w:asciiTheme="minorBidi" w:hAnsiTheme="minorBidi" w:cstheme="minorBidi"/>
          <w:sz w:val="20"/>
          <w:szCs w:val="20"/>
        </w:rPr>
        <w:t>,</w:t>
      </w:r>
      <w:hyperlink r:id="rId237">
        <w:r w:rsidRPr="00C1535B">
          <w:rPr>
            <w:rFonts w:asciiTheme="minorBidi" w:hAnsiTheme="minorBidi" w:cstheme="minorBidi"/>
            <w:sz w:val="20"/>
            <w:szCs w:val="20"/>
          </w:rPr>
          <w:t xml:space="preserve"> </w:t>
        </w:r>
      </w:hyperlink>
      <w:r w:rsidRPr="00C1535B">
        <w:rPr>
          <w:rFonts w:asciiTheme="minorBidi" w:hAnsiTheme="minorBidi" w:cstheme="minorBidi"/>
          <w:sz w:val="20"/>
          <w:szCs w:val="20"/>
        </w:rPr>
        <w:t xml:space="preserve"> </w:t>
      </w:r>
      <w:hyperlink r:id="rId238" w:history="1">
        <w:r w:rsidRPr="00C1535B">
          <w:rPr>
            <w:rStyle w:val="Hyperlink"/>
            <w:rFonts w:asciiTheme="minorBidi" w:hAnsiTheme="minorBidi" w:cstheme="minorBidi"/>
            <w:color w:val="auto"/>
            <w:sz w:val="20"/>
            <w:szCs w:val="20"/>
          </w:rPr>
          <w:t>www.iso.org/standard/77607.html</w:t>
        </w:r>
      </w:hyperlink>
      <w:r w:rsidRPr="00C1535B">
        <w:rPr>
          <w:rFonts w:asciiTheme="minorBidi" w:hAnsiTheme="minorBidi" w:cstheme="minorBidi"/>
          <w:sz w:val="20"/>
          <w:szCs w:val="20"/>
        </w:rPr>
        <w:t xml:space="preserve"> </w:t>
      </w:r>
    </w:p>
  </w:footnote>
  <w:footnote w:id="261">
    <w:p w14:paraId="12523ADA" w14:textId="796C2C6A" w:rsidR="008E438D" w:rsidRPr="00C1535B" w:rsidRDefault="008E438D" w:rsidP="008E438D">
      <w:pPr>
        <w:spacing w:after="0"/>
        <w:jc w:val="left"/>
        <w:rPr>
          <w:rFonts w:asciiTheme="minorBidi" w:hAnsiTheme="minorBidi" w:cstheme="minorBidi"/>
          <w:sz w:val="20"/>
          <w:szCs w:val="20"/>
        </w:rPr>
      </w:pPr>
      <w:r w:rsidRPr="00C1535B">
        <w:rPr>
          <w:rStyle w:val="FootnoteReference"/>
          <w:rFonts w:asciiTheme="minorBidi" w:hAnsiTheme="minorBidi" w:cstheme="minorBidi"/>
          <w:sz w:val="20"/>
          <w:szCs w:val="20"/>
        </w:rPr>
        <w:footnoteRef/>
      </w:r>
      <w:r w:rsidRPr="00C1535B">
        <w:rPr>
          <w:rFonts w:asciiTheme="minorBidi" w:hAnsiTheme="minorBidi" w:cstheme="minorBidi"/>
          <w:sz w:val="20"/>
          <w:szCs w:val="20"/>
        </w:rPr>
        <w:t xml:space="preserve"> ISO (2023) </w:t>
      </w:r>
      <w:r w:rsidR="00BA52B1">
        <w:rPr>
          <w:rFonts w:asciiTheme="minorBidi" w:hAnsiTheme="minorBidi" w:cstheme="minorBidi"/>
          <w:sz w:val="20"/>
          <w:szCs w:val="20"/>
        </w:rPr>
        <w:t>Bộ Tiêu chuẩn ISO</w:t>
      </w:r>
      <w:r w:rsidRPr="00C1535B">
        <w:rPr>
          <w:rFonts w:asciiTheme="minorBidi" w:hAnsiTheme="minorBidi" w:cstheme="minorBidi"/>
          <w:sz w:val="20"/>
          <w:szCs w:val="20"/>
        </w:rPr>
        <w:t xml:space="preserve">/IEC JTC 1/SC 42, </w:t>
      </w:r>
      <w:hyperlink r:id="rId239" w:history="1">
        <w:r w:rsidRPr="00C1535B">
          <w:rPr>
            <w:rStyle w:val="Hyperlink"/>
            <w:rFonts w:asciiTheme="minorBidi" w:hAnsiTheme="minorBidi" w:cstheme="minorBidi"/>
            <w:color w:val="auto"/>
            <w:sz w:val="20"/>
            <w:szCs w:val="20"/>
          </w:rPr>
          <w:t>www.iso.org/committee/6794475/x/catalogue</w:t>
        </w:r>
      </w:hyperlink>
      <w:r w:rsidRPr="00C1535B">
        <w:rPr>
          <w:rFonts w:asciiTheme="minorBidi" w:hAnsiTheme="minorBidi" w:cstheme="minorBidi"/>
          <w:sz w:val="20"/>
          <w:szCs w:val="20"/>
        </w:rPr>
        <w:t xml:space="preserve"> </w:t>
      </w:r>
    </w:p>
  </w:footnote>
  <w:footnote w:id="262">
    <w:p w14:paraId="1D28B025" w14:textId="66BC8690" w:rsidR="00B84D04" w:rsidRPr="00B7347A" w:rsidRDefault="00B84D04" w:rsidP="00B84D04">
      <w:pPr>
        <w:spacing w:after="0"/>
        <w:jc w:val="left"/>
        <w:rPr>
          <w:rFonts w:asciiTheme="minorBidi" w:hAnsiTheme="minorBidi" w:cstheme="minorBidi"/>
          <w:sz w:val="20"/>
          <w:szCs w:val="20"/>
          <w:lang w:val="fr-FR"/>
        </w:rPr>
      </w:pPr>
      <w:r w:rsidRPr="00C1535B">
        <w:rPr>
          <w:rStyle w:val="FootnoteReference"/>
          <w:rFonts w:asciiTheme="minorBidi" w:hAnsiTheme="minorBidi" w:cstheme="minorBidi"/>
          <w:sz w:val="20"/>
          <w:szCs w:val="20"/>
        </w:rPr>
        <w:footnoteRef/>
      </w:r>
      <w:r w:rsidRPr="00B7347A">
        <w:rPr>
          <w:rFonts w:asciiTheme="minorBidi" w:hAnsiTheme="minorBidi" w:cstheme="minorBidi"/>
          <w:sz w:val="20"/>
          <w:szCs w:val="20"/>
          <w:lang w:val="fr-FR"/>
        </w:rPr>
        <w:t xml:space="preserve"> ISO (2023) ISO/IEC JTC 1/SC 42 </w:t>
      </w:r>
      <w:r w:rsidR="00BA52B1">
        <w:rPr>
          <w:rFonts w:asciiTheme="minorBidi" w:hAnsiTheme="minorBidi" w:cstheme="minorBidi"/>
          <w:sz w:val="20"/>
          <w:szCs w:val="20"/>
          <w:lang w:val="fr-FR"/>
        </w:rPr>
        <w:t>Trí tuệ nhân tạo</w:t>
      </w:r>
      <w:r w:rsidRPr="00B7347A">
        <w:rPr>
          <w:rFonts w:asciiTheme="minorBidi" w:hAnsiTheme="minorBidi" w:cstheme="minorBidi"/>
          <w:sz w:val="20"/>
          <w:szCs w:val="20"/>
          <w:lang w:val="fr-FR"/>
        </w:rPr>
        <w:t xml:space="preserve">, </w:t>
      </w:r>
      <w:hyperlink r:id="rId240" w:history="1">
        <w:r w:rsidRPr="00B7347A">
          <w:rPr>
            <w:rStyle w:val="Hyperlink"/>
            <w:rFonts w:asciiTheme="minorBidi" w:hAnsiTheme="minorBidi" w:cstheme="minorBidi"/>
            <w:color w:val="auto"/>
            <w:sz w:val="20"/>
            <w:szCs w:val="20"/>
            <w:lang w:val="fr-FR"/>
          </w:rPr>
          <w:t>www.iso.org/committee/6794475/x/catalogue/p/0/u/1/w/0/d/0</w:t>
        </w:r>
      </w:hyperlink>
      <w:r w:rsidRPr="00B7347A">
        <w:rPr>
          <w:rFonts w:asciiTheme="minorBidi" w:hAnsiTheme="minorBidi" w:cstheme="minorBidi"/>
          <w:sz w:val="20"/>
          <w:szCs w:val="20"/>
          <w:lang w:val="fr-FR"/>
        </w:rPr>
        <w:t xml:space="preserve"> </w:t>
      </w:r>
    </w:p>
  </w:footnote>
  <w:footnote w:id="263">
    <w:p w14:paraId="6A2193FA" w14:textId="170046D0" w:rsidR="001B4FF4" w:rsidRPr="00C1535B" w:rsidRDefault="001B4FF4" w:rsidP="001B4FF4">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ISO (2023) ISO/IEC 42001:2023 - </w:t>
      </w:r>
      <w:r w:rsidR="00BA52B1">
        <w:rPr>
          <w:rFonts w:asciiTheme="minorBidi" w:hAnsiTheme="minorBidi" w:cstheme="minorBidi"/>
        </w:rPr>
        <w:t>Hệ thống quản lý Trí tuệ nhân tạo</w:t>
      </w:r>
      <w:r w:rsidRPr="00C1535B">
        <w:rPr>
          <w:rFonts w:asciiTheme="minorBidi" w:hAnsiTheme="minorBidi" w:cstheme="minorBidi"/>
        </w:rPr>
        <w:t xml:space="preserve">, </w:t>
      </w:r>
      <w:hyperlink r:id="rId241" w:history="1">
        <w:r w:rsidRPr="00C1535B">
          <w:rPr>
            <w:rStyle w:val="Hyperlink"/>
            <w:rFonts w:asciiTheme="minorBidi" w:hAnsiTheme="minorBidi" w:cstheme="minorBidi"/>
            <w:color w:val="auto"/>
          </w:rPr>
          <w:t>www.iso.org/standard/81230.html</w:t>
        </w:r>
      </w:hyperlink>
      <w:r w:rsidRPr="00C1535B">
        <w:rPr>
          <w:rFonts w:asciiTheme="minorBidi" w:hAnsiTheme="minorBidi" w:cstheme="minorBidi"/>
        </w:rPr>
        <w:t xml:space="preserve"> </w:t>
      </w:r>
    </w:p>
  </w:footnote>
  <w:footnote w:id="264">
    <w:p w14:paraId="513F02CE" w14:textId="342C055A" w:rsidR="001B4FF4" w:rsidRPr="0032683D" w:rsidRDefault="001B4FF4" w:rsidP="001B4FF4">
      <w:pPr>
        <w:pStyle w:val="FootnoteText"/>
        <w:jc w:val="left"/>
      </w:pPr>
      <w:r>
        <w:rPr>
          <w:rStyle w:val="FootnoteReference"/>
        </w:rPr>
        <w:footnoteRef/>
      </w:r>
      <w:r>
        <w:t xml:space="preserve"> ISO (2024) ISO/IEC 5339:2024 </w:t>
      </w:r>
      <w:r w:rsidR="00BA52B1">
        <w:t>Công nghệ thông tin</w:t>
      </w:r>
      <w:r w:rsidRPr="00AC4008">
        <w:t xml:space="preserve"> — </w:t>
      </w:r>
      <w:r w:rsidR="00BA52B1">
        <w:t>Trí tuệ nhân tạo</w:t>
      </w:r>
      <w:r w:rsidRPr="00AC4008">
        <w:t xml:space="preserve"> — </w:t>
      </w:r>
      <w:r w:rsidR="00BA52B1">
        <w:t>Hướng dẫn AI</w:t>
      </w:r>
      <w:r w:rsidRPr="00AC4008">
        <w:t xml:space="preserve"> applications,</w:t>
      </w:r>
      <w:r w:rsidRPr="00AC4008">
        <w:rPr>
          <w:u w:val="single"/>
        </w:rPr>
        <w:t>https</w:t>
      </w:r>
      <w:r w:rsidRPr="0032683D">
        <w:t>://www.iso.org/obp/ui/en/#iso:std:iso-iec:5339:ed-1:v1:en</w:t>
      </w:r>
    </w:p>
  </w:footnote>
  <w:footnote w:id="265">
    <w:p w14:paraId="417F66D3" w14:textId="13D7B2F0" w:rsidR="00BA0743" w:rsidRPr="00C1535B" w:rsidRDefault="00BA0743" w:rsidP="00BA0743">
      <w:pPr>
        <w:spacing w:after="0"/>
        <w:jc w:val="left"/>
        <w:rPr>
          <w:rFonts w:asciiTheme="minorBidi" w:hAnsiTheme="minorBidi" w:cstheme="minorBidi"/>
          <w:sz w:val="20"/>
          <w:szCs w:val="20"/>
        </w:rPr>
      </w:pPr>
      <w:r w:rsidRPr="00C1535B">
        <w:rPr>
          <w:rStyle w:val="FootnoteReference"/>
          <w:rFonts w:asciiTheme="minorBidi" w:hAnsiTheme="minorBidi" w:cstheme="minorBidi"/>
          <w:sz w:val="20"/>
          <w:szCs w:val="20"/>
        </w:rPr>
        <w:footnoteRef/>
      </w:r>
      <w:r w:rsidRPr="00C1535B">
        <w:rPr>
          <w:rFonts w:asciiTheme="minorBidi" w:hAnsiTheme="minorBidi" w:cstheme="minorBidi"/>
          <w:sz w:val="20"/>
          <w:szCs w:val="20"/>
        </w:rPr>
        <w:t xml:space="preserve"> </w:t>
      </w:r>
      <w:r w:rsidR="00BA52B1">
        <w:rPr>
          <w:rFonts w:asciiTheme="minorBidi" w:hAnsiTheme="minorBidi" w:cstheme="minorBidi"/>
          <w:sz w:val="20"/>
          <w:szCs w:val="20"/>
        </w:rPr>
        <w:t>Lưu ý</w:t>
      </w:r>
      <w:r w:rsidRPr="00C1535B">
        <w:rPr>
          <w:rFonts w:asciiTheme="minorBidi" w:hAnsiTheme="minorBidi" w:cstheme="minorBidi"/>
          <w:sz w:val="20"/>
          <w:szCs w:val="20"/>
        </w:rPr>
        <w:t xml:space="preserve">: </w:t>
      </w:r>
      <w:r w:rsidR="00BA52B1">
        <w:rPr>
          <w:rFonts w:asciiTheme="minorBidi" w:hAnsiTheme="minorBidi" w:cstheme="minorBidi"/>
          <w:sz w:val="20"/>
          <w:szCs w:val="20"/>
        </w:rPr>
        <w:t>Các tiêu chuẩn dữ liệu là các quy định cho việc mô tả và lưu trữ dữ liệu</w:t>
      </w:r>
      <w:r w:rsidRPr="00C1535B">
        <w:rPr>
          <w:rFonts w:asciiTheme="minorBidi" w:hAnsiTheme="minorBidi" w:cstheme="minorBidi"/>
          <w:sz w:val="20"/>
          <w:szCs w:val="20"/>
        </w:rPr>
        <w:t xml:space="preserve">. </w:t>
      </w:r>
    </w:p>
  </w:footnote>
  <w:footnote w:id="266">
    <w:p w14:paraId="6F25E2F5" w14:textId="77777777" w:rsidR="00BA0743" w:rsidRPr="00C1535B" w:rsidRDefault="00BA0743" w:rsidP="00BA0743">
      <w:pPr>
        <w:spacing w:after="0"/>
        <w:jc w:val="left"/>
        <w:rPr>
          <w:rFonts w:asciiTheme="minorBidi" w:hAnsiTheme="minorBidi" w:cstheme="minorBidi"/>
          <w:sz w:val="20"/>
          <w:szCs w:val="20"/>
        </w:rPr>
      </w:pPr>
      <w:r w:rsidRPr="00C1535B">
        <w:rPr>
          <w:rStyle w:val="FootnoteReference"/>
          <w:rFonts w:asciiTheme="minorBidi" w:hAnsiTheme="minorBidi" w:cstheme="minorBidi"/>
          <w:sz w:val="20"/>
          <w:szCs w:val="20"/>
        </w:rPr>
        <w:footnoteRef/>
      </w:r>
      <w:r w:rsidRPr="00C1535B">
        <w:rPr>
          <w:rFonts w:asciiTheme="minorBidi" w:hAnsiTheme="minorBidi" w:cstheme="minorBidi"/>
          <w:sz w:val="20"/>
          <w:szCs w:val="20"/>
        </w:rPr>
        <w:t xml:space="preserve"> ISO (</w:t>
      </w:r>
      <w:r>
        <w:rPr>
          <w:rFonts w:asciiTheme="minorBidi" w:hAnsiTheme="minorBidi" w:cstheme="minorBidi"/>
          <w:sz w:val="20"/>
          <w:szCs w:val="20"/>
        </w:rPr>
        <w:t>2024</w:t>
      </w:r>
      <w:r w:rsidRPr="00C1535B">
        <w:rPr>
          <w:rFonts w:asciiTheme="minorBidi" w:hAnsiTheme="minorBidi" w:cstheme="minorBidi"/>
          <w:sz w:val="20"/>
          <w:szCs w:val="20"/>
        </w:rPr>
        <w:t>) ISO/IEC</w:t>
      </w:r>
      <w:r>
        <w:rPr>
          <w:rFonts w:asciiTheme="minorBidi" w:hAnsiTheme="minorBidi" w:cstheme="minorBidi"/>
          <w:sz w:val="20"/>
          <w:szCs w:val="20"/>
        </w:rPr>
        <w:t xml:space="preserve">5259-1:2024 </w:t>
      </w:r>
      <w:r w:rsidRPr="00C1535B">
        <w:rPr>
          <w:rFonts w:asciiTheme="minorBidi" w:hAnsiTheme="minorBidi" w:cstheme="minorBidi"/>
          <w:sz w:val="20"/>
          <w:szCs w:val="20"/>
        </w:rPr>
        <w:t xml:space="preserve">, </w:t>
      </w:r>
      <w:r w:rsidRPr="00805631">
        <w:rPr>
          <w:rFonts w:asciiTheme="minorBidi" w:hAnsiTheme="minorBidi" w:cstheme="minorBidi"/>
          <w:sz w:val="20"/>
          <w:szCs w:val="20"/>
        </w:rPr>
        <w:t>https://www.iso.org/standard/81088.html</w:t>
      </w:r>
      <w:r w:rsidRPr="00C1535B">
        <w:rPr>
          <w:rFonts w:asciiTheme="minorBidi" w:hAnsiTheme="minorBidi" w:cstheme="minorBidi"/>
          <w:sz w:val="20"/>
          <w:szCs w:val="20"/>
        </w:rPr>
        <w:t xml:space="preserve"> </w:t>
      </w:r>
    </w:p>
  </w:footnote>
  <w:footnote w:id="267">
    <w:p w14:paraId="6E13AE50" w14:textId="77777777" w:rsidR="00BA0743" w:rsidRPr="00B7347A" w:rsidRDefault="00BA0743" w:rsidP="00BA0743">
      <w:pPr>
        <w:pStyle w:val="FootnoteText"/>
        <w:jc w:val="left"/>
        <w:rPr>
          <w:rFonts w:asciiTheme="minorBidi" w:hAnsiTheme="minorBidi" w:cstheme="minorBidi"/>
          <w:lang w:val="fr-FR"/>
        </w:rPr>
      </w:pPr>
      <w:r w:rsidRPr="00C1535B">
        <w:rPr>
          <w:rStyle w:val="FootnoteReference"/>
          <w:rFonts w:asciiTheme="minorBidi" w:hAnsiTheme="minorBidi" w:cstheme="minorBidi"/>
        </w:rPr>
        <w:footnoteRef/>
      </w:r>
      <w:r w:rsidRPr="00B7347A">
        <w:rPr>
          <w:rFonts w:asciiTheme="minorBidi" w:hAnsiTheme="minorBidi" w:cstheme="minorBidi"/>
          <w:lang w:val="fr-FR"/>
        </w:rPr>
        <w:t xml:space="preserve"> NIST (2024) AI RMF, </w:t>
      </w:r>
      <w:hyperlink r:id="rId242" w:history="1">
        <w:r w:rsidRPr="00B7347A">
          <w:rPr>
            <w:rStyle w:val="Hyperlink"/>
            <w:rFonts w:asciiTheme="minorBidi" w:hAnsiTheme="minorBidi" w:cstheme="minorBidi"/>
            <w:color w:val="auto"/>
            <w:lang w:val="fr-FR"/>
          </w:rPr>
          <w:t>https://www.nist.gov/itl/ai-risk-management-framework/ai-rmf-development</w:t>
        </w:r>
      </w:hyperlink>
      <w:r w:rsidRPr="00B7347A">
        <w:rPr>
          <w:rFonts w:asciiTheme="minorBidi" w:hAnsiTheme="minorBidi" w:cstheme="minorBidi"/>
          <w:lang w:val="fr-FR"/>
        </w:rPr>
        <w:t xml:space="preserve"> </w:t>
      </w:r>
    </w:p>
  </w:footnote>
  <w:footnote w:id="268">
    <w:p w14:paraId="700F3DCD" w14:textId="033FF6FB" w:rsidR="009757CA" w:rsidRPr="00B7347A" w:rsidRDefault="009757CA" w:rsidP="009757CA">
      <w:pPr>
        <w:spacing w:after="0"/>
        <w:jc w:val="left"/>
        <w:rPr>
          <w:rFonts w:asciiTheme="minorBidi" w:hAnsiTheme="minorBidi" w:cstheme="minorBidi"/>
          <w:sz w:val="20"/>
          <w:szCs w:val="20"/>
          <w:lang w:val="fr-FR"/>
        </w:rPr>
      </w:pPr>
      <w:r w:rsidRPr="00C1535B">
        <w:rPr>
          <w:rStyle w:val="FootnoteReference"/>
          <w:rFonts w:asciiTheme="minorBidi" w:hAnsiTheme="minorBidi" w:cstheme="minorBidi"/>
          <w:sz w:val="20"/>
          <w:szCs w:val="20"/>
        </w:rPr>
        <w:footnoteRef/>
      </w:r>
      <w:r w:rsidRPr="00B7347A">
        <w:rPr>
          <w:rFonts w:asciiTheme="minorBidi" w:hAnsiTheme="minorBidi" w:cstheme="minorBidi"/>
          <w:sz w:val="20"/>
          <w:szCs w:val="20"/>
          <w:lang w:val="fr-FR"/>
        </w:rPr>
        <w:t xml:space="preserve"> </w:t>
      </w:r>
      <w:r w:rsidR="00BA52B1">
        <w:rPr>
          <w:rFonts w:asciiTheme="minorBidi" w:hAnsiTheme="minorBidi" w:cstheme="minorBidi"/>
          <w:sz w:val="20"/>
          <w:szCs w:val="20"/>
          <w:lang w:val="fr-FR"/>
        </w:rPr>
        <w:t>Hiệp hội tiêu chuẩn IEEE (n.d) Các hệ thống tự động</w:t>
      </w:r>
      <w:r w:rsidRPr="00B7347A">
        <w:rPr>
          <w:rFonts w:asciiTheme="minorBidi" w:hAnsiTheme="minorBidi" w:cstheme="minorBidi"/>
          <w:sz w:val="20"/>
          <w:szCs w:val="20"/>
          <w:lang w:val="fr-FR"/>
        </w:rPr>
        <w:t xml:space="preserve">, </w:t>
      </w:r>
      <w:hyperlink r:id="rId243" w:history="1">
        <w:r w:rsidRPr="00B7347A">
          <w:rPr>
            <w:rStyle w:val="Hyperlink"/>
            <w:rFonts w:asciiTheme="minorBidi" w:hAnsiTheme="minorBidi" w:cstheme="minorBidi"/>
            <w:color w:val="auto"/>
            <w:sz w:val="20"/>
            <w:szCs w:val="20"/>
            <w:lang w:val="fr-FR"/>
          </w:rPr>
          <w:t>https://standards.ieee.org/industry-connections/ec/autonomous-systems.html</w:t>
        </w:r>
      </w:hyperlink>
      <w:r w:rsidRPr="00B7347A">
        <w:rPr>
          <w:rFonts w:asciiTheme="minorBidi" w:hAnsiTheme="minorBidi" w:cstheme="minorBidi"/>
          <w:sz w:val="20"/>
          <w:szCs w:val="20"/>
          <w:lang w:val="fr-FR"/>
        </w:rPr>
        <w:t xml:space="preserve"> </w:t>
      </w:r>
    </w:p>
  </w:footnote>
  <w:footnote w:id="269">
    <w:p w14:paraId="160DD88F" w14:textId="641B901C" w:rsidR="009757CA" w:rsidRPr="00B7347A" w:rsidRDefault="009757CA" w:rsidP="009757CA">
      <w:pPr>
        <w:spacing w:after="0"/>
        <w:jc w:val="left"/>
        <w:rPr>
          <w:rFonts w:asciiTheme="minorBidi" w:hAnsiTheme="minorBidi" w:cstheme="minorBidi"/>
          <w:sz w:val="20"/>
          <w:szCs w:val="20"/>
          <w:lang w:val="fr-FR"/>
        </w:rPr>
      </w:pPr>
      <w:r w:rsidRPr="00C1535B">
        <w:rPr>
          <w:rStyle w:val="FootnoteReference"/>
          <w:rFonts w:asciiTheme="minorBidi" w:hAnsiTheme="minorBidi" w:cstheme="minorBidi"/>
          <w:sz w:val="20"/>
          <w:szCs w:val="20"/>
        </w:rPr>
        <w:footnoteRef/>
      </w:r>
      <w:r w:rsidRPr="00B7347A">
        <w:rPr>
          <w:rFonts w:asciiTheme="minorBidi" w:hAnsiTheme="minorBidi" w:cstheme="minorBidi"/>
          <w:sz w:val="20"/>
          <w:szCs w:val="20"/>
          <w:lang w:val="fr-FR"/>
        </w:rPr>
        <w:t xml:space="preserve"> </w:t>
      </w:r>
      <w:r w:rsidR="00BA52B1">
        <w:rPr>
          <w:rFonts w:asciiTheme="minorBidi" w:hAnsiTheme="minorBidi" w:cstheme="minorBidi"/>
          <w:sz w:val="20"/>
          <w:szCs w:val="20"/>
          <w:lang w:val="fr-FR"/>
        </w:rPr>
        <w:t>Hiệp hội tiêu chuẩn IEEE</w:t>
      </w:r>
      <w:r w:rsidRPr="00B7347A">
        <w:rPr>
          <w:rFonts w:asciiTheme="minorBidi" w:hAnsiTheme="minorBidi" w:cstheme="minorBidi"/>
          <w:sz w:val="20"/>
          <w:szCs w:val="20"/>
          <w:lang w:val="fr-FR"/>
        </w:rPr>
        <w:t xml:space="preserve"> (2021) IEEE 7000-2021, </w:t>
      </w:r>
      <w:hyperlink r:id="rId244" w:history="1">
        <w:r w:rsidRPr="00B7347A">
          <w:rPr>
            <w:rStyle w:val="Hyperlink"/>
            <w:rFonts w:asciiTheme="minorBidi" w:hAnsiTheme="minorBidi" w:cstheme="minorBidi"/>
            <w:color w:val="auto"/>
            <w:sz w:val="20"/>
            <w:szCs w:val="20"/>
            <w:lang w:val="fr-FR"/>
          </w:rPr>
          <w:t>https://standards.ieee.org/ieee/7000/6781/</w:t>
        </w:r>
      </w:hyperlink>
    </w:p>
  </w:footnote>
  <w:footnote w:id="270">
    <w:p w14:paraId="4748F0BE" w14:textId="7AD64324" w:rsidR="009757CA" w:rsidRPr="00C1535B" w:rsidRDefault="009757CA" w:rsidP="009757CA">
      <w:pPr>
        <w:spacing w:after="0"/>
        <w:jc w:val="left"/>
        <w:rPr>
          <w:rFonts w:asciiTheme="minorBidi" w:hAnsiTheme="minorBidi" w:cstheme="minorBidi"/>
          <w:sz w:val="20"/>
          <w:szCs w:val="20"/>
        </w:rPr>
      </w:pPr>
      <w:r w:rsidRPr="00C1535B">
        <w:rPr>
          <w:rStyle w:val="FootnoteReference"/>
          <w:rFonts w:asciiTheme="minorBidi" w:hAnsiTheme="minorBidi" w:cstheme="minorBidi"/>
          <w:sz w:val="20"/>
          <w:szCs w:val="20"/>
        </w:rPr>
        <w:footnoteRef/>
      </w:r>
      <w:r w:rsidRPr="00C1535B">
        <w:rPr>
          <w:rFonts w:asciiTheme="minorBidi" w:hAnsiTheme="minorBidi" w:cstheme="minorBidi"/>
          <w:sz w:val="20"/>
          <w:szCs w:val="20"/>
        </w:rPr>
        <w:t xml:space="preserve"> </w:t>
      </w:r>
      <w:r w:rsidR="00BA52B1">
        <w:rPr>
          <w:rFonts w:asciiTheme="minorBidi" w:hAnsiTheme="minorBidi" w:cstheme="minorBidi"/>
          <w:sz w:val="20"/>
          <w:szCs w:val="20"/>
        </w:rPr>
        <w:t>Hiệp hội tiêu chuẩn IEEE</w:t>
      </w:r>
      <w:r w:rsidRPr="00C1535B">
        <w:rPr>
          <w:rFonts w:asciiTheme="minorBidi" w:hAnsiTheme="minorBidi" w:cstheme="minorBidi"/>
          <w:sz w:val="20"/>
          <w:szCs w:val="20"/>
        </w:rPr>
        <w:t xml:space="preserve"> (2021) </w:t>
      </w:r>
      <w:r w:rsidR="00BA52B1">
        <w:rPr>
          <w:rFonts w:asciiTheme="minorBidi" w:hAnsiTheme="minorBidi" w:cstheme="minorBidi"/>
          <w:sz w:val="20"/>
          <w:szCs w:val="20"/>
        </w:rPr>
        <w:t>Các tiêu chuẩn liên quan đến hệ thống AI</w:t>
      </w:r>
      <w:r w:rsidRPr="00C1535B">
        <w:rPr>
          <w:rFonts w:asciiTheme="minorBidi" w:hAnsiTheme="minorBidi" w:cstheme="minorBidi"/>
          <w:sz w:val="20"/>
          <w:szCs w:val="20"/>
        </w:rPr>
        <w:t xml:space="preserve">, </w:t>
      </w:r>
      <w:hyperlink r:id="rId245" w:anchor="2247" w:history="1">
        <w:r w:rsidRPr="00C1535B">
          <w:rPr>
            <w:rStyle w:val="Hyperlink"/>
            <w:rFonts w:asciiTheme="minorBidi" w:hAnsiTheme="minorBidi" w:cstheme="minorBidi"/>
            <w:color w:val="auto"/>
            <w:sz w:val="20"/>
            <w:szCs w:val="20"/>
          </w:rPr>
          <w:t>https://standards.ieee.org/initiatives/artificial-intelligence-systems/standards.html#2247</w:t>
        </w:r>
      </w:hyperlink>
      <w:r w:rsidRPr="00C1535B">
        <w:rPr>
          <w:rFonts w:asciiTheme="minorBidi" w:hAnsiTheme="minorBidi" w:cstheme="minorBidi"/>
          <w:sz w:val="20"/>
          <w:szCs w:val="20"/>
        </w:rPr>
        <w:t xml:space="preserve"> </w:t>
      </w:r>
    </w:p>
  </w:footnote>
  <w:footnote w:id="271">
    <w:p w14:paraId="1B3DCC70" w14:textId="5C614F1B" w:rsidR="00A14BA2" w:rsidRPr="00C1535B" w:rsidRDefault="00A14BA2" w:rsidP="00A14BA2">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OECD (2024) </w:t>
      </w:r>
      <w:r w:rsidR="00BA52B1">
        <w:rPr>
          <w:rFonts w:asciiTheme="minorBidi" w:hAnsiTheme="minorBidi" w:cstheme="minorBidi"/>
        </w:rPr>
        <w:t>OECD cập nhật các nguyên tắc AI để theo kịp những tiến bộ công nghệ</w:t>
      </w:r>
      <w:r w:rsidRPr="00C1535B">
        <w:rPr>
          <w:rFonts w:asciiTheme="minorBidi" w:hAnsiTheme="minorBidi" w:cstheme="minorBidi"/>
        </w:rPr>
        <w:t>, https://www.oecd.org/en/about/news/press-releases/2024/05/oecd-updates-ai-principles-to-stay-abreast-of-rapid-technological-developments.html</w:t>
      </w:r>
    </w:p>
  </w:footnote>
  <w:footnote w:id="272">
    <w:p w14:paraId="2305C0EA" w14:textId="2DCE6424" w:rsidR="00A14BA2" w:rsidRPr="00C1535B" w:rsidRDefault="00A14BA2" w:rsidP="00A14BA2">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UNESCO (2021) Ethics of </w:t>
      </w:r>
      <w:r w:rsidR="00BA52B1">
        <w:rPr>
          <w:rFonts w:asciiTheme="minorBidi" w:hAnsiTheme="minorBidi" w:cstheme="minorBidi"/>
        </w:rPr>
        <w:t>Trí tuệ nhân tạo</w:t>
      </w:r>
      <w:r w:rsidRPr="00C1535B">
        <w:rPr>
          <w:rFonts w:asciiTheme="minorBidi" w:hAnsiTheme="minorBidi" w:cstheme="minorBidi"/>
        </w:rPr>
        <w:t xml:space="preserve">, </w:t>
      </w:r>
      <w:hyperlink r:id="rId246" w:history="1">
        <w:r w:rsidRPr="00C1535B">
          <w:rPr>
            <w:rStyle w:val="Hyperlink"/>
            <w:rFonts w:asciiTheme="minorBidi" w:hAnsiTheme="minorBidi" w:cstheme="minorBidi"/>
            <w:color w:val="auto"/>
          </w:rPr>
          <w:t>https://www.unesco.org/en/artificial-intelligence/recommendation-ethics</w:t>
        </w:r>
      </w:hyperlink>
      <w:r w:rsidRPr="00C1535B">
        <w:rPr>
          <w:rFonts w:asciiTheme="minorBidi" w:hAnsiTheme="minorBidi" w:cstheme="minorBidi"/>
        </w:rPr>
        <w:t xml:space="preserve"> </w:t>
      </w:r>
    </w:p>
  </w:footnote>
  <w:footnote w:id="273">
    <w:p w14:paraId="68B85638" w14:textId="6B749A47" w:rsidR="00A14BA2" w:rsidRPr="00C1535B" w:rsidRDefault="00A14BA2" w:rsidP="00A14BA2">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BA52B1">
        <w:rPr>
          <w:rFonts w:asciiTheme="minorBidi" w:hAnsiTheme="minorBidi" w:cstheme="minorBidi"/>
        </w:rPr>
        <w:t>Liên hợp quốc</w:t>
      </w:r>
      <w:r w:rsidRPr="00C1535B">
        <w:rPr>
          <w:rFonts w:asciiTheme="minorBidi" w:hAnsiTheme="minorBidi" w:cstheme="minorBidi"/>
        </w:rPr>
        <w:t xml:space="preserve"> (2024) </w:t>
      </w:r>
      <w:r w:rsidR="00F70FA1">
        <w:rPr>
          <w:rFonts w:asciiTheme="minorBidi" w:hAnsiTheme="minorBidi" w:cstheme="minorBidi"/>
        </w:rPr>
        <w:t>Họp Đại hội đồng thông qua nghị quyết về</w:t>
      </w:r>
      <w:r w:rsidRPr="00C1535B">
        <w:rPr>
          <w:rFonts w:asciiTheme="minorBidi" w:hAnsiTheme="minorBidi" w:cstheme="minorBidi"/>
        </w:rPr>
        <w:t xml:space="preserve"> </w:t>
      </w:r>
      <w:r w:rsidR="00BA52B1">
        <w:rPr>
          <w:rFonts w:asciiTheme="minorBidi" w:hAnsiTheme="minorBidi" w:cstheme="minorBidi"/>
        </w:rPr>
        <w:t>trí tuệ nhân tạo</w:t>
      </w:r>
      <w:r w:rsidRPr="00C1535B">
        <w:rPr>
          <w:rFonts w:asciiTheme="minorBidi" w:hAnsiTheme="minorBidi" w:cstheme="minorBidi"/>
        </w:rPr>
        <w:t xml:space="preserve">, </w:t>
      </w:r>
      <w:hyperlink r:id="rId247" w:history="1">
        <w:r w:rsidRPr="00C1535B">
          <w:rPr>
            <w:rStyle w:val="Hyperlink"/>
            <w:rFonts w:asciiTheme="minorBidi" w:hAnsiTheme="minorBidi" w:cstheme="minorBidi"/>
            <w:color w:val="auto"/>
          </w:rPr>
          <w:t>https://news.un.org/en/story/2024/03/1147831</w:t>
        </w:r>
      </w:hyperlink>
      <w:r w:rsidRPr="00C1535B">
        <w:rPr>
          <w:rFonts w:asciiTheme="minorBidi" w:hAnsiTheme="minorBidi" w:cstheme="minorBidi"/>
        </w:rPr>
        <w:t xml:space="preserve"> </w:t>
      </w:r>
    </w:p>
  </w:footnote>
  <w:footnote w:id="274">
    <w:p w14:paraId="77B24A81" w14:textId="46A5ED48" w:rsidR="003A73A8" w:rsidRPr="00C1535B" w:rsidRDefault="003A73A8" w:rsidP="003A73A8">
      <w:pPr>
        <w:spacing w:after="0"/>
        <w:jc w:val="left"/>
        <w:rPr>
          <w:rFonts w:asciiTheme="minorBidi" w:hAnsiTheme="minorBidi" w:cstheme="minorBidi"/>
          <w:sz w:val="20"/>
          <w:szCs w:val="20"/>
        </w:rPr>
      </w:pPr>
      <w:r w:rsidRPr="00C1535B">
        <w:rPr>
          <w:rStyle w:val="FootnoteReference"/>
          <w:rFonts w:asciiTheme="minorBidi" w:hAnsiTheme="minorBidi" w:cstheme="minorBidi"/>
          <w:sz w:val="20"/>
          <w:szCs w:val="20"/>
        </w:rPr>
        <w:footnoteRef/>
      </w:r>
      <w:r w:rsidRPr="00C1535B">
        <w:rPr>
          <w:rFonts w:asciiTheme="minorBidi" w:hAnsiTheme="minorBidi" w:cstheme="minorBidi"/>
          <w:sz w:val="20"/>
          <w:szCs w:val="20"/>
        </w:rPr>
        <w:t xml:space="preserve"> ISO (2021) </w:t>
      </w:r>
      <w:r w:rsidR="00BA52B1">
        <w:rPr>
          <w:rFonts w:asciiTheme="minorBidi" w:hAnsiTheme="minorBidi" w:cstheme="minorBidi"/>
          <w:sz w:val="20"/>
          <w:szCs w:val="20"/>
        </w:rPr>
        <w:t>Tiêu chuẩn ISO</w:t>
      </w:r>
      <w:r w:rsidRPr="00C1535B">
        <w:rPr>
          <w:rFonts w:asciiTheme="minorBidi" w:hAnsiTheme="minorBidi" w:cstheme="minorBidi"/>
          <w:sz w:val="20"/>
          <w:szCs w:val="20"/>
        </w:rPr>
        <w:t xml:space="preserve">/IEC JTC 1/SC 42, </w:t>
      </w:r>
      <w:hyperlink r:id="rId248" w:history="1">
        <w:r w:rsidRPr="00C1535B">
          <w:rPr>
            <w:rStyle w:val="Hyperlink"/>
            <w:rFonts w:asciiTheme="minorBidi" w:hAnsiTheme="minorBidi" w:cstheme="minorBidi"/>
            <w:color w:val="auto"/>
            <w:sz w:val="20"/>
            <w:szCs w:val="20"/>
          </w:rPr>
          <w:t>www.iso.org/committee/6794475/x/catalogue/p/1/u/1/w/0/d/0</w:t>
        </w:r>
      </w:hyperlink>
      <w:r w:rsidRPr="00C1535B">
        <w:rPr>
          <w:rFonts w:asciiTheme="minorBidi" w:hAnsiTheme="minorBidi" w:cstheme="minorBidi"/>
          <w:sz w:val="20"/>
          <w:szCs w:val="20"/>
        </w:rPr>
        <w:t xml:space="preserve"> </w:t>
      </w:r>
    </w:p>
  </w:footnote>
  <w:footnote w:id="275">
    <w:p w14:paraId="7020730F" w14:textId="77777777" w:rsidR="003A73A8" w:rsidRPr="00C1535B" w:rsidRDefault="003A73A8" w:rsidP="003A73A8">
      <w:pPr>
        <w:rPr>
          <w:rFonts w:asciiTheme="minorBidi" w:hAnsiTheme="minorBidi" w:cstheme="minorBidi"/>
          <w:sz w:val="20"/>
          <w:szCs w:val="20"/>
        </w:rPr>
      </w:pPr>
      <w:r w:rsidRPr="00C1535B">
        <w:rPr>
          <w:rFonts w:asciiTheme="minorBidi" w:hAnsiTheme="minorBidi" w:cstheme="minorBidi"/>
          <w:sz w:val="20"/>
          <w:szCs w:val="20"/>
        </w:rPr>
        <w:footnoteRef/>
      </w:r>
      <w:r w:rsidRPr="00C1535B">
        <w:rPr>
          <w:rFonts w:asciiTheme="minorBidi" w:hAnsiTheme="minorBidi" w:cstheme="minorBidi"/>
          <w:sz w:val="20"/>
          <w:szCs w:val="20"/>
        </w:rPr>
        <w:t xml:space="preserve"> </w:t>
      </w:r>
      <w:r w:rsidRPr="00FD4695">
        <w:rPr>
          <w:rFonts w:eastAsia="Arial"/>
          <w:sz w:val="20"/>
          <w:szCs w:val="20"/>
          <w:u w:val="single"/>
        </w:rPr>
        <w:t xml:space="preserve">AI Verify Foundation (2024) AI Verify, </w:t>
      </w:r>
      <w:hyperlink r:id="rId249" w:history="1">
        <w:r w:rsidRPr="00FD4695">
          <w:rPr>
            <w:rStyle w:val="Hyperlink"/>
            <w:rFonts w:eastAsia="Arial"/>
            <w:color w:val="auto"/>
            <w:sz w:val="20"/>
            <w:szCs w:val="20"/>
          </w:rPr>
          <w:t>https://aiverifyfoundation.sg/what-is-ai-verify/</w:t>
        </w:r>
      </w:hyperlink>
    </w:p>
  </w:footnote>
  <w:footnote w:id="276">
    <w:p w14:paraId="519B324C" w14:textId="77777777" w:rsidR="00D113CD" w:rsidRPr="00C1535B" w:rsidRDefault="00D113CD" w:rsidP="00D113CD">
      <w:pPr>
        <w:rPr>
          <w:rFonts w:asciiTheme="minorBidi" w:hAnsiTheme="minorBidi" w:cstheme="minorBidi"/>
          <w:sz w:val="20"/>
          <w:szCs w:val="20"/>
        </w:rPr>
      </w:pPr>
      <w:r w:rsidRPr="00C1535B">
        <w:rPr>
          <w:rFonts w:asciiTheme="minorBidi" w:hAnsiTheme="minorBidi" w:cstheme="minorBidi"/>
          <w:sz w:val="20"/>
          <w:szCs w:val="20"/>
        </w:rPr>
        <w:footnoteRef/>
      </w:r>
      <w:r w:rsidRPr="00C1535B">
        <w:rPr>
          <w:rFonts w:asciiTheme="minorBidi" w:hAnsiTheme="minorBidi" w:cstheme="minorBidi"/>
          <w:sz w:val="20"/>
          <w:szCs w:val="20"/>
        </w:rPr>
        <w:t>IMDA (2023) Crosswalk with NIST AI RMF,</w:t>
      </w:r>
      <w:r w:rsidRPr="00C1535B">
        <w:rPr>
          <w:rFonts w:asciiTheme="minorBidi" w:eastAsia="Arial" w:hAnsiTheme="minorBidi" w:cstheme="minorBidi"/>
          <w:sz w:val="20"/>
          <w:szCs w:val="20"/>
        </w:rPr>
        <w:t xml:space="preserve"> </w:t>
      </w:r>
      <w:hyperlink r:id="rId250" w:history="1">
        <w:r w:rsidRPr="00C1535B">
          <w:rPr>
            <w:rStyle w:val="Hyperlink"/>
            <w:rFonts w:asciiTheme="minorBidi" w:eastAsia="Arial" w:hAnsiTheme="minorBidi" w:cstheme="minorBidi"/>
            <w:color w:val="auto"/>
            <w:sz w:val="20"/>
            <w:szCs w:val="20"/>
          </w:rPr>
          <w:t>https://www.imda.gov.sg/resources/press-releases-factsheets-and-speeches/press-releases/2023/nist-imda-joint-mapping-exercise</w:t>
        </w:r>
      </w:hyperlink>
      <w:r w:rsidRPr="00C1535B">
        <w:rPr>
          <w:rFonts w:asciiTheme="minorBidi" w:hAnsiTheme="minorBidi" w:cstheme="minorBidi"/>
          <w:sz w:val="20"/>
          <w:szCs w:val="20"/>
        </w:rPr>
        <w:t xml:space="preserve"> </w:t>
      </w:r>
    </w:p>
  </w:footnote>
  <w:footnote w:id="277">
    <w:p w14:paraId="665A4AD5" w14:textId="77777777" w:rsidR="00D113CD" w:rsidRPr="00C1535B" w:rsidRDefault="00D113CD" w:rsidP="00D113CD">
      <w:pPr>
        <w:rPr>
          <w:rFonts w:asciiTheme="minorBidi" w:hAnsiTheme="minorBidi" w:cstheme="minorBidi"/>
          <w:sz w:val="20"/>
          <w:szCs w:val="20"/>
        </w:rPr>
      </w:pPr>
      <w:r w:rsidRPr="00C1535B">
        <w:rPr>
          <w:rStyle w:val="FootnoteReference"/>
          <w:rFonts w:asciiTheme="minorBidi" w:hAnsiTheme="minorBidi" w:cstheme="minorBidi"/>
          <w:sz w:val="20"/>
          <w:szCs w:val="20"/>
        </w:rPr>
        <w:footnoteRef/>
      </w:r>
      <w:r w:rsidRPr="00C1535B">
        <w:rPr>
          <w:rFonts w:asciiTheme="minorBidi" w:hAnsiTheme="minorBidi" w:cstheme="minorBidi"/>
          <w:sz w:val="20"/>
          <w:szCs w:val="20"/>
        </w:rPr>
        <w:t xml:space="preserve"> </w:t>
      </w:r>
      <w:r w:rsidRPr="00C1535B">
        <w:rPr>
          <w:rFonts w:asciiTheme="minorBidi" w:eastAsia="Arial" w:hAnsiTheme="minorBidi" w:cstheme="minorBidi"/>
          <w:sz w:val="20"/>
          <w:szCs w:val="20"/>
          <w:u w:val="single"/>
        </w:rPr>
        <w:t xml:space="preserve">IMDA (2024) Crosswalk with ISO/IEC 42001, </w:t>
      </w:r>
      <w:hyperlink r:id="rId251" w:anchor="crosswalk-with-iso42001" w:history="1">
        <w:r w:rsidRPr="00C1535B">
          <w:rPr>
            <w:rStyle w:val="Hyperlink"/>
            <w:rFonts w:asciiTheme="minorBidi" w:eastAsia="Arial" w:hAnsiTheme="minorBidi" w:cstheme="minorBidi"/>
            <w:color w:val="auto"/>
            <w:sz w:val="20"/>
            <w:szCs w:val="20"/>
          </w:rPr>
          <w:t>https://aiverifyfoundation.sg/resources/#crosswalk-with-iso42001</w:t>
        </w:r>
      </w:hyperlink>
      <w:r w:rsidRPr="00C1535B">
        <w:rPr>
          <w:rFonts w:asciiTheme="minorBidi" w:eastAsia="Arial" w:hAnsiTheme="minorBidi" w:cstheme="minorBidi"/>
          <w:sz w:val="20"/>
          <w:szCs w:val="20"/>
          <w:u w:val="single"/>
        </w:rPr>
        <w:t xml:space="preserve"> </w:t>
      </w:r>
    </w:p>
  </w:footnote>
  <w:footnote w:id="278">
    <w:p w14:paraId="25C03EFC" w14:textId="751BB6C3" w:rsidR="00491C56" w:rsidRPr="00C1535B" w:rsidRDefault="00491C56" w:rsidP="00491C56">
      <w:pPr>
        <w:spacing w:after="0"/>
        <w:jc w:val="left"/>
        <w:rPr>
          <w:rFonts w:asciiTheme="minorBidi" w:hAnsiTheme="minorBidi" w:cstheme="minorBidi"/>
          <w:sz w:val="20"/>
          <w:szCs w:val="20"/>
        </w:rPr>
      </w:pPr>
      <w:r w:rsidRPr="00C1535B">
        <w:rPr>
          <w:rStyle w:val="FootnoteReference"/>
          <w:rFonts w:asciiTheme="minorBidi" w:hAnsiTheme="minorBidi" w:cstheme="minorBidi"/>
          <w:sz w:val="20"/>
          <w:szCs w:val="20"/>
        </w:rPr>
        <w:footnoteRef/>
      </w:r>
      <w:r w:rsidRPr="00C1535B">
        <w:rPr>
          <w:rFonts w:asciiTheme="minorBidi" w:hAnsiTheme="minorBidi" w:cstheme="minorBidi"/>
          <w:sz w:val="20"/>
          <w:szCs w:val="20"/>
        </w:rPr>
        <w:t xml:space="preserve"> ASEAN (2024) </w:t>
      </w:r>
      <w:r w:rsidR="00477436">
        <w:rPr>
          <w:rFonts w:asciiTheme="minorBidi" w:hAnsiTheme="minorBidi" w:cstheme="minorBidi"/>
          <w:sz w:val="20"/>
          <w:szCs w:val="20"/>
        </w:rPr>
        <w:t>Hướng dẫn ASEAN về quản lý và đạo đức AI</w:t>
      </w:r>
      <w:r w:rsidRPr="00C1535B">
        <w:rPr>
          <w:rFonts w:asciiTheme="minorBidi" w:hAnsiTheme="minorBidi" w:cstheme="minorBidi"/>
          <w:sz w:val="20"/>
          <w:szCs w:val="20"/>
        </w:rPr>
        <w:t xml:space="preserve">, </w:t>
      </w:r>
      <w:hyperlink r:id="rId252" w:history="1">
        <w:r w:rsidRPr="00C1535B">
          <w:rPr>
            <w:rStyle w:val="Hyperlink"/>
            <w:rFonts w:asciiTheme="minorBidi" w:hAnsiTheme="minorBidi" w:cstheme="minorBidi"/>
            <w:color w:val="auto"/>
            <w:sz w:val="20"/>
            <w:szCs w:val="20"/>
          </w:rPr>
          <w:t>https://asean.org/book/asean-guide-on-ai-governance-and-ethics/</w:t>
        </w:r>
      </w:hyperlink>
      <w:r w:rsidRPr="00C1535B">
        <w:rPr>
          <w:rFonts w:asciiTheme="minorBidi" w:hAnsiTheme="minorBidi" w:cstheme="minorBidi"/>
          <w:sz w:val="20"/>
          <w:szCs w:val="20"/>
        </w:rPr>
        <w:t xml:space="preserve"> </w:t>
      </w:r>
    </w:p>
  </w:footnote>
  <w:footnote w:id="279">
    <w:p w14:paraId="488D18F4" w14:textId="6D1B33D9" w:rsidR="00491C56" w:rsidRPr="00C1535B" w:rsidRDefault="00491C56" w:rsidP="00491C56">
      <w:pPr>
        <w:spacing w:after="0"/>
        <w:jc w:val="left"/>
        <w:rPr>
          <w:rFonts w:asciiTheme="minorBidi" w:hAnsiTheme="minorBidi" w:cstheme="minorBidi"/>
          <w:sz w:val="20"/>
          <w:szCs w:val="20"/>
        </w:rPr>
      </w:pPr>
      <w:r w:rsidRPr="00C1535B">
        <w:rPr>
          <w:rStyle w:val="FootnoteReference"/>
          <w:rFonts w:asciiTheme="minorBidi" w:hAnsiTheme="minorBidi" w:cstheme="minorBidi"/>
          <w:sz w:val="20"/>
          <w:szCs w:val="20"/>
        </w:rPr>
        <w:footnoteRef/>
      </w:r>
      <w:r w:rsidRPr="00C1535B">
        <w:rPr>
          <w:rFonts w:asciiTheme="minorBidi" w:hAnsiTheme="minorBidi" w:cstheme="minorBidi"/>
          <w:sz w:val="20"/>
          <w:szCs w:val="20"/>
        </w:rPr>
        <w:t xml:space="preserve"> ASEAN (2024) </w:t>
      </w:r>
      <w:r w:rsidR="00477436">
        <w:rPr>
          <w:rFonts w:asciiTheme="minorBidi" w:hAnsiTheme="minorBidi" w:cstheme="minorBidi"/>
          <w:sz w:val="20"/>
          <w:szCs w:val="20"/>
        </w:rPr>
        <w:t>Hướng dẫn ASEAN về quản lý và đạo đức AI</w:t>
      </w:r>
      <w:r w:rsidRPr="00C1535B">
        <w:rPr>
          <w:rFonts w:asciiTheme="minorBidi" w:hAnsiTheme="minorBidi" w:cstheme="minorBidi"/>
          <w:sz w:val="20"/>
          <w:szCs w:val="20"/>
        </w:rPr>
        <w:t xml:space="preserve">, </w:t>
      </w:r>
      <w:hyperlink r:id="rId253" w:history="1">
        <w:r w:rsidRPr="00C1535B">
          <w:rPr>
            <w:rStyle w:val="Hyperlink"/>
            <w:rFonts w:asciiTheme="minorBidi" w:hAnsiTheme="minorBidi" w:cstheme="minorBidi"/>
            <w:color w:val="auto"/>
            <w:sz w:val="20"/>
            <w:szCs w:val="20"/>
          </w:rPr>
          <w:t>https://asean.org/book/asean-guide-on-ai-governance-and-ethics/</w:t>
        </w:r>
      </w:hyperlink>
    </w:p>
  </w:footnote>
  <w:footnote w:id="280">
    <w:p w14:paraId="243ADCA8" w14:textId="1B31E6FA" w:rsidR="00FC0DF9" w:rsidRPr="00C1535B" w:rsidRDefault="00FC0DF9" w:rsidP="00FC0DF9">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F70FA1">
        <w:rPr>
          <w:rFonts w:asciiTheme="minorBidi" w:hAnsiTheme="minorBidi" w:cstheme="minorBidi"/>
        </w:rPr>
        <w:t>Viện châu Á Thái Bình Dương về AI</w:t>
      </w:r>
      <w:r w:rsidRPr="00C1535B">
        <w:rPr>
          <w:rFonts w:asciiTheme="minorBidi" w:hAnsiTheme="minorBidi" w:cstheme="minorBidi"/>
        </w:rPr>
        <w:t xml:space="preserve"> (2023) </w:t>
      </w:r>
      <w:r w:rsidR="00F70FA1">
        <w:rPr>
          <w:rFonts w:asciiTheme="minorBidi" w:hAnsiTheme="minorBidi" w:cstheme="minorBidi"/>
        </w:rPr>
        <w:t>Phát triển và sử dụng AI có trách nhiệm ở ASEAN</w:t>
      </w:r>
      <w:r w:rsidRPr="00C1535B">
        <w:rPr>
          <w:rFonts w:asciiTheme="minorBidi" w:hAnsiTheme="minorBidi" w:cstheme="minorBidi"/>
        </w:rPr>
        <w:t xml:space="preserve">: </w:t>
      </w:r>
      <w:r w:rsidR="00F70FA1">
        <w:rPr>
          <w:rFonts w:asciiTheme="minorBidi" w:hAnsiTheme="minorBidi" w:cstheme="minorBidi"/>
        </w:rPr>
        <w:t>Tài liệu Hội thảo của Viện châu Á Thái Bình Dương về AI trong tháng 12 năm 2023</w:t>
      </w:r>
      <w:r w:rsidRPr="00C1535B">
        <w:rPr>
          <w:rFonts w:asciiTheme="minorBidi" w:hAnsiTheme="minorBidi" w:cstheme="minorBidi"/>
        </w:rPr>
        <w:t xml:space="preserve">. </w:t>
      </w:r>
    </w:p>
  </w:footnote>
  <w:footnote w:id="281">
    <w:p w14:paraId="6B00B612" w14:textId="3B88B643" w:rsidR="00FC0DF9" w:rsidRPr="00C1535B" w:rsidRDefault="00FC0DF9" w:rsidP="00FC0DF9">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F70FA1">
        <w:rPr>
          <w:rFonts w:asciiTheme="minorBidi" w:hAnsiTheme="minorBidi" w:cstheme="minorBidi"/>
        </w:rPr>
        <w:t>Viện châu Á Thái Bình Dương về AI</w:t>
      </w:r>
      <w:r w:rsidRPr="00C1535B">
        <w:rPr>
          <w:rFonts w:asciiTheme="minorBidi" w:hAnsiTheme="minorBidi" w:cstheme="minorBidi"/>
        </w:rPr>
        <w:t xml:space="preserve"> (2023) </w:t>
      </w:r>
      <w:r w:rsidR="00F70FA1">
        <w:rPr>
          <w:rFonts w:asciiTheme="minorBidi" w:hAnsiTheme="minorBidi" w:cstheme="minorBidi"/>
        </w:rPr>
        <w:t>Phát triển và sử dụng AI có trách nhiệm ở ASEAN</w:t>
      </w:r>
      <w:r w:rsidRPr="00C1535B">
        <w:rPr>
          <w:rFonts w:asciiTheme="minorBidi" w:hAnsiTheme="minorBidi" w:cstheme="minorBidi"/>
        </w:rPr>
        <w:t xml:space="preserve">: </w:t>
      </w:r>
      <w:r w:rsidR="00F70FA1">
        <w:rPr>
          <w:rFonts w:asciiTheme="minorBidi" w:hAnsiTheme="minorBidi" w:cstheme="minorBidi"/>
        </w:rPr>
        <w:t>Tài liệu Hội thảo của Viện châu Á Thái Bình Dương về AI trong tháng 12 năm 2023</w:t>
      </w:r>
      <w:r w:rsidRPr="00C1535B">
        <w:rPr>
          <w:rFonts w:asciiTheme="minorBidi" w:hAnsiTheme="minorBidi" w:cstheme="minorBidi"/>
        </w:rPr>
        <w:t xml:space="preserve">. </w:t>
      </w:r>
    </w:p>
  </w:footnote>
  <w:footnote w:id="282">
    <w:p w14:paraId="2D42CB4C" w14:textId="77777777" w:rsidR="00B55EC0" w:rsidRPr="00C1535B" w:rsidRDefault="00B55EC0" w:rsidP="00B55EC0">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ISO (n.d.) iso/IEC JTC 1/SC 42 Participation,</w:t>
      </w:r>
      <w:hyperlink r:id="rId254" w:history="1">
        <w:r w:rsidRPr="00C1535B">
          <w:rPr>
            <w:rStyle w:val="Hyperlink"/>
            <w:rFonts w:asciiTheme="minorBidi" w:hAnsiTheme="minorBidi" w:cstheme="minorBidi"/>
            <w:color w:val="auto"/>
          </w:rPr>
          <w:t>https://www.iso.org/committee/6794475.html;?view=participation</w:t>
        </w:r>
      </w:hyperlink>
      <w:r w:rsidRPr="00C1535B">
        <w:rPr>
          <w:rFonts w:asciiTheme="minorBidi" w:hAnsiTheme="minorBidi" w:cstheme="minorBidi"/>
        </w:rPr>
        <w:t xml:space="preserve"> </w:t>
      </w:r>
    </w:p>
  </w:footnote>
  <w:footnote w:id="283">
    <w:p w14:paraId="40E4B25D" w14:textId="77777777" w:rsidR="00B55EC0" w:rsidRPr="00B7347A" w:rsidRDefault="00B55EC0" w:rsidP="00B55EC0">
      <w:pPr>
        <w:pStyle w:val="FootnoteText"/>
        <w:rPr>
          <w:rFonts w:asciiTheme="minorBidi" w:hAnsiTheme="minorBidi" w:cstheme="minorBidi"/>
          <w:lang w:val="fr-FR"/>
        </w:rPr>
      </w:pPr>
      <w:r w:rsidRPr="00C1535B">
        <w:rPr>
          <w:rStyle w:val="FootnoteReference"/>
          <w:rFonts w:asciiTheme="minorBidi" w:hAnsiTheme="minorBidi" w:cstheme="minorBidi"/>
        </w:rPr>
        <w:footnoteRef/>
      </w:r>
      <w:r w:rsidRPr="00B7347A">
        <w:rPr>
          <w:rFonts w:asciiTheme="minorBidi" w:hAnsiTheme="minorBidi" w:cstheme="minorBidi"/>
          <w:lang w:val="fr-FR"/>
        </w:rPr>
        <w:t xml:space="preserve"> ISO (n.d.) iso/IEC JTC 1/SC 42 Participation, </w:t>
      </w:r>
      <w:hyperlink r:id="rId255" w:history="1">
        <w:r w:rsidRPr="00B7347A">
          <w:rPr>
            <w:rStyle w:val="Hyperlink"/>
            <w:rFonts w:asciiTheme="minorBidi" w:hAnsiTheme="minorBidi" w:cstheme="minorBidi"/>
            <w:color w:val="auto"/>
            <w:lang w:val="fr-FR"/>
          </w:rPr>
          <w:t>https://www.iso.org/committee/6794475.html;?view=participation</w:t>
        </w:r>
      </w:hyperlink>
      <w:r w:rsidRPr="00B7347A">
        <w:rPr>
          <w:rFonts w:asciiTheme="minorBidi" w:hAnsiTheme="minorBidi" w:cstheme="minorBidi"/>
          <w:lang w:val="fr-FR"/>
        </w:rPr>
        <w:t xml:space="preserve"> </w:t>
      </w:r>
    </w:p>
  </w:footnote>
  <w:footnote w:id="284">
    <w:p w14:paraId="0B145AC5" w14:textId="4794E838" w:rsidR="00977180" w:rsidRPr="00B7347A" w:rsidRDefault="00977180" w:rsidP="00977180">
      <w:pPr>
        <w:pStyle w:val="FootnoteText"/>
        <w:jc w:val="left"/>
        <w:rPr>
          <w:rFonts w:asciiTheme="minorBidi" w:hAnsiTheme="minorBidi" w:cstheme="minorBidi"/>
          <w:lang w:val="fr-FR"/>
        </w:rPr>
      </w:pPr>
      <w:r w:rsidRPr="00C1535B">
        <w:rPr>
          <w:rStyle w:val="FootnoteReference"/>
          <w:rFonts w:asciiTheme="minorBidi" w:hAnsiTheme="minorBidi" w:cstheme="minorBidi"/>
        </w:rPr>
        <w:footnoteRef/>
      </w:r>
      <w:r w:rsidRPr="00B7347A">
        <w:rPr>
          <w:rFonts w:asciiTheme="minorBidi" w:hAnsiTheme="minorBidi" w:cstheme="minorBidi"/>
          <w:lang w:val="fr-FR"/>
        </w:rPr>
        <w:t xml:space="preserve"> </w:t>
      </w:r>
      <w:r w:rsidR="00D809A1">
        <w:rPr>
          <w:rFonts w:asciiTheme="minorBidi" w:hAnsiTheme="minorBidi" w:cstheme="minorBidi"/>
          <w:lang w:val="fr-FR"/>
        </w:rPr>
        <w:t>Ủy ban châu Âu</w:t>
      </w:r>
      <w:r w:rsidRPr="00B7347A">
        <w:rPr>
          <w:rFonts w:asciiTheme="minorBidi" w:hAnsiTheme="minorBidi" w:cstheme="minorBidi"/>
          <w:lang w:val="fr-FR"/>
        </w:rPr>
        <w:t xml:space="preserve"> (2024) </w:t>
      </w:r>
      <w:r w:rsidR="00477436">
        <w:rPr>
          <w:rFonts w:asciiTheme="minorBidi" w:hAnsiTheme="minorBidi" w:cstheme="minorBidi"/>
          <w:lang w:val="fr-FR"/>
        </w:rPr>
        <w:t>Các tiêu chuẩn chuỗi khối</w:t>
      </w:r>
      <w:r w:rsidRPr="00B7347A">
        <w:rPr>
          <w:rFonts w:asciiTheme="minorBidi" w:hAnsiTheme="minorBidi" w:cstheme="minorBidi"/>
          <w:lang w:val="fr-FR"/>
        </w:rPr>
        <w:t xml:space="preserve">, </w:t>
      </w:r>
      <w:hyperlink r:id="rId256" w:history="1">
        <w:r w:rsidRPr="00B7347A">
          <w:rPr>
            <w:rStyle w:val="Hyperlink"/>
            <w:rFonts w:asciiTheme="minorBidi" w:hAnsiTheme="minorBidi" w:cstheme="minorBidi"/>
            <w:color w:val="auto"/>
            <w:lang w:val="fr-FR"/>
          </w:rPr>
          <w:t>https://digital-strategy.ec.europa.eu/en/policies/blockchain-standards</w:t>
        </w:r>
      </w:hyperlink>
      <w:r w:rsidRPr="00B7347A">
        <w:rPr>
          <w:rFonts w:asciiTheme="minorBidi" w:hAnsiTheme="minorBidi" w:cstheme="minorBidi"/>
          <w:lang w:val="fr-FR"/>
        </w:rPr>
        <w:t xml:space="preserve"> </w:t>
      </w:r>
    </w:p>
  </w:footnote>
  <w:footnote w:id="285">
    <w:p w14:paraId="4F8AB9B4" w14:textId="5459C8EF" w:rsidR="00977180" w:rsidRPr="00B7347A" w:rsidRDefault="00977180" w:rsidP="00977180">
      <w:pPr>
        <w:pStyle w:val="FootnoteText"/>
        <w:jc w:val="left"/>
        <w:rPr>
          <w:rFonts w:asciiTheme="minorBidi" w:hAnsiTheme="minorBidi" w:cstheme="minorBidi"/>
          <w:lang w:val="fr-FR"/>
        </w:rPr>
      </w:pPr>
      <w:r w:rsidRPr="00C1535B">
        <w:rPr>
          <w:rStyle w:val="FootnoteReference"/>
          <w:rFonts w:asciiTheme="minorBidi" w:hAnsiTheme="minorBidi" w:cstheme="minorBidi"/>
        </w:rPr>
        <w:footnoteRef/>
      </w:r>
      <w:r w:rsidRPr="00B7347A">
        <w:rPr>
          <w:rFonts w:asciiTheme="minorBidi" w:hAnsiTheme="minorBidi" w:cstheme="minorBidi"/>
          <w:lang w:val="fr-FR"/>
        </w:rPr>
        <w:t xml:space="preserve"> </w:t>
      </w:r>
      <w:r w:rsidR="00D809A1">
        <w:rPr>
          <w:rFonts w:asciiTheme="minorBidi" w:hAnsiTheme="minorBidi" w:cstheme="minorBidi"/>
          <w:lang w:val="fr-FR"/>
        </w:rPr>
        <w:t>Ủy ban châu Âu</w:t>
      </w:r>
      <w:r w:rsidRPr="00B7347A">
        <w:rPr>
          <w:rFonts w:asciiTheme="minorBidi" w:hAnsiTheme="minorBidi" w:cstheme="minorBidi"/>
          <w:lang w:val="fr-FR"/>
        </w:rPr>
        <w:t xml:space="preserve"> (2024) </w:t>
      </w:r>
      <w:r w:rsidR="00477436">
        <w:rPr>
          <w:rFonts w:asciiTheme="minorBidi" w:hAnsiTheme="minorBidi" w:cstheme="minorBidi"/>
          <w:lang w:val="fr-FR"/>
        </w:rPr>
        <w:t>Các tiêu chuẩn chuỗi khối</w:t>
      </w:r>
      <w:r w:rsidRPr="00B7347A">
        <w:rPr>
          <w:rFonts w:asciiTheme="minorBidi" w:hAnsiTheme="minorBidi" w:cstheme="minorBidi"/>
          <w:lang w:val="fr-FR"/>
        </w:rPr>
        <w:t xml:space="preserve">, </w:t>
      </w:r>
      <w:hyperlink r:id="rId257" w:history="1">
        <w:r w:rsidRPr="00B7347A">
          <w:rPr>
            <w:rStyle w:val="Hyperlink"/>
            <w:rFonts w:asciiTheme="minorBidi" w:hAnsiTheme="minorBidi" w:cstheme="minorBidi"/>
            <w:color w:val="auto"/>
            <w:lang w:val="fr-FR"/>
          </w:rPr>
          <w:t>https://digital-strategy.ec.europa.eu/en/policies/blockchain-standards</w:t>
        </w:r>
      </w:hyperlink>
      <w:r w:rsidRPr="00B7347A">
        <w:rPr>
          <w:rFonts w:asciiTheme="minorBidi" w:hAnsiTheme="minorBidi" w:cstheme="minorBidi"/>
          <w:lang w:val="fr-FR"/>
        </w:rPr>
        <w:t xml:space="preserve"> </w:t>
      </w:r>
    </w:p>
  </w:footnote>
  <w:footnote w:id="286">
    <w:p w14:paraId="79389831" w14:textId="2B789B76" w:rsidR="00D34017" w:rsidRPr="00C1535B" w:rsidRDefault="00D34017" w:rsidP="00D34017">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ISO (2024) ISO 22739:2024 Blockchain</w:t>
      </w:r>
      <w:r w:rsidR="001F7407">
        <w:rPr>
          <w:rFonts w:asciiTheme="minorBidi" w:hAnsiTheme="minorBidi" w:cstheme="minorBidi"/>
        </w:rPr>
        <w:t xml:space="preserve"> và </w:t>
      </w:r>
      <w:r w:rsidR="00F70FA1">
        <w:rPr>
          <w:rFonts w:asciiTheme="minorBidi" w:hAnsiTheme="minorBidi" w:cstheme="minorBidi"/>
        </w:rPr>
        <w:t>Từ vựng công nghệ</w:t>
      </w:r>
      <w:r w:rsidRPr="00C1535B">
        <w:rPr>
          <w:rFonts w:asciiTheme="minorBidi" w:hAnsiTheme="minorBidi" w:cstheme="minorBidi"/>
        </w:rPr>
        <w:t xml:space="preserve">, </w:t>
      </w:r>
      <w:hyperlink r:id="rId258" w:history="1">
        <w:r w:rsidRPr="00C1535B">
          <w:rPr>
            <w:rStyle w:val="Hyperlink"/>
            <w:rFonts w:asciiTheme="minorBidi" w:hAnsiTheme="minorBidi" w:cstheme="minorBidi"/>
            <w:color w:val="auto"/>
          </w:rPr>
          <w:t>https://www.iso.org/standard/82208.html</w:t>
        </w:r>
      </w:hyperlink>
      <w:r w:rsidRPr="00C1535B">
        <w:rPr>
          <w:rFonts w:asciiTheme="minorBidi" w:hAnsiTheme="minorBidi" w:cstheme="minorBidi"/>
        </w:rPr>
        <w:t xml:space="preserve"> </w:t>
      </w:r>
    </w:p>
  </w:footnote>
  <w:footnote w:id="287">
    <w:p w14:paraId="39D810D1" w14:textId="046EFE7E" w:rsidR="00D34017" w:rsidRPr="00AB15B1" w:rsidRDefault="00D34017" w:rsidP="00D34017">
      <w:pPr>
        <w:pStyle w:val="FootnoteText"/>
      </w:pPr>
      <w:r>
        <w:rPr>
          <w:rStyle w:val="FootnoteReference"/>
        </w:rPr>
        <w:footnoteRef/>
      </w:r>
      <w:r>
        <w:t xml:space="preserve"> ISO (2024) </w:t>
      </w:r>
      <w:hyperlink r:id="rId259" w:history="1">
        <w:r w:rsidR="00F70FA1" w:rsidRPr="00E55AF8">
          <w:rPr>
            <w:rStyle w:val="Hyperlink"/>
          </w:rPr>
          <w:t xml:space="preserve">ISO 23257:2022 Blockchain và </w:t>
        </w:r>
        <w:r w:rsidR="00F70FA1" w:rsidRPr="00E55AF8">
          <w:rPr>
            <w:rStyle w:val="Hyperlink"/>
          </w:rPr>
          <w:t>Từ vựng công nghệ</w:t>
        </w:r>
        <w:r w:rsidR="00F70FA1" w:rsidRPr="00E55AF8">
          <w:rPr>
            <w:rStyle w:val="Hyperlink"/>
          </w:rPr>
          <w:t xml:space="preserve"> — Kiến trúc tham khảo</w:t>
        </w:r>
      </w:hyperlink>
      <w:r w:rsidRPr="00E04A3B">
        <w:t>,</w:t>
      </w:r>
      <w:r w:rsidRPr="00300349">
        <w:t xml:space="preserve"> </w:t>
      </w:r>
      <w:r w:rsidRPr="00843725">
        <w:rPr>
          <w:u w:val="single"/>
        </w:rPr>
        <w:t>https://www.iso.org/standard/75093.html</w:t>
      </w:r>
    </w:p>
  </w:footnote>
  <w:footnote w:id="288">
    <w:p w14:paraId="55C9EC82" w14:textId="715EE636" w:rsidR="00550737" w:rsidRPr="00C1535B" w:rsidRDefault="00550737" w:rsidP="00550737">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ISO (2024) ISO/CD TS 23516 Blockchain</w:t>
      </w:r>
      <w:r w:rsidR="001F7407">
        <w:rPr>
          <w:rFonts w:asciiTheme="minorBidi" w:hAnsiTheme="minorBidi" w:cstheme="minorBidi"/>
        </w:rPr>
        <w:t xml:space="preserve"> và </w:t>
      </w:r>
      <w:r w:rsidR="00F70FA1">
        <w:rPr>
          <w:rFonts w:asciiTheme="minorBidi" w:hAnsiTheme="minorBidi" w:cstheme="minorBidi"/>
        </w:rPr>
        <w:t>Khung tương tác kỹ thuật</w:t>
      </w:r>
      <w:r w:rsidRPr="00C1535B">
        <w:rPr>
          <w:rFonts w:asciiTheme="minorBidi" w:hAnsiTheme="minorBidi" w:cstheme="minorBidi"/>
        </w:rPr>
        <w:t xml:space="preserve">, </w:t>
      </w:r>
      <w:hyperlink r:id="rId260" w:history="1">
        <w:r w:rsidRPr="00C1535B">
          <w:rPr>
            <w:rStyle w:val="Hyperlink"/>
            <w:rFonts w:asciiTheme="minorBidi" w:hAnsiTheme="minorBidi" w:cstheme="minorBidi"/>
            <w:color w:val="auto"/>
          </w:rPr>
          <w:t>https://www.iso.org/standard/82098.html</w:t>
        </w:r>
      </w:hyperlink>
      <w:r w:rsidRPr="00C1535B">
        <w:rPr>
          <w:rFonts w:asciiTheme="minorBidi" w:hAnsiTheme="minorBidi" w:cstheme="minorBidi"/>
        </w:rPr>
        <w:t xml:space="preserve"> </w:t>
      </w:r>
    </w:p>
  </w:footnote>
  <w:footnote w:id="289">
    <w:p w14:paraId="6281FF18" w14:textId="70C7C7B7" w:rsidR="00550737" w:rsidRPr="00843725" w:rsidRDefault="00550737" w:rsidP="00550737">
      <w:pPr>
        <w:pStyle w:val="FootnoteText"/>
      </w:pPr>
      <w:r>
        <w:rPr>
          <w:rStyle w:val="FootnoteReference"/>
        </w:rPr>
        <w:footnoteRef/>
      </w:r>
      <w:r>
        <w:t xml:space="preserve"> ISO (2024) ISO/TR 23244:2020 </w:t>
      </w:r>
      <w:r w:rsidRPr="00843725">
        <w:t>Blockchain</w:t>
      </w:r>
      <w:r w:rsidR="001F7407">
        <w:t xml:space="preserve"> và </w:t>
      </w:r>
      <w:r w:rsidR="00F70FA1">
        <w:t>Công nghệ</w:t>
      </w:r>
      <w:r w:rsidRPr="00843725">
        <w:t xml:space="preserve"> — </w:t>
      </w:r>
      <w:r w:rsidR="00F70FA1">
        <w:t>Những xem xét về bảo vệ thông tin các thể xác minh của cá nhân và quyền riêng tư</w:t>
      </w:r>
      <w:r>
        <w:t>,</w:t>
      </w:r>
      <w:r w:rsidRPr="00843725">
        <w:t xml:space="preserve"> </w:t>
      </w:r>
      <w:r w:rsidRPr="00843725">
        <w:rPr>
          <w:u w:val="single"/>
        </w:rPr>
        <w:t>https://www.iso.org/standard/75061.html</w:t>
      </w:r>
    </w:p>
  </w:footnote>
  <w:footnote w:id="290">
    <w:p w14:paraId="7648F839" w14:textId="725A6180" w:rsidR="00550737" w:rsidRPr="00C1535B" w:rsidRDefault="00550737" w:rsidP="00550737">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IEEE SA (2024) </w:t>
      </w:r>
      <w:r w:rsidR="00EA1591">
        <w:rPr>
          <w:rFonts w:asciiTheme="minorBidi" w:hAnsiTheme="minorBidi" w:cstheme="minorBidi"/>
        </w:rPr>
        <w:t>Tiêu chuẩn IEEE về khả năng tương tác của blockchain trong xác thực dữ liệu và giao thức truyền thông</w:t>
      </w:r>
      <w:r w:rsidRPr="00C1535B">
        <w:rPr>
          <w:rFonts w:asciiTheme="minorBidi" w:hAnsiTheme="minorBidi" w:cstheme="minorBidi"/>
        </w:rPr>
        <w:t xml:space="preserve">, </w:t>
      </w:r>
      <w:hyperlink r:id="rId261" w:history="1">
        <w:r w:rsidRPr="00C1535B">
          <w:rPr>
            <w:rStyle w:val="Hyperlink"/>
            <w:rFonts w:asciiTheme="minorBidi" w:hAnsiTheme="minorBidi" w:cstheme="minorBidi"/>
            <w:color w:val="auto"/>
          </w:rPr>
          <w:t>https://standards.ieee.org/ieee/3205/10237/</w:t>
        </w:r>
      </w:hyperlink>
      <w:r w:rsidRPr="00C1535B">
        <w:rPr>
          <w:rFonts w:asciiTheme="minorBidi" w:hAnsiTheme="minorBidi" w:cstheme="minorBidi"/>
        </w:rPr>
        <w:t xml:space="preserve"> </w:t>
      </w:r>
    </w:p>
  </w:footnote>
  <w:footnote w:id="291">
    <w:p w14:paraId="24A6E5BA" w14:textId="77777777" w:rsidR="007569F8" w:rsidRPr="00C1535B" w:rsidRDefault="007569F8" w:rsidP="007569F8">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GS1 (2024) Blockchain, </w:t>
      </w:r>
      <w:hyperlink r:id="rId262" w:anchor=":~:text=GS1's%20global%20standards%20for%20identification,reducing%20data%20duplication%20and%20reconciliation" w:history="1">
        <w:r w:rsidRPr="00C1535B">
          <w:rPr>
            <w:rStyle w:val="Hyperlink"/>
            <w:rFonts w:asciiTheme="minorBidi" w:hAnsiTheme="minorBidi" w:cstheme="minorBidi"/>
            <w:color w:val="auto"/>
          </w:rPr>
          <w:t>https://www.gs1.org/node/4261</w:t>
        </w:r>
      </w:hyperlink>
    </w:p>
  </w:footnote>
  <w:footnote w:id="292">
    <w:p w14:paraId="1D070159" w14:textId="77777777" w:rsidR="0081310A" w:rsidRPr="00C1535B" w:rsidRDefault="0081310A" w:rsidP="007902CD">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ISO (2024) ISO/TC 307, </w:t>
      </w:r>
      <w:hyperlink r:id="rId263" w:history="1">
        <w:r w:rsidRPr="00C1535B">
          <w:rPr>
            <w:rStyle w:val="Hyperlink"/>
            <w:rFonts w:asciiTheme="minorBidi" w:hAnsiTheme="minorBidi" w:cstheme="minorBidi"/>
            <w:color w:val="auto"/>
          </w:rPr>
          <w:t>https://www.iso.org/committee/6266604.html?view=participation</w:t>
        </w:r>
      </w:hyperlink>
      <w:r w:rsidRPr="00C1535B">
        <w:rPr>
          <w:rFonts w:asciiTheme="minorBidi" w:hAnsiTheme="minorBidi" w:cstheme="minorBidi"/>
        </w:rPr>
        <w:t xml:space="preserve"> </w:t>
      </w:r>
    </w:p>
  </w:footnote>
  <w:footnote w:id="293">
    <w:p w14:paraId="30CB7259" w14:textId="4B2D4973" w:rsidR="0081310A" w:rsidRPr="00C1535B" w:rsidRDefault="0081310A" w:rsidP="007902CD">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(2021) </w:t>
      </w:r>
      <w:r w:rsidR="00477436">
        <w:rPr>
          <w:rFonts w:asciiTheme="minorBidi" w:hAnsiTheme="minorBidi" w:cstheme="minorBidi"/>
        </w:rPr>
        <w:t>Chuỗi khối cho quản lý số - cách của ASEAN</w:t>
      </w:r>
      <w:r w:rsidRPr="00C1535B">
        <w:rPr>
          <w:rFonts w:asciiTheme="minorBidi" w:hAnsiTheme="minorBidi" w:cstheme="minorBidi"/>
        </w:rPr>
        <w:t xml:space="preserve">, </w:t>
      </w:r>
      <w:hyperlink r:id="rId264" w:history="1">
        <w:r w:rsidRPr="00C1535B">
          <w:rPr>
            <w:rStyle w:val="Hyperlink"/>
            <w:rFonts w:asciiTheme="minorBidi" w:hAnsiTheme="minorBidi" w:cstheme="minorBidi"/>
            <w:color w:val="auto"/>
          </w:rPr>
          <w:t>https://asean.org/wp-content/uploads/2022/02/02-Final-_-Report-Blockchain-for-digital-government.pdf</w:t>
        </w:r>
      </w:hyperlink>
      <w:r w:rsidRPr="00C1535B">
        <w:rPr>
          <w:rFonts w:asciiTheme="minorBidi" w:hAnsiTheme="minorBidi" w:cstheme="minorBidi"/>
        </w:rPr>
        <w:t xml:space="preserve"> </w:t>
      </w:r>
    </w:p>
  </w:footnote>
  <w:footnote w:id="294">
    <w:p w14:paraId="1E19131D" w14:textId="57A95C52" w:rsidR="00BD2C18" w:rsidRPr="00C1535B" w:rsidRDefault="00BD2C18" w:rsidP="00BD2C18">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(2021) </w:t>
      </w:r>
      <w:r w:rsidR="00477436">
        <w:rPr>
          <w:rFonts w:asciiTheme="minorBidi" w:hAnsiTheme="minorBidi" w:cstheme="minorBidi"/>
        </w:rPr>
        <w:t>Chuỗi khối cho quản lý số - cách của ASEAN</w:t>
      </w:r>
      <w:r w:rsidRPr="00C1535B">
        <w:rPr>
          <w:rFonts w:asciiTheme="minorBidi" w:hAnsiTheme="minorBidi" w:cstheme="minorBidi"/>
        </w:rPr>
        <w:t xml:space="preserve">, </w:t>
      </w:r>
      <w:hyperlink r:id="rId265" w:history="1">
        <w:r w:rsidRPr="00C1535B">
          <w:rPr>
            <w:rStyle w:val="Hyperlink"/>
            <w:rFonts w:asciiTheme="minorBidi" w:hAnsiTheme="minorBidi" w:cstheme="minorBidi"/>
            <w:color w:val="auto"/>
          </w:rPr>
          <w:t>https://asean.org/wp-content/uploads/2022/02/02-Final-_-Report-Blockchain-for-digital-government.pdf</w:t>
        </w:r>
      </w:hyperlink>
      <w:r w:rsidRPr="00C1535B">
        <w:rPr>
          <w:rFonts w:asciiTheme="minorBidi" w:hAnsiTheme="minorBidi" w:cstheme="minorBidi"/>
        </w:rPr>
        <w:t xml:space="preserve"> </w:t>
      </w:r>
    </w:p>
  </w:footnote>
  <w:footnote w:id="295">
    <w:p w14:paraId="549B5814" w14:textId="1A89554D" w:rsidR="00D809BB" w:rsidRPr="00C1535B" w:rsidRDefault="00D809BB" w:rsidP="00D809BB">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(2022) </w:t>
      </w:r>
      <w:r w:rsidR="00C36990">
        <w:rPr>
          <w:rFonts w:asciiTheme="minorBidi" w:hAnsiTheme="minorBidi" w:cstheme="minorBidi"/>
        </w:rPr>
        <w:t>Chuối khối ASEAN cho Chính phủ số</w:t>
      </w:r>
      <w:r w:rsidRPr="00C1535B">
        <w:rPr>
          <w:rFonts w:asciiTheme="minorBidi" w:hAnsiTheme="minorBidi" w:cstheme="minorBidi"/>
        </w:rPr>
        <w:t xml:space="preserve">, </w:t>
      </w:r>
      <w:hyperlink r:id="rId266" w:history="1">
        <w:r w:rsidRPr="00C1535B">
          <w:rPr>
            <w:rStyle w:val="Hyperlink"/>
            <w:rFonts w:asciiTheme="minorBidi" w:hAnsiTheme="minorBidi" w:cstheme="minorBidi"/>
            <w:color w:val="auto"/>
          </w:rPr>
          <w:t>https://asean.org/wp-content/uploads/2022/02/02-Final-_-Report-Blockchain-for-digital-government.pdf</w:t>
        </w:r>
      </w:hyperlink>
      <w:r w:rsidRPr="00C1535B">
        <w:rPr>
          <w:rFonts w:asciiTheme="minorBidi" w:hAnsiTheme="minorBidi" w:cstheme="minorBidi"/>
        </w:rPr>
        <w:t xml:space="preserve"> </w:t>
      </w:r>
    </w:p>
  </w:footnote>
  <w:footnote w:id="296">
    <w:p w14:paraId="0E7849C0" w14:textId="31496F0C" w:rsidR="00C63F85" w:rsidRPr="00C1535B" w:rsidRDefault="00C63F85" w:rsidP="00C63F85">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(2021) </w:t>
      </w:r>
      <w:r w:rsidR="00477436">
        <w:rPr>
          <w:rFonts w:asciiTheme="minorBidi" w:hAnsiTheme="minorBidi" w:cstheme="minorBidi"/>
        </w:rPr>
        <w:t>Chuỗi khối cho quản lý số - cách của ASEAN</w:t>
      </w:r>
      <w:r w:rsidRPr="00C1535B">
        <w:rPr>
          <w:rFonts w:asciiTheme="minorBidi" w:hAnsiTheme="minorBidi" w:cstheme="minorBidi"/>
        </w:rPr>
        <w:t xml:space="preserve">, </w:t>
      </w:r>
      <w:hyperlink r:id="rId267" w:history="1">
        <w:r w:rsidRPr="00C1535B">
          <w:rPr>
            <w:rStyle w:val="Hyperlink"/>
            <w:rFonts w:asciiTheme="minorBidi" w:hAnsiTheme="minorBidi" w:cstheme="minorBidi"/>
            <w:color w:val="auto"/>
          </w:rPr>
          <w:t>https://asean.org/wp-content/uploads/2022/02/02-Final-_-Report-Blockchain-for-digital-government.pdf</w:t>
        </w:r>
      </w:hyperlink>
      <w:r w:rsidRPr="00C1535B">
        <w:rPr>
          <w:rFonts w:asciiTheme="minorBidi" w:hAnsiTheme="minorBidi" w:cstheme="minorBidi"/>
        </w:rPr>
        <w:t xml:space="preserve"> </w:t>
      </w:r>
    </w:p>
  </w:footnote>
  <w:footnote w:id="297">
    <w:p w14:paraId="5242F6C7" w14:textId="4A26784E" w:rsidR="00C63F85" w:rsidRPr="00C1535B" w:rsidRDefault="00C63F85" w:rsidP="00C63F85">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The Business Times (2021) </w:t>
      </w:r>
      <w:r w:rsidR="00C36990">
        <w:rPr>
          <w:rFonts w:asciiTheme="minorBidi" w:hAnsiTheme="minorBidi" w:cstheme="minorBidi"/>
        </w:rPr>
        <w:t>Liên minh Blockchain ASEAN được thành lập nhằm thúc đẩy hợp tác xuyên biên giới</w:t>
      </w:r>
      <w:r w:rsidRPr="00C1535B">
        <w:rPr>
          <w:rFonts w:asciiTheme="minorBidi" w:hAnsiTheme="minorBidi" w:cstheme="minorBidi"/>
        </w:rPr>
        <w:t xml:space="preserve">, </w:t>
      </w:r>
      <w:hyperlink r:id="rId268" w:history="1">
        <w:r w:rsidRPr="00C1535B">
          <w:rPr>
            <w:rStyle w:val="Hyperlink"/>
            <w:rFonts w:asciiTheme="minorBidi" w:hAnsiTheme="minorBidi" w:cstheme="minorBidi"/>
            <w:color w:val="auto"/>
          </w:rPr>
          <w:t>https://www.businesstimes.com.sg/international/asean/asean-blockchain-consortium-formed-drive-cross-border-collaboration</w:t>
        </w:r>
      </w:hyperlink>
      <w:r w:rsidRPr="00C1535B">
        <w:rPr>
          <w:rFonts w:asciiTheme="minorBidi" w:hAnsiTheme="minorBidi" w:cstheme="minorBidi"/>
        </w:rPr>
        <w:t xml:space="preserve"> </w:t>
      </w:r>
    </w:p>
  </w:footnote>
  <w:footnote w:id="298">
    <w:p w14:paraId="27B4D154" w14:textId="2C21A506" w:rsidR="00CF4D44" w:rsidRPr="00C1535B" w:rsidRDefault="00CF4D44" w:rsidP="00CF4D44">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D809A1">
        <w:rPr>
          <w:rFonts w:asciiTheme="minorBidi" w:hAnsiTheme="minorBidi" w:cstheme="minorBidi"/>
        </w:rPr>
        <w:t>Ủy ban châu Âu</w:t>
      </w:r>
      <w:r w:rsidRPr="00C1535B">
        <w:rPr>
          <w:rFonts w:asciiTheme="minorBidi" w:hAnsiTheme="minorBidi" w:cstheme="minorBidi"/>
        </w:rPr>
        <w:t xml:space="preserve"> (n.d.) </w:t>
      </w:r>
      <w:r w:rsidR="00C36990">
        <w:rPr>
          <w:rFonts w:asciiTheme="minorBidi" w:hAnsiTheme="minorBidi" w:cstheme="minorBidi"/>
        </w:rPr>
        <w:t>Chiến lược chuỗi khối</w:t>
      </w:r>
      <w:r w:rsidRPr="00C1535B">
        <w:rPr>
          <w:rFonts w:asciiTheme="minorBidi" w:hAnsiTheme="minorBidi" w:cstheme="minorBidi"/>
        </w:rPr>
        <w:t xml:space="preserve">, </w:t>
      </w:r>
      <w:hyperlink r:id="rId269" w:history="1">
        <w:r w:rsidRPr="00C1535B">
          <w:rPr>
            <w:rStyle w:val="Hyperlink"/>
            <w:rFonts w:asciiTheme="minorBidi" w:hAnsiTheme="minorBidi" w:cstheme="minorBidi"/>
            <w:color w:val="auto"/>
          </w:rPr>
          <w:t>https://digital-strategy.ec.europa.eu/en/policies/blockchain-strategy</w:t>
        </w:r>
      </w:hyperlink>
    </w:p>
  </w:footnote>
  <w:footnote w:id="299">
    <w:p w14:paraId="2C6F11B3" w14:textId="0F4C9B13" w:rsidR="00CF4D44" w:rsidRPr="00C1535B" w:rsidRDefault="00CF4D44" w:rsidP="00CF4D44">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D809A1">
        <w:rPr>
          <w:rFonts w:asciiTheme="minorBidi" w:hAnsiTheme="minorBidi" w:cstheme="minorBidi"/>
        </w:rPr>
        <w:t>Ủy ban châu Âu</w:t>
      </w:r>
      <w:r w:rsidRPr="00C1535B">
        <w:rPr>
          <w:rFonts w:asciiTheme="minorBidi" w:hAnsiTheme="minorBidi" w:cstheme="minorBidi"/>
        </w:rPr>
        <w:t xml:space="preserve"> (n.d.) </w:t>
      </w:r>
      <w:r w:rsidR="00C36990">
        <w:rPr>
          <w:rFonts w:asciiTheme="minorBidi" w:hAnsiTheme="minorBidi" w:cstheme="minorBidi"/>
        </w:rPr>
        <w:t>Chiến lược chuỗi khối</w:t>
      </w:r>
      <w:r w:rsidRPr="00C1535B">
        <w:rPr>
          <w:rFonts w:asciiTheme="minorBidi" w:hAnsiTheme="minorBidi" w:cstheme="minorBidi"/>
        </w:rPr>
        <w:t xml:space="preserve">, </w:t>
      </w:r>
      <w:hyperlink r:id="rId270" w:history="1">
        <w:r w:rsidRPr="00C1535B">
          <w:rPr>
            <w:rStyle w:val="Hyperlink"/>
            <w:rFonts w:asciiTheme="minorBidi" w:hAnsiTheme="minorBidi" w:cstheme="minorBidi"/>
            <w:color w:val="auto"/>
          </w:rPr>
          <w:t>https://digital-strategy.ec.europa.eu/en/policies/blockchain-strategy</w:t>
        </w:r>
      </w:hyperlink>
      <w:r w:rsidRPr="00C1535B">
        <w:rPr>
          <w:rFonts w:asciiTheme="minorBidi" w:hAnsiTheme="minorBidi" w:cstheme="minorBidi"/>
        </w:rPr>
        <w:t xml:space="preserve"> </w:t>
      </w:r>
    </w:p>
  </w:footnote>
  <w:footnote w:id="300">
    <w:p w14:paraId="3B477FC8" w14:textId="738E5BE2" w:rsidR="00CF4D44" w:rsidRPr="00C1535B" w:rsidRDefault="00CF4D44" w:rsidP="00CF4D44">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D809A1">
        <w:rPr>
          <w:rFonts w:asciiTheme="minorBidi" w:hAnsiTheme="minorBidi" w:cstheme="minorBidi"/>
        </w:rPr>
        <w:t>Ủy ban châu Âu</w:t>
      </w:r>
      <w:r w:rsidRPr="00C1535B">
        <w:rPr>
          <w:rFonts w:asciiTheme="minorBidi" w:hAnsiTheme="minorBidi" w:cstheme="minorBidi"/>
        </w:rPr>
        <w:t xml:space="preserve"> (n.d.) </w:t>
      </w:r>
      <w:r w:rsidR="00C36990">
        <w:rPr>
          <w:rFonts w:asciiTheme="minorBidi" w:hAnsiTheme="minorBidi" w:cstheme="minorBidi"/>
        </w:rPr>
        <w:t>Chiến lược chuỗi khối</w:t>
      </w:r>
      <w:r w:rsidRPr="00C1535B">
        <w:rPr>
          <w:rFonts w:asciiTheme="minorBidi" w:hAnsiTheme="minorBidi" w:cstheme="minorBidi"/>
        </w:rPr>
        <w:t xml:space="preserve">, </w:t>
      </w:r>
      <w:hyperlink r:id="rId271" w:history="1">
        <w:r w:rsidRPr="00C1535B">
          <w:rPr>
            <w:rStyle w:val="Hyperlink"/>
            <w:rFonts w:asciiTheme="minorBidi" w:hAnsiTheme="minorBidi" w:cstheme="minorBidi"/>
            <w:color w:val="auto"/>
          </w:rPr>
          <w:t>https://digital-strategy.ec.europa.eu/en/policies/blockchain-strategy</w:t>
        </w:r>
      </w:hyperlink>
    </w:p>
  </w:footnote>
  <w:footnote w:id="301">
    <w:p w14:paraId="0D848E79" w14:textId="1CABF31E" w:rsidR="00CF4D44" w:rsidRPr="00C1535B" w:rsidRDefault="00CF4D44" w:rsidP="00CF4D44">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D809A1">
        <w:rPr>
          <w:rFonts w:asciiTheme="minorBidi" w:hAnsiTheme="minorBidi" w:cstheme="minorBidi"/>
        </w:rPr>
        <w:t>Ủy ban châu Âu</w:t>
      </w:r>
      <w:r w:rsidRPr="00C1535B">
        <w:rPr>
          <w:rFonts w:asciiTheme="minorBidi" w:hAnsiTheme="minorBidi" w:cstheme="minorBidi"/>
        </w:rPr>
        <w:t xml:space="preserve"> (n.d.) </w:t>
      </w:r>
      <w:r w:rsidR="00C36990">
        <w:rPr>
          <w:rFonts w:asciiTheme="minorBidi" w:hAnsiTheme="minorBidi" w:cstheme="minorBidi"/>
        </w:rPr>
        <w:t>Quy định về chuỗi khối của EU</w:t>
      </w:r>
      <w:r w:rsidRPr="00C1535B">
        <w:rPr>
          <w:rFonts w:asciiTheme="minorBidi" w:hAnsiTheme="minorBidi" w:cstheme="minorBidi"/>
        </w:rPr>
        <w:t xml:space="preserve">, </w:t>
      </w:r>
      <w:hyperlink r:id="rId272" w:history="1">
        <w:r w:rsidRPr="00C1535B">
          <w:rPr>
            <w:rStyle w:val="Hyperlink"/>
            <w:rFonts w:asciiTheme="minorBidi" w:hAnsiTheme="minorBidi" w:cstheme="minorBidi"/>
            <w:color w:val="auto"/>
          </w:rPr>
          <w:t>https://digital-finance-platform.ec.europa.eu/cross-border-services/ebsi</w:t>
        </w:r>
      </w:hyperlink>
      <w:r w:rsidRPr="00C1535B">
        <w:rPr>
          <w:rFonts w:asciiTheme="minorBidi" w:hAnsiTheme="minorBidi" w:cstheme="minorBidi"/>
        </w:rPr>
        <w:t xml:space="preserve"> </w:t>
      </w:r>
    </w:p>
  </w:footnote>
  <w:footnote w:id="302">
    <w:p w14:paraId="7F0881A2" w14:textId="6607FBBA" w:rsidR="00B47E0F" w:rsidRPr="00C1535B" w:rsidRDefault="00B47E0F" w:rsidP="00B47E0F">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CMU (2012) </w:t>
      </w:r>
      <w:r w:rsidR="00C36990">
        <w:rPr>
          <w:rFonts w:asciiTheme="minorBidi" w:hAnsiTheme="minorBidi" w:cstheme="minorBidi"/>
        </w:rPr>
        <w:t xml:space="preserve">Vai trò của tiêu chuẩn trong tương tác điện toán đám mây </w:t>
      </w:r>
      <w:r w:rsidRPr="00C1535B">
        <w:rPr>
          <w:rFonts w:asciiTheme="minorBidi" w:hAnsiTheme="minorBidi" w:cstheme="minorBidi"/>
        </w:rPr>
        <w:t xml:space="preserve">, </w:t>
      </w:r>
      <w:hyperlink r:id="rId273" w:history="1">
        <w:r w:rsidRPr="00C1535B">
          <w:rPr>
            <w:rStyle w:val="Hyperlink"/>
            <w:rFonts w:asciiTheme="minorBidi" w:hAnsiTheme="minorBidi" w:cstheme="minorBidi"/>
            <w:color w:val="auto"/>
          </w:rPr>
          <w:t>https://insights.sei.cmu.edu/documents/2235/2012_004_001_28143.pdf</w:t>
        </w:r>
      </w:hyperlink>
      <w:r w:rsidRPr="00C1535B">
        <w:rPr>
          <w:rFonts w:asciiTheme="minorBidi" w:hAnsiTheme="minorBidi" w:cstheme="minorBidi"/>
        </w:rPr>
        <w:t xml:space="preserve"> </w:t>
      </w:r>
    </w:p>
  </w:footnote>
  <w:footnote w:id="303">
    <w:p w14:paraId="360F73B4" w14:textId="1F1B89AC" w:rsidR="00B47E0F" w:rsidRPr="00C1535B" w:rsidRDefault="00B47E0F" w:rsidP="00B47E0F">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Economist Impact (2020) </w:t>
      </w:r>
      <w:r w:rsidR="00C36990">
        <w:rPr>
          <w:rFonts w:asciiTheme="minorBidi" w:hAnsiTheme="minorBidi" w:cstheme="minorBidi"/>
        </w:rPr>
        <w:t>Hành trình đến đám mây ở ASEAN</w:t>
      </w:r>
      <w:r w:rsidRPr="00C1535B">
        <w:rPr>
          <w:rFonts w:asciiTheme="minorBidi" w:hAnsiTheme="minorBidi" w:cstheme="minorBidi"/>
        </w:rPr>
        <w:t xml:space="preserve">, </w:t>
      </w:r>
      <w:hyperlink r:id="rId274" w:history="1">
        <w:r w:rsidRPr="00C1535B">
          <w:rPr>
            <w:rStyle w:val="Hyperlink"/>
            <w:rFonts w:asciiTheme="minorBidi" w:hAnsiTheme="minorBidi" w:cstheme="minorBidi"/>
            <w:color w:val="auto"/>
          </w:rPr>
          <w:t>https://impact.economist.com/perspectives/sites/default/files/eiu_vmware_up_in_the_air_infographic.pdf</w:t>
        </w:r>
      </w:hyperlink>
    </w:p>
  </w:footnote>
  <w:footnote w:id="304">
    <w:p w14:paraId="62BD3532" w14:textId="779E3512" w:rsidR="00B47E0F" w:rsidRPr="00C1535B" w:rsidRDefault="00B47E0F" w:rsidP="00B47E0F">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Kloud9 (2024) </w:t>
      </w:r>
      <w:r w:rsidR="00C36990">
        <w:rPr>
          <w:rFonts w:asciiTheme="minorBidi" w:hAnsiTheme="minorBidi" w:cstheme="minorBidi"/>
        </w:rPr>
        <w:t>Công cuộc và tác động của điện toán đám mây trong Kỷ nguyên số</w:t>
      </w:r>
      <w:r w:rsidRPr="00C1535B">
        <w:rPr>
          <w:rFonts w:asciiTheme="minorBidi" w:hAnsiTheme="minorBidi" w:cstheme="minorBidi"/>
        </w:rPr>
        <w:t xml:space="preserve">, </w:t>
      </w:r>
      <w:hyperlink r:id="rId275" w:history="1">
        <w:r w:rsidRPr="00C1535B">
          <w:rPr>
            <w:rStyle w:val="Hyperlink"/>
            <w:rFonts w:asciiTheme="minorBidi" w:hAnsiTheme="minorBidi" w:cstheme="minorBidi"/>
            <w:color w:val="auto"/>
          </w:rPr>
          <w:t>https://www.kloud9it.com/2024/03/the-evolution-and-impact-of-cloud-computing-in-the-digital-age/</w:t>
        </w:r>
      </w:hyperlink>
      <w:r w:rsidRPr="00C1535B">
        <w:rPr>
          <w:rFonts w:asciiTheme="minorBidi" w:hAnsiTheme="minorBidi" w:cstheme="minorBidi"/>
        </w:rPr>
        <w:t xml:space="preserve"> </w:t>
      </w:r>
    </w:p>
  </w:footnote>
  <w:footnote w:id="305">
    <w:p w14:paraId="6FF73FD0" w14:textId="77777777" w:rsidR="00FE7566" w:rsidRPr="00C1535B" w:rsidRDefault="00FE7566" w:rsidP="00FE7566">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ISO (2024) ISO/IEC 27017:2015, </w:t>
      </w:r>
      <w:hyperlink r:id="rId276" w:history="1">
        <w:r w:rsidRPr="00C1535B">
          <w:rPr>
            <w:rStyle w:val="Hyperlink"/>
            <w:rFonts w:asciiTheme="minorBidi" w:hAnsiTheme="minorBidi" w:cstheme="minorBidi"/>
            <w:color w:val="auto"/>
          </w:rPr>
          <w:t>https://www.iso.org/standard/43757.html</w:t>
        </w:r>
      </w:hyperlink>
      <w:r w:rsidRPr="00C1535B">
        <w:rPr>
          <w:rFonts w:asciiTheme="minorBidi" w:hAnsiTheme="minorBidi" w:cstheme="minorBidi"/>
        </w:rPr>
        <w:t xml:space="preserve"> </w:t>
      </w:r>
    </w:p>
  </w:footnote>
  <w:footnote w:id="306">
    <w:p w14:paraId="2555BF25" w14:textId="77777777" w:rsidR="00184186" w:rsidRPr="00C1535B" w:rsidRDefault="00184186" w:rsidP="00184186">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ISO (2024) ISO/IEC 27018:2019, </w:t>
      </w:r>
      <w:hyperlink r:id="rId277" w:history="1">
        <w:r w:rsidRPr="00C1535B">
          <w:rPr>
            <w:rStyle w:val="Hyperlink"/>
            <w:rFonts w:asciiTheme="minorBidi" w:hAnsiTheme="minorBidi" w:cstheme="minorBidi"/>
            <w:color w:val="auto"/>
          </w:rPr>
          <w:t>https://www.iso.org/standard/76559.html</w:t>
        </w:r>
      </w:hyperlink>
      <w:r w:rsidRPr="00C1535B">
        <w:rPr>
          <w:rFonts w:asciiTheme="minorBidi" w:hAnsiTheme="minorBidi" w:cstheme="minorBidi"/>
        </w:rPr>
        <w:t xml:space="preserve"> </w:t>
      </w:r>
    </w:p>
  </w:footnote>
  <w:footnote w:id="307">
    <w:p w14:paraId="6CAD0440" w14:textId="14C066BB" w:rsidR="00184186" w:rsidRPr="00B7347A" w:rsidRDefault="00184186" w:rsidP="00184186">
      <w:pPr>
        <w:pStyle w:val="FootnoteText"/>
        <w:jc w:val="left"/>
        <w:rPr>
          <w:rFonts w:asciiTheme="minorBidi" w:hAnsiTheme="minorBidi" w:cstheme="minorBidi"/>
          <w:lang w:val="fr-FR"/>
        </w:rPr>
      </w:pPr>
      <w:r w:rsidRPr="00C1535B">
        <w:rPr>
          <w:rStyle w:val="FootnoteReference"/>
          <w:rFonts w:asciiTheme="minorBidi" w:hAnsiTheme="minorBidi" w:cstheme="minorBidi"/>
        </w:rPr>
        <w:footnoteRef/>
      </w:r>
      <w:r w:rsidRPr="00B7347A">
        <w:rPr>
          <w:rFonts w:asciiTheme="minorBidi" w:hAnsiTheme="minorBidi" w:cstheme="minorBidi"/>
          <w:lang w:val="fr-FR"/>
        </w:rPr>
        <w:t xml:space="preserve"> CSA (2021) </w:t>
      </w:r>
      <w:r w:rsidR="00C36990">
        <w:rPr>
          <w:rFonts w:asciiTheme="minorBidi" w:hAnsiTheme="minorBidi" w:cstheme="minorBidi"/>
          <w:lang w:val="fr-FR"/>
        </w:rPr>
        <w:t>Ma trận kiểm soát đám mây</w:t>
      </w:r>
      <w:r w:rsidRPr="00B7347A">
        <w:rPr>
          <w:rFonts w:asciiTheme="minorBidi" w:hAnsiTheme="minorBidi" w:cstheme="minorBidi"/>
          <w:lang w:val="fr-FR"/>
        </w:rPr>
        <w:t xml:space="preserve"> (CCM), </w:t>
      </w:r>
      <w:hyperlink r:id="rId278" w:history="1">
        <w:r w:rsidRPr="00B7347A">
          <w:rPr>
            <w:rStyle w:val="Hyperlink"/>
            <w:rFonts w:asciiTheme="minorBidi" w:hAnsiTheme="minorBidi" w:cstheme="minorBidi"/>
            <w:color w:val="auto"/>
            <w:lang w:val="fr-FR"/>
          </w:rPr>
          <w:t>https://cloudsecurityalliance.org/research/cloud-controls-matrix</w:t>
        </w:r>
      </w:hyperlink>
      <w:r w:rsidRPr="00B7347A">
        <w:rPr>
          <w:rFonts w:asciiTheme="minorBidi" w:hAnsiTheme="minorBidi" w:cstheme="minorBidi"/>
          <w:lang w:val="fr-FR"/>
        </w:rPr>
        <w:t xml:space="preserve"> </w:t>
      </w:r>
    </w:p>
  </w:footnote>
  <w:footnote w:id="308">
    <w:p w14:paraId="144CEB57" w14:textId="4BBDBD0F" w:rsidR="00184186" w:rsidRPr="00C1535B" w:rsidRDefault="00184186" w:rsidP="00184186">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NIST (2011) </w:t>
      </w:r>
      <w:r w:rsidR="00C36990">
        <w:rPr>
          <w:rFonts w:asciiTheme="minorBidi" w:hAnsiTheme="minorBidi" w:cstheme="minorBidi"/>
        </w:rPr>
        <w:t>Kiến trúc tham khảo điện toán đám mây NIST</w:t>
      </w:r>
      <w:r w:rsidRPr="00C1535B">
        <w:rPr>
          <w:rFonts w:asciiTheme="minorBidi" w:hAnsiTheme="minorBidi" w:cstheme="minorBidi"/>
        </w:rPr>
        <w:t xml:space="preserve">, </w:t>
      </w:r>
      <w:hyperlink r:id="rId279" w:history="1">
        <w:r w:rsidRPr="00C1535B">
          <w:rPr>
            <w:rStyle w:val="Hyperlink"/>
            <w:rFonts w:asciiTheme="minorBidi" w:hAnsiTheme="minorBidi" w:cstheme="minorBidi"/>
            <w:color w:val="auto"/>
          </w:rPr>
          <w:t>https://nvlpubs.nist.gov/nistpubs/Legacy/SP/nistspecialpublication500-292.pdf</w:t>
        </w:r>
      </w:hyperlink>
      <w:r w:rsidRPr="00C1535B">
        <w:rPr>
          <w:rFonts w:asciiTheme="minorBidi" w:hAnsiTheme="minorBidi" w:cstheme="minorBidi"/>
        </w:rPr>
        <w:t xml:space="preserve"> </w:t>
      </w:r>
    </w:p>
  </w:footnote>
  <w:footnote w:id="309">
    <w:p w14:paraId="3A6002A1" w14:textId="3CE61E58" w:rsidR="00184186" w:rsidRPr="00C1535B" w:rsidRDefault="00184186" w:rsidP="00184186">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NIST (2011) </w:t>
      </w:r>
      <w:r w:rsidR="00C36990">
        <w:rPr>
          <w:rFonts w:asciiTheme="minorBidi" w:hAnsiTheme="minorBidi" w:cstheme="minorBidi"/>
        </w:rPr>
        <w:t>Khái niệm NIST về điện toán đám mây</w:t>
      </w:r>
      <w:r w:rsidRPr="00C1535B">
        <w:rPr>
          <w:rFonts w:asciiTheme="minorBidi" w:hAnsiTheme="minorBidi" w:cstheme="minorBidi"/>
        </w:rPr>
        <w:t xml:space="preserve">, </w:t>
      </w:r>
      <w:hyperlink r:id="rId280" w:history="1">
        <w:r w:rsidRPr="00C1535B">
          <w:rPr>
            <w:rStyle w:val="Hyperlink"/>
            <w:rFonts w:asciiTheme="minorBidi" w:hAnsiTheme="minorBidi" w:cstheme="minorBidi"/>
            <w:color w:val="auto"/>
          </w:rPr>
          <w:t>https://nvlpubs.nist.gov/nistpubs/Legacy/SP/nistspecialpublication800-145.pdf</w:t>
        </w:r>
      </w:hyperlink>
      <w:r w:rsidRPr="00C1535B">
        <w:rPr>
          <w:rFonts w:asciiTheme="minorBidi" w:hAnsiTheme="minorBidi" w:cstheme="minorBidi"/>
        </w:rPr>
        <w:t xml:space="preserve"> </w:t>
      </w:r>
    </w:p>
  </w:footnote>
  <w:footnote w:id="310">
    <w:p w14:paraId="6FB98DC7" w14:textId="77777777" w:rsidR="00D63EDF" w:rsidRPr="00C1535B" w:rsidRDefault="00D63EDF" w:rsidP="00D63EDF">
      <w:pPr>
        <w:pStyle w:val="FootnoteText"/>
        <w:jc w:val="left"/>
        <w:rPr>
          <w:rFonts w:asciiTheme="minorBidi" w:hAnsiTheme="minorBidi" w:cstheme="minorBidi"/>
          <w:b/>
        </w:rPr>
      </w:pPr>
      <w:r w:rsidRPr="00C1535B">
        <w:rPr>
          <w:rStyle w:val="FootnoteReference"/>
          <w:rFonts w:asciiTheme="minorBidi" w:hAnsiTheme="minorBidi" w:cstheme="minorBidi"/>
        </w:rPr>
        <w:footnoteRef/>
      </w:r>
      <w:r w:rsidRPr="00C1535B">
        <w:rPr>
          <w:rFonts w:asciiTheme="minorBidi" w:hAnsiTheme="minorBidi" w:cstheme="minorBidi"/>
        </w:rPr>
        <w:t xml:space="preserve"> ISO (2024) ISO/IEC JTC 1/SC 27, </w:t>
      </w:r>
      <w:hyperlink r:id="rId281" w:history="1">
        <w:r w:rsidRPr="00C1535B">
          <w:rPr>
            <w:rStyle w:val="Hyperlink"/>
            <w:rFonts w:asciiTheme="minorBidi" w:hAnsiTheme="minorBidi" w:cstheme="minorBidi"/>
            <w:color w:val="auto"/>
          </w:rPr>
          <w:t>https://www.iso.org/committee/45306.html</w:t>
        </w:r>
      </w:hyperlink>
      <w:r w:rsidRPr="00C1535B">
        <w:rPr>
          <w:rFonts w:asciiTheme="minorBidi" w:hAnsiTheme="minorBidi" w:cstheme="minorBidi"/>
        </w:rPr>
        <w:t xml:space="preserve"> </w:t>
      </w:r>
    </w:p>
  </w:footnote>
  <w:footnote w:id="311">
    <w:p w14:paraId="5513C741" w14:textId="77777777" w:rsidR="00D63EDF" w:rsidRPr="00C1535B" w:rsidRDefault="00D63EDF" w:rsidP="00D63EDF">
      <w:pPr>
        <w:pStyle w:val="FootnoteText"/>
        <w:jc w:val="left"/>
        <w:rPr>
          <w:rFonts w:asciiTheme="minorBidi" w:hAnsiTheme="minorBidi" w:cstheme="minorBidi"/>
          <w:b/>
        </w:rPr>
      </w:pPr>
      <w:r w:rsidRPr="00C1535B">
        <w:rPr>
          <w:rStyle w:val="FootnoteReference"/>
          <w:rFonts w:asciiTheme="minorBidi" w:hAnsiTheme="minorBidi" w:cstheme="minorBidi"/>
        </w:rPr>
        <w:footnoteRef/>
      </w:r>
      <w:r w:rsidRPr="00C1535B">
        <w:rPr>
          <w:rFonts w:asciiTheme="minorBidi" w:hAnsiTheme="minorBidi" w:cstheme="minorBidi"/>
        </w:rPr>
        <w:t xml:space="preserve"> ISO (2024) ISO/IEC JTC 1/SC 27, </w:t>
      </w:r>
      <w:hyperlink r:id="rId282" w:history="1">
        <w:r w:rsidRPr="00C1535B">
          <w:rPr>
            <w:rStyle w:val="Hyperlink"/>
            <w:rFonts w:asciiTheme="minorBidi" w:hAnsiTheme="minorBidi" w:cstheme="minorBidi"/>
            <w:color w:val="auto"/>
          </w:rPr>
          <w:t>https://www.iso.org/committee/45306.html</w:t>
        </w:r>
      </w:hyperlink>
      <w:r w:rsidRPr="00C1535B">
        <w:rPr>
          <w:rFonts w:asciiTheme="minorBidi" w:hAnsiTheme="minorBidi" w:cstheme="minorBidi"/>
        </w:rPr>
        <w:t xml:space="preserve"> </w:t>
      </w:r>
    </w:p>
  </w:footnote>
  <w:footnote w:id="312">
    <w:p w14:paraId="30604E04" w14:textId="36FB44B5" w:rsidR="00D63EDF" w:rsidRPr="00C1535B" w:rsidRDefault="00D63EDF" w:rsidP="00D63EDF">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Malaysia (n.d.) </w:t>
      </w:r>
      <w:r w:rsidR="00C36990">
        <w:rPr>
          <w:rFonts w:asciiTheme="minorBidi" w:hAnsiTheme="minorBidi" w:cstheme="minorBidi"/>
        </w:rPr>
        <w:t>Dịch vụ đám mây Chính phủ MyGovernment</w:t>
      </w:r>
      <w:r w:rsidRPr="00C1535B">
        <w:rPr>
          <w:rFonts w:asciiTheme="minorBidi" w:hAnsiTheme="minorBidi" w:cstheme="minorBidi"/>
        </w:rPr>
        <w:t xml:space="preserve">, </w:t>
      </w:r>
      <w:hyperlink r:id="rId283" w:history="1">
        <w:r w:rsidRPr="00C1535B">
          <w:rPr>
            <w:rStyle w:val="Hyperlink"/>
            <w:rFonts w:asciiTheme="minorBidi" w:hAnsiTheme="minorBidi" w:cstheme="minorBidi"/>
            <w:color w:val="auto"/>
          </w:rPr>
          <w:t>https://www.malaysia.gov.my/portal/content/31183</w:t>
        </w:r>
      </w:hyperlink>
      <w:r w:rsidRPr="00C1535B">
        <w:rPr>
          <w:rFonts w:asciiTheme="minorBidi" w:hAnsiTheme="minorBidi" w:cstheme="minorBidi"/>
        </w:rPr>
        <w:t xml:space="preserve"> </w:t>
      </w:r>
    </w:p>
  </w:footnote>
  <w:footnote w:id="313">
    <w:p w14:paraId="5CF7010A" w14:textId="52276898" w:rsidR="00D63EDF" w:rsidRPr="00C1535B" w:rsidRDefault="00D63EDF" w:rsidP="00D63EDF">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(2021) </w:t>
      </w:r>
      <w:r w:rsidR="00FB6362">
        <w:rPr>
          <w:rFonts w:asciiTheme="minorBidi" w:hAnsiTheme="minorBidi" w:cstheme="minorBidi"/>
        </w:rPr>
        <w:t>Kế hoạch tổng thể số 2025</w:t>
      </w:r>
      <w:r w:rsidRPr="00C1535B">
        <w:rPr>
          <w:rFonts w:asciiTheme="minorBidi" w:hAnsiTheme="minorBidi" w:cstheme="minorBidi"/>
        </w:rPr>
        <w:t xml:space="preserve">, </w:t>
      </w:r>
      <w:hyperlink r:id="rId284" w:history="1">
        <w:r w:rsidRPr="00C1535B">
          <w:rPr>
            <w:rStyle w:val="Hyperlink"/>
            <w:rFonts w:asciiTheme="minorBidi" w:hAnsiTheme="minorBidi" w:cstheme="minorBidi"/>
            <w:color w:val="auto"/>
          </w:rPr>
          <w:t>https://asean.org/book/asean-digital-masterplan-2025/</w:t>
        </w:r>
      </w:hyperlink>
      <w:r w:rsidRPr="00C1535B">
        <w:rPr>
          <w:rFonts w:asciiTheme="minorBidi" w:hAnsiTheme="minorBidi" w:cstheme="minorBidi"/>
        </w:rPr>
        <w:t xml:space="preserve"> </w:t>
      </w:r>
    </w:p>
  </w:footnote>
  <w:footnote w:id="314">
    <w:p w14:paraId="12BC9E00" w14:textId="288B9685" w:rsidR="009C79A5" w:rsidRPr="00C1535B" w:rsidRDefault="009C79A5" w:rsidP="009C79A5">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Economist Impact (2020) </w:t>
      </w:r>
      <w:r w:rsidR="00C36990">
        <w:rPr>
          <w:rFonts w:asciiTheme="minorBidi" w:hAnsiTheme="minorBidi" w:cstheme="minorBidi"/>
        </w:rPr>
        <w:t>Hành trình đến đám mây ở ASEAN</w:t>
      </w:r>
      <w:r w:rsidRPr="00C1535B">
        <w:rPr>
          <w:rFonts w:asciiTheme="minorBidi" w:hAnsiTheme="minorBidi" w:cstheme="minorBidi"/>
        </w:rPr>
        <w:t xml:space="preserve">, </w:t>
      </w:r>
      <w:hyperlink r:id="rId285" w:history="1">
        <w:r w:rsidRPr="00C1535B">
          <w:rPr>
            <w:rStyle w:val="Hyperlink"/>
            <w:rFonts w:asciiTheme="minorBidi" w:hAnsiTheme="minorBidi" w:cstheme="minorBidi"/>
            <w:color w:val="auto"/>
          </w:rPr>
          <w:t>https://impact.economist.com/perspectives/sites/default/files/eiu_vmware_up_in_the_air_infographic.pdf</w:t>
        </w:r>
      </w:hyperlink>
      <w:r w:rsidRPr="00C1535B">
        <w:rPr>
          <w:rFonts w:asciiTheme="minorBidi" w:hAnsiTheme="minorBidi" w:cstheme="minorBidi"/>
        </w:rPr>
        <w:t xml:space="preserve"> </w:t>
      </w:r>
    </w:p>
  </w:footnote>
  <w:footnote w:id="315">
    <w:p w14:paraId="35D4E03D" w14:textId="7EE7849E" w:rsidR="00892CD6" w:rsidRPr="00C1535B" w:rsidRDefault="00892CD6" w:rsidP="00892CD6">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IMF (2020) </w:t>
      </w:r>
      <w:r w:rsidR="00C36990">
        <w:rPr>
          <w:rFonts w:asciiTheme="minorBidi" w:hAnsiTheme="minorBidi" w:cstheme="minorBidi"/>
        </w:rPr>
        <w:t>Các yếu tố quyết định tăng trưởng bao trùm tại ASEAN</w:t>
      </w:r>
      <w:r w:rsidRPr="00C1535B">
        <w:rPr>
          <w:rFonts w:asciiTheme="minorBidi" w:hAnsiTheme="minorBidi" w:cstheme="minorBidi"/>
        </w:rPr>
        <w:t xml:space="preserve">, </w:t>
      </w:r>
      <w:hyperlink r:id="rId286" w:history="1">
        <w:r w:rsidRPr="00FD4695">
          <w:rPr>
            <w:rStyle w:val="Hyperlink"/>
            <w:color w:val="auto"/>
            <w:lang w:val="en-US"/>
          </w:rPr>
          <w:t>https://www.imf.org/en/Publications/WP/Issues/2020/07/03/Determinants-of-Inclusive-Growth-in-ASEAN-49547</w:t>
        </w:r>
      </w:hyperlink>
    </w:p>
  </w:footnote>
  <w:footnote w:id="316">
    <w:p w14:paraId="6EAC3D99" w14:textId="031447FF" w:rsidR="00892CD6" w:rsidRPr="00C1535B" w:rsidRDefault="00892CD6" w:rsidP="00892CD6">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ESCAP (2022) </w:t>
      </w:r>
      <w:r w:rsidR="00C36990">
        <w:rPr>
          <w:rFonts w:asciiTheme="minorBidi" w:hAnsiTheme="minorBidi" w:cstheme="minorBidi"/>
        </w:rPr>
        <w:t>Tăng cường khởi nghiệp của phụ nữ trong các chính sách và kế hoạch hành động quốc gia về doanh nghiệp siêu nhỏ, nhỏ và vừa (MSME)</w:t>
      </w:r>
      <w:r w:rsidRPr="00C1535B">
        <w:rPr>
          <w:rFonts w:asciiTheme="minorBidi" w:hAnsiTheme="minorBidi" w:cstheme="minorBidi"/>
        </w:rPr>
        <w:t xml:space="preserve">: </w:t>
      </w:r>
      <w:r w:rsidR="00C36990">
        <w:rPr>
          <w:rFonts w:asciiTheme="minorBidi" w:hAnsiTheme="minorBidi" w:cstheme="minorBidi"/>
        </w:rPr>
        <w:t>Bộ công cụ cho các nhà hoạch định chính sách</w:t>
      </w:r>
      <w:r w:rsidRPr="00C1535B">
        <w:rPr>
          <w:rFonts w:asciiTheme="minorBidi" w:hAnsiTheme="minorBidi" w:cstheme="minorBidi"/>
        </w:rPr>
        <w:t xml:space="preserve">, </w:t>
      </w:r>
      <w:hyperlink r:id="rId287" w:history="1">
        <w:r w:rsidRPr="00C1535B">
          <w:rPr>
            <w:rStyle w:val="Hyperlink"/>
            <w:rFonts w:asciiTheme="minorBidi" w:hAnsiTheme="minorBidi" w:cstheme="minorBidi"/>
            <w:color w:val="auto"/>
          </w:rPr>
          <w:t>https://asean.org/wp-content/uploads/2022/11/FINAL-Policy-Toolkit-Strengthening-Womens-Entrepreneurship-in-MSME.pdf</w:t>
        </w:r>
      </w:hyperlink>
      <w:r w:rsidRPr="00C1535B">
        <w:rPr>
          <w:rFonts w:asciiTheme="minorBidi" w:hAnsiTheme="minorBidi" w:cstheme="minorBidi"/>
        </w:rPr>
        <w:t xml:space="preserve"> </w:t>
      </w:r>
    </w:p>
  </w:footnote>
  <w:footnote w:id="317">
    <w:p w14:paraId="0656887B" w14:textId="2952451E" w:rsidR="00892CD6" w:rsidRPr="00C1535B" w:rsidRDefault="00892CD6" w:rsidP="00892CD6">
      <w:pPr>
        <w:pStyle w:val="FootnoteText"/>
        <w:rPr>
          <w:rFonts w:asciiTheme="minorBidi" w:hAnsiTheme="minorBidi" w:cstheme="minorBidi"/>
          <w:u w:val="single"/>
        </w:rPr>
      </w:pPr>
      <w:r w:rsidRPr="00C1535B">
        <w:rPr>
          <w:rStyle w:val="FootnoteReference"/>
          <w:rFonts w:asciiTheme="minorBidi" w:hAnsiTheme="minorBidi" w:cstheme="minorBidi"/>
        </w:rPr>
        <w:footnoteRef/>
      </w:r>
      <w:r w:rsidRPr="00C1535B">
        <w:rPr>
          <w:rFonts w:asciiTheme="minorBidi" w:hAnsiTheme="minorBidi" w:cstheme="minorBidi"/>
        </w:rPr>
        <w:t xml:space="preserve"> UNTAD (2022) </w:t>
      </w:r>
      <w:r w:rsidR="00C36990">
        <w:rPr>
          <w:rFonts w:asciiTheme="minorBidi" w:hAnsiTheme="minorBidi" w:cstheme="minorBidi"/>
        </w:rPr>
        <w:t>Thương mại số</w:t>
      </w:r>
      <w:r w:rsidRPr="00C1535B">
        <w:rPr>
          <w:rFonts w:asciiTheme="minorBidi" w:hAnsiTheme="minorBidi" w:cstheme="minorBidi"/>
        </w:rPr>
        <w:t xml:space="preserve">: </w:t>
      </w:r>
      <w:r w:rsidR="00C36990">
        <w:rPr>
          <w:rFonts w:asciiTheme="minorBidi" w:hAnsiTheme="minorBidi" w:cstheme="minorBidi"/>
        </w:rPr>
        <w:t>Cơ hội và hành động cho các nước đang phát triển</w:t>
      </w:r>
      <w:r w:rsidRPr="00C1535B">
        <w:rPr>
          <w:rFonts w:asciiTheme="minorBidi" w:hAnsiTheme="minorBidi" w:cstheme="minorBidi"/>
        </w:rPr>
        <w:t xml:space="preserve">, </w:t>
      </w:r>
      <w:r w:rsidRPr="00C1535B">
        <w:rPr>
          <w:rFonts w:asciiTheme="minorBidi" w:hAnsiTheme="minorBidi" w:cstheme="minorBidi"/>
          <w:u w:val="single"/>
        </w:rPr>
        <w:t>https://unctad.org/system/files/official-document/presspb2021d10_en.pdf</w:t>
      </w:r>
    </w:p>
  </w:footnote>
  <w:footnote w:id="318">
    <w:p w14:paraId="5DC10C12" w14:textId="7DA38423" w:rsidR="00475913" w:rsidRPr="005A21E8" w:rsidRDefault="00475913" w:rsidP="00475913">
      <w:pPr>
        <w:pStyle w:val="FootnoteText"/>
      </w:pPr>
      <w:r>
        <w:rPr>
          <w:rStyle w:val="FootnoteReference"/>
        </w:rPr>
        <w:footnoteRef/>
      </w:r>
      <w:r>
        <w:t xml:space="preserve"> </w:t>
      </w:r>
      <w:r w:rsidR="00FB6362">
        <w:rPr>
          <w:lang w:val="en-US"/>
        </w:rPr>
        <w:t>Ban Thư ký ASEAN</w:t>
      </w:r>
      <w:r w:rsidRPr="0096687D">
        <w:rPr>
          <w:lang w:val="en-US"/>
        </w:rPr>
        <w:t xml:space="preserve"> (2023) </w:t>
      </w:r>
      <w:r w:rsidR="00FB6362">
        <w:rPr>
          <w:lang w:val="en-US"/>
        </w:rPr>
        <w:t>Hướng dẫn ASEAN về hài hòa hóa các tiêu chuẩn</w:t>
      </w:r>
      <w:r w:rsidRPr="005A21E8">
        <w:rPr>
          <w:lang w:val="en-US"/>
        </w:rPr>
        <w:t>,</w:t>
      </w:r>
      <w:hyperlink r:id="rId288" w:tgtFrame="_blank" w:history="1">
        <w:r w:rsidRPr="005A21E8">
          <w:rPr>
            <w:rStyle w:val="Hyperlink"/>
            <w:color w:val="auto"/>
            <w:lang w:val="en-US"/>
          </w:rPr>
          <w:t>https://asean.org/wp-content/uploads/2023/05/ASEAN-Guidelines-for-Harmonisation-of-Standards-2022-Version.pdf</w:t>
        </w:r>
      </w:hyperlink>
    </w:p>
  </w:footnote>
  <w:footnote w:id="319">
    <w:p w14:paraId="00F0DF88" w14:textId="73E59D63" w:rsidR="008D7689" w:rsidRPr="005A21E8" w:rsidRDefault="008D7689" w:rsidP="008D7689">
      <w:pPr>
        <w:pStyle w:val="FootnoteText"/>
        <w:rPr>
          <w:lang w:val="en-US"/>
        </w:rPr>
      </w:pPr>
      <w:r w:rsidRPr="005A21E8">
        <w:rPr>
          <w:rStyle w:val="FootnoteReference"/>
        </w:rPr>
        <w:footnoteRef/>
      </w:r>
      <w:r w:rsidRPr="005A21E8">
        <w:t xml:space="preserve"> </w:t>
      </w:r>
      <w:r w:rsidRPr="005A21E8">
        <w:rPr>
          <w:lang w:val="en-US"/>
        </w:rPr>
        <w:t xml:space="preserve">ASEAN (n.d.) </w:t>
      </w:r>
      <w:r w:rsidR="0019055C">
        <w:rPr>
          <w:lang w:val="en-US"/>
        </w:rPr>
        <w:t>Các MRA giúp ngành công nghiệp trong khu vực như thế nào</w:t>
      </w:r>
      <w:r w:rsidRPr="005A21E8">
        <w:rPr>
          <w:lang w:val="en-US"/>
        </w:rPr>
        <w:t>,</w:t>
      </w:r>
      <w:hyperlink r:id="rId289" w:tgtFrame="_blank" w:history="1">
        <w:r w:rsidRPr="005A21E8">
          <w:rPr>
            <w:rStyle w:val="Hyperlink"/>
            <w:color w:val="auto"/>
            <w:lang w:val="en-US"/>
          </w:rPr>
          <w:t>https://asean.org/wp-content/uploads/2021/08/What-is-MRAs.pdf</w:t>
        </w:r>
      </w:hyperlink>
      <w:r w:rsidRPr="005A21E8">
        <w:rPr>
          <w:lang w:val="en-US"/>
        </w:rPr>
        <w:t> </w:t>
      </w:r>
    </w:p>
    <w:p w14:paraId="33BC26B8" w14:textId="77777777" w:rsidR="008D7689" w:rsidRPr="005A21E8" w:rsidRDefault="008D7689" w:rsidP="008D7689">
      <w:pPr>
        <w:pStyle w:val="FootnoteText"/>
        <w:rPr>
          <w:lang w:val="en-US"/>
        </w:rPr>
      </w:pPr>
      <w:r w:rsidRPr="005A21E8">
        <w:rPr>
          <w:lang w:val="en-US"/>
        </w:rPr>
        <w:t> </w:t>
      </w:r>
    </w:p>
    <w:p w14:paraId="5426312B" w14:textId="77777777" w:rsidR="008D7689" w:rsidRPr="0096687D" w:rsidRDefault="008D7689" w:rsidP="008D7689">
      <w:pPr>
        <w:pStyle w:val="FootnoteText"/>
      </w:pPr>
    </w:p>
  </w:footnote>
  <w:footnote w:id="320">
    <w:p w14:paraId="2607BCD8" w14:textId="4DFBE982" w:rsidR="0081310A" w:rsidRPr="00C1535B" w:rsidRDefault="0081310A" w:rsidP="00AF333F">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(2024) </w:t>
      </w:r>
      <w:r w:rsidR="0019055C">
        <w:rPr>
          <w:rFonts w:asciiTheme="minorBidi" w:hAnsiTheme="minorBidi" w:cstheme="minorBidi"/>
        </w:rPr>
        <w:t>Tài liệu khái niệm PED của Lào năm 2024: Hoàn thành nghiên cứu về Thế hệ mới Cơ chế 1 cửa ASEAN</w:t>
      </w:r>
    </w:p>
  </w:footnote>
  <w:footnote w:id="321">
    <w:p w14:paraId="6AD50765" w14:textId="513DB8B3" w:rsidR="0081310A" w:rsidRPr="00C1535B" w:rsidRDefault="0081310A" w:rsidP="00AF333F">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(2024) </w:t>
      </w:r>
      <w:r w:rsidR="0019055C">
        <w:rPr>
          <w:rFonts w:asciiTheme="minorBidi" w:hAnsiTheme="minorBidi" w:cstheme="minorBidi"/>
        </w:rPr>
        <w:t>Tài liệu khái niệm PED của Lào năm 2024: Hoàn thành nghiên cứu về Thế hệ mới Cơ chế 1 cửa ASEAN</w:t>
      </w:r>
    </w:p>
  </w:footnote>
  <w:footnote w:id="322">
    <w:p w14:paraId="162CA0F5" w14:textId="7D0B7A39" w:rsidR="00943402" w:rsidRPr="00C1535B" w:rsidRDefault="00943402" w:rsidP="00943402">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(2024) </w:t>
      </w:r>
      <w:r w:rsidR="0019055C">
        <w:rPr>
          <w:rFonts w:asciiTheme="minorBidi" w:hAnsiTheme="minorBidi" w:cstheme="minorBidi"/>
        </w:rPr>
        <w:t>Tài liệu khái niệm PED của Lào năm 2024: Hoàn thành nghiên cứu về Thế hệ mới Cơ chế 1 cửa ASEAN</w:t>
      </w:r>
    </w:p>
  </w:footnote>
  <w:footnote w:id="323">
    <w:p w14:paraId="60BE794E" w14:textId="11BC1A65" w:rsidR="0081310A" w:rsidRPr="00C1535B" w:rsidRDefault="0081310A" w:rsidP="00386ACB">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(2024) </w:t>
      </w:r>
      <w:r w:rsidR="0019055C">
        <w:rPr>
          <w:rFonts w:asciiTheme="minorBidi" w:hAnsiTheme="minorBidi" w:cstheme="minorBidi"/>
        </w:rPr>
        <w:t>Lộ trình thực thi UBIN ở ASEAN</w:t>
      </w:r>
      <w:r w:rsidRPr="00C1535B">
        <w:rPr>
          <w:rFonts w:asciiTheme="minorBidi" w:hAnsiTheme="minorBidi" w:cstheme="minorBidi"/>
        </w:rPr>
        <w:t xml:space="preserve">, </w:t>
      </w:r>
      <w:hyperlink r:id="rId290" w:history="1">
        <w:r w:rsidRPr="00FD4695">
          <w:rPr>
            <w:rStyle w:val="Hyperlink"/>
            <w:color w:val="auto"/>
          </w:rPr>
          <w:t>https://asean.org/wp-content/uploads/2024/04/TOR_UBIN-Implementation-Roadmap_final-1.pdf</w:t>
        </w:r>
      </w:hyperlink>
      <w:r w:rsidRPr="00FD4695">
        <w:t xml:space="preserve"> </w:t>
      </w:r>
    </w:p>
  </w:footnote>
  <w:footnote w:id="324">
    <w:p w14:paraId="354CE52F" w14:textId="5532B2EB" w:rsidR="0081310A" w:rsidRPr="00C1535B" w:rsidRDefault="0081310A" w:rsidP="00386ACB">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D96663">
        <w:rPr>
          <w:rFonts w:asciiTheme="minorBidi" w:hAnsiTheme="minorBidi" w:cstheme="minorBidi"/>
        </w:rPr>
        <w:t>Hội đồng kinh doanh US-ASEAN</w:t>
      </w:r>
      <w:r w:rsidRPr="00C1535B">
        <w:rPr>
          <w:rFonts w:asciiTheme="minorBidi" w:hAnsiTheme="minorBidi" w:cstheme="minorBidi"/>
        </w:rPr>
        <w:t xml:space="preserve"> (n.d.) </w:t>
      </w:r>
      <w:r w:rsidR="00D96663">
        <w:rPr>
          <w:rFonts w:asciiTheme="minorBidi" w:hAnsiTheme="minorBidi" w:cstheme="minorBidi"/>
        </w:rPr>
        <w:t>Nhận diện số ở ASEAN</w:t>
      </w:r>
      <w:r w:rsidRPr="00C1535B">
        <w:rPr>
          <w:rFonts w:asciiTheme="minorBidi" w:hAnsiTheme="minorBidi" w:cstheme="minorBidi"/>
        </w:rPr>
        <w:t xml:space="preserve">, </w:t>
      </w:r>
      <w:hyperlink r:id="rId291" w:history="1">
        <w:r w:rsidRPr="00C1535B">
          <w:rPr>
            <w:rStyle w:val="Hyperlink"/>
            <w:rFonts w:asciiTheme="minorBidi" w:hAnsiTheme="minorBidi" w:cstheme="minorBidi"/>
            <w:color w:val="auto"/>
          </w:rPr>
          <w:t>https://www.usasean.org/article/digital-identity-asean</w:t>
        </w:r>
      </w:hyperlink>
      <w:r w:rsidRPr="00C1535B">
        <w:rPr>
          <w:rFonts w:asciiTheme="minorBidi" w:hAnsiTheme="minorBidi" w:cstheme="minorBidi"/>
        </w:rPr>
        <w:t xml:space="preserve"> </w:t>
      </w:r>
    </w:p>
  </w:footnote>
  <w:footnote w:id="325">
    <w:p w14:paraId="0771EAA6" w14:textId="5EE5CC83" w:rsidR="0081310A" w:rsidRPr="00C2108D" w:rsidRDefault="0081310A">
      <w:pPr>
        <w:pStyle w:val="FootnoteText"/>
      </w:pPr>
      <w:r>
        <w:rPr>
          <w:rStyle w:val="FootnoteReference"/>
        </w:rPr>
        <w:footnoteRef/>
      </w:r>
      <w:r>
        <w:t xml:space="preserve"> </w:t>
      </w:r>
      <w:r w:rsidR="0019055C">
        <w:t>Các khuyến nghị và lĩnh vực hành động tập trung vào những ưu tiên có tác động lớn và cấp bách nhất trong từng tiểu lĩnh vực của thương mại số, và có thể không bao gồm các hành động thuộc cả ba nhóm phân loại</w:t>
      </w:r>
      <w:r>
        <w:t xml:space="preserve">. </w:t>
      </w:r>
    </w:p>
  </w:footnote>
  <w:footnote w:id="326">
    <w:p w14:paraId="029BBEBF" w14:textId="62184941" w:rsidR="0081310A" w:rsidRPr="00C1535B" w:rsidRDefault="0081310A" w:rsidP="00386ACB">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19055C" w:rsidRPr="0019055C">
        <w:rPr>
          <w:rFonts w:asciiTheme="minorBidi" w:hAnsiTheme="minorBidi" w:cstheme="minorBidi"/>
        </w:rPr>
        <w:t>Thời hạn của các giai đoạn ngắn hạn, trung hạn và dài hạn không được xác định cụ thể, do có thể khác nhau tùy theo tiến độ hợp tác, việc triển khai chính sách và các cải cách trong từng cơ quan chuyên ngành của ASEAN. Cách tiếp cận này nhằm bảo đảm tính linh hoạt và khả năng thích ứng phù hợp với động lực phát triển và bối cảnh đặc thù của từng quốc gia thành viên ASEAN (AMS).</w:t>
      </w:r>
      <w:r w:rsidRPr="00C1535B">
        <w:rPr>
          <w:rFonts w:asciiTheme="minorBidi" w:hAnsiTheme="minorBidi" w:cstheme="minorBidi"/>
        </w:rPr>
        <w:t>.</w:t>
      </w:r>
    </w:p>
  </w:footnote>
  <w:footnote w:id="327">
    <w:p w14:paraId="5A1EA7E2" w14:textId="33950838" w:rsidR="0081310A" w:rsidRPr="00C1535B" w:rsidRDefault="0081310A" w:rsidP="00121948">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19055C" w:rsidRPr="0019055C">
        <w:rPr>
          <w:rFonts w:asciiTheme="minorBidi" w:hAnsiTheme="minorBidi" w:cstheme="minorBidi"/>
        </w:rPr>
        <w:t>Thời hạn của các giai đoạn ngắn hạn, trung hạn và dài hạn không được xác định cụ thể, do có thể khác nhau tùy theo tiến độ hợp tác, việc triển khai chính sách và các cải cách trong từng cơ quan chuyên ngành của ASEAN. Cách tiếp cận này nhằm bảo đảm tính linh hoạt và khả năng thích ứng phù hợp với động lực phát triển và bối cảnh đặc thù của từng quốc gia thành viên ASEAN (AMS)</w:t>
      </w:r>
      <w:r w:rsidRPr="00C1535B">
        <w:rPr>
          <w:rFonts w:asciiTheme="minorBidi" w:hAnsiTheme="minorBidi" w:cstheme="minorBidi"/>
        </w:rPr>
        <w:t>.</w:t>
      </w:r>
    </w:p>
  </w:footnote>
  <w:footnote w:id="328">
    <w:p w14:paraId="33B548F8" w14:textId="704A8D7C" w:rsidR="0081310A" w:rsidRPr="00C1535B" w:rsidRDefault="0081310A" w:rsidP="004172CC">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19055C" w:rsidRPr="0019055C">
        <w:rPr>
          <w:rFonts w:asciiTheme="minorBidi" w:hAnsiTheme="minorBidi" w:cstheme="minorBidi"/>
        </w:rPr>
        <w:t>Thời hạn của các giai đoạn ngắn hạn, trung hạn và dài hạn không được xác định cụ thể, do có thể khác nhau tùy theo tiến độ hợp tác, việc triển khai chính sách và các cải cách trong từng cơ quan chuyên ngành của ASEAN. Cách tiếp cận này nhằm bảo đảm tính linh hoạt và khả năng thích ứng phù hợp với động lực phát triển và bối cảnh đặc thù của từng quốc gia thành viên ASEAN (AMS).</w:t>
      </w:r>
    </w:p>
  </w:footnote>
  <w:footnote w:id="329">
    <w:p w14:paraId="43DA72C7" w14:textId="55A37136" w:rsidR="0081310A" w:rsidRPr="00C1535B" w:rsidRDefault="0081310A" w:rsidP="00CA49BA">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8B15E0" w:rsidRPr="008B15E0">
        <w:rPr>
          <w:rFonts w:asciiTheme="minorBidi" w:hAnsiTheme="minorBidi" w:cstheme="minorBidi"/>
        </w:rPr>
        <w:t>Thời gian cho các giai đoạn ngắn hạn/trung hạn/dài hạn không được quy định cụ thể vì có thể thay đổi tùy theo tiến độ hợp tác, thực thi chính sách và cải cách của từng Cơ quan Chuyên ngành ASEAN. Cách tiếp cận này bảo đảm tính linh hoạt và khả năng thích ứng theo bối cảnh và đặc thù riêng của từng quốc gia thành viên ASEAN (AMS).</w:t>
      </w:r>
    </w:p>
  </w:footnote>
  <w:footnote w:id="330">
    <w:p w14:paraId="38B7A513" w14:textId="52BBBB25" w:rsidR="0081310A" w:rsidRPr="00C1535B" w:rsidRDefault="0081310A" w:rsidP="007664A3">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(2024) </w:t>
      </w:r>
      <w:r w:rsidR="0019055C">
        <w:rPr>
          <w:rFonts w:asciiTheme="minorBidi" w:hAnsiTheme="minorBidi" w:cstheme="minorBidi"/>
        </w:rPr>
        <w:t>Tài liệu khái niệm PED của Lào năm 2024: Hoàn thành nghiên cứu về Thế hệ mới Cơ chế 1 cửa ASEAN</w:t>
      </w:r>
      <w:r w:rsidRPr="00C1535B">
        <w:rPr>
          <w:rFonts w:asciiTheme="minorBidi" w:hAnsiTheme="minorBidi" w:cstheme="minorBidi"/>
        </w:rPr>
        <w:t xml:space="preserve">. </w:t>
      </w:r>
    </w:p>
  </w:footnote>
  <w:footnote w:id="331">
    <w:p w14:paraId="3D1106FF" w14:textId="609304A7" w:rsidR="0081310A" w:rsidRPr="00C1535B" w:rsidRDefault="0081310A" w:rsidP="000C02FA">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The duration of short/medium/long-term is not specified as it may vary based on the pace of collaboration, policy implementation</w:t>
      </w:r>
      <w:r w:rsidR="001F7407">
        <w:rPr>
          <w:rFonts w:asciiTheme="minorBidi" w:hAnsiTheme="minorBidi" w:cstheme="minorBidi"/>
        </w:rPr>
        <w:t xml:space="preserve"> và </w:t>
      </w:r>
      <w:r w:rsidRPr="00C1535B">
        <w:rPr>
          <w:rFonts w:asciiTheme="minorBidi" w:hAnsiTheme="minorBidi" w:cstheme="minorBidi"/>
        </w:rPr>
        <w:t>reforms across each ASEAN sectoral body. This approach ensures flexibility</w:t>
      </w:r>
      <w:r w:rsidR="001F7407">
        <w:rPr>
          <w:rFonts w:asciiTheme="minorBidi" w:hAnsiTheme="minorBidi" w:cstheme="minorBidi"/>
        </w:rPr>
        <w:t xml:space="preserve"> và </w:t>
      </w:r>
      <w:r w:rsidRPr="00C1535B">
        <w:rPr>
          <w:rFonts w:asciiTheme="minorBidi" w:hAnsiTheme="minorBidi" w:cstheme="minorBidi"/>
        </w:rPr>
        <w:t>adaptability according to the dynamics</w:t>
      </w:r>
      <w:r w:rsidR="001F7407">
        <w:rPr>
          <w:rFonts w:asciiTheme="minorBidi" w:hAnsiTheme="minorBidi" w:cstheme="minorBidi"/>
        </w:rPr>
        <w:t xml:space="preserve"> và </w:t>
      </w:r>
      <w:r w:rsidRPr="00C1535B">
        <w:rPr>
          <w:rFonts w:asciiTheme="minorBidi" w:hAnsiTheme="minorBidi" w:cstheme="minorBidi"/>
        </w:rPr>
        <w:t>unique contexts of each AMS.</w:t>
      </w:r>
    </w:p>
  </w:footnote>
  <w:footnote w:id="332">
    <w:p w14:paraId="6B51DC55" w14:textId="4429C9D8" w:rsidR="0081310A" w:rsidRPr="00C1535B" w:rsidRDefault="0081310A" w:rsidP="00CA49BA">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BD0284" w:rsidRPr="00BD0284">
        <w:rPr>
          <w:rFonts w:asciiTheme="minorBidi" w:hAnsiTheme="minorBidi" w:cstheme="minorBidi"/>
        </w:rPr>
        <w:t>Thời hạn của các giai đoạn ngắn hạn, trung hạn và dài hạn không được xác định cụ thể, do có thể khác nhau tùy theo tiến độ hợp tác, việc triển khai chính sách và các cải cách trong từng cơ quan chuyên ngành của ASEAN. Cách tiếp cận này nhằm bảo đảm tính linh hoạt và khả năng thích ứng phù hợp với động lực phát triển và bối cảnh đặc thù của từng quốc gia thành viên ASEAN (AMS).</w:t>
      </w:r>
    </w:p>
  </w:footnote>
  <w:footnote w:id="333">
    <w:p w14:paraId="4D1DDBBF" w14:textId="19AD7E06" w:rsidR="0081310A" w:rsidRPr="00C1535B" w:rsidRDefault="0081310A" w:rsidP="00BD0284">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BD0284">
        <w:rPr>
          <w:rFonts w:asciiTheme="minorBidi" w:hAnsiTheme="minorBidi" w:cstheme="minorBidi"/>
        </w:rPr>
        <w:t>Lưu ý</w:t>
      </w:r>
      <w:r w:rsidRPr="00C1535B">
        <w:rPr>
          <w:rFonts w:asciiTheme="minorBidi" w:hAnsiTheme="minorBidi" w:cstheme="minorBidi"/>
        </w:rPr>
        <w:t xml:space="preserve">: </w:t>
      </w:r>
      <w:r w:rsidR="00BD0284">
        <w:rPr>
          <w:rFonts w:asciiTheme="minorBidi" w:hAnsiTheme="minorBidi" w:cstheme="minorBidi"/>
        </w:rPr>
        <w:t xml:space="preserve">Loại hình cụ thể việc mở rộng kết nối số sẽ tùy thuộc vào phân tích trong nghiên cứu về thế hệ mới </w:t>
      </w:r>
      <w:r w:rsidR="00516936">
        <w:rPr>
          <w:rFonts w:asciiTheme="minorBidi" w:hAnsiTheme="minorBidi" w:cstheme="minorBidi"/>
        </w:rPr>
        <w:t>Cơ chế 1 cửa ASEAN</w:t>
      </w:r>
      <w:r w:rsidRPr="00C1535B">
        <w:rPr>
          <w:rFonts w:asciiTheme="minorBidi" w:hAnsiTheme="minorBidi" w:cstheme="minorBidi"/>
        </w:rPr>
        <w:t>.</w:t>
      </w:r>
    </w:p>
  </w:footnote>
  <w:footnote w:id="334">
    <w:p w14:paraId="4CB712D9" w14:textId="4E4F5485" w:rsidR="0081310A" w:rsidRPr="00C1535B" w:rsidRDefault="0081310A" w:rsidP="00EC6DCF">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BD0284" w:rsidRPr="00BD0284">
        <w:rPr>
          <w:rFonts w:asciiTheme="minorBidi" w:hAnsiTheme="minorBidi" w:cstheme="minorBidi"/>
        </w:rPr>
        <w:t>Thời hạn của các giai đoạn ngắn hạn, trung hạn và dài hạn không được xác định cụ thể, do có thể khác nhau tùy theo tiến độ hợp tác, việc triển khai chính sách và các cải cách trong từng cơ quan chuyên ngành của ASEAN. Cách tiếp cận này nhằm bảo đảm tính linh hoạt và khả năng thích ứng phù hợp với động lực phát triển và bối cảnh đặc thù của từng quốc gia thành viên ASEAN (AMS).</w:t>
      </w:r>
    </w:p>
  </w:footnote>
  <w:footnote w:id="335">
    <w:p w14:paraId="42E1E989" w14:textId="679D0562" w:rsidR="002467C1" w:rsidRPr="00C1535B" w:rsidRDefault="002467C1" w:rsidP="002467C1">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The duration of short/medium/long-term is not specified as it may vary based on the pace of collaboration, policy implementation</w:t>
      </w:r>
      <w:r w:rsidR="001F7407">
        <w:rPr>
          <w:rFonts w:asciiTheme="minorBidi" w:hAnsiTheme="minorBidi" w:cstheme="minorBidi"/>
        </w:rPr>
        <w:t xml:space="preserve"> và </w:t>
      </w:r>
      <w:r w:rsidRPr="00C1535B">
        <w:rPr>
          <w:rFonts w:asciiTheme="minorBidi" w:hAnsiTheme="minorBidi" w:cstheme="minorBidi"/>
        </w:rPr>
        <w:t>reforms across each ASEAN sectoral body. This approach ensures flexibility</w:t>
      </w:r>
      <w:r w:rsidR="001F7407">
        <w:rPr>
          <w:rFonts w:asciiTheme="minorBidi" w:hAnsiTheme="minorBidi" w:cstheme="minorBidi"/>
        </w:rPr>
        <w:t xml:space="preserve"> và </w:t>
      </w:r>
      <w:r w:rsidRPr="00C1535B">
        <w:rPr>
          <w:rFonts w:asciiTheme="minorBidi" w:hAnsiTheme="minorBidi" w:cstheme="minorBidi"/>
        </w:rPr>
        <w:t>adaptability according to the dynamics</w:t>
      </w:r>
      <w:r w:rsidR="001F7407">
        <w:rPr>
          <w:rFonts w:asciiTheme="minorBidi" w:hAnsiTheme="minorBidi" w:cstheme="minorBidi"/>
        </w:rPr>
        <w:t xml:space="preserve"> và </w:t>
      </w:r>
      <w:r w:rsidRPr="00C1535B">
        <w:rPr>
          <w:rFonts w:asciiTheme="minorBidi" w:hAnsiTheme="minorBidi" w:cstheme="minorBidi"/>
        </w:rPr>
        <w:t>unique contexts of each AMS.</w:t>
      </w:r>
    </w:p>
  </w:footnote>
  <w:footnote w:id="336">
    <w:p w14:paraId="10FBB034" w14:textId="1C4B58F1" w:rsidR="0081310A" w:rsidRPr="00C1535B" w:rsidRDefault="0081310A" w:rsidP="0084483E">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BD0284" w:rsidRPr="00BD0284">
        <w:rPr>
          <w:rFonts w:asciiTheme="minorBidi" w:hAnsiTheme="minorBidi" w:cstheme="minorBidi"/>
        </w:rPr>
        <w:t>Thời hạn của các giai đoạn ngắn hạn, trung hạn và dài hạn không được xác định cụ thể, do có thể khác nhau tùy theo tiến độ hợp tác, việc triển khai chính sách và các cải cách trong từng cơ quan chuyên ngành của ASEAN. Cách tiếp cận này nhằm bảo đảm tính linh hoạt và khả năng thích ứng phù hợp với động lực phát triển và bối cảnh đặc thù của từng quốc gia thành viên ASEAN (AMS).</w:t>
      </w:r>
    </w:p>
  </w:footnote>
  <w:footnote w:id="337">
    <w:p w14:paraId="11B7CBA9" w14:textId="72C38B5F" w:rsidR="0081310A" w:rsidRPr="00C1535B" w:rsidRDefault="0081310A" w:rsidP="005A7FFA">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BD0284" w:rsidRPr="00BD0284">
        <w:rPr>
          <w:rFonts w:asciiTheme="minorBidi" w:hAnsiTheme="minorBidi" w:cstheme="minorBidi"/>
        </w:rPr>
        <w:t>Thời hạn của các giai đoạn ngắn hạn, trung hạn và dài hạn không được xác định cụ thể, do có thể khác nhau tùy theo tiến độ hợp tác, việc triển khai chính sách và các cải cách trong từng cơ quan chuyên ngành của ASEAN. Cách tiếp cận này nhằm bảo đảm tính linh hoạt và khả năng thích ứng phù hợp với động lực phát triển và bối cảnh đặc thù của từng quốc gia thành viên ASEAN (AMS).</w:t>
      </w:r>
    </w:p>
  </w:footnote>
  <w:footnote w:id="338">
    <w:p w14:paraId="3F4774A5" w14:textId="46FCC557" w:rsidR="0081310A" w:rsidRPr="00C1535B" w:rsidRDefault="0081310A" w:rsidP="005A7FFA">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08023F" w:rsidRPr="0008023F">
        <w:rPr>
          <w:rFonts w:asciiTheme="minorBidi" w:hAnsiTheme="minorBidi" w:cstheme="minorBidi"/>
        </w:rPr>
        <w:t>Thời hạn của các giai đoạn ngắn hạn, trung hạn và dài hạn không được xác định cụ thể, do có thể khác nhau tùy theo tiến độ hợp tác, việc triển khai chính sách và các cải cách trong từng cơ quan chuyên ngành của ASEAN. Cách tiếp cận này nhằm bảo đảm tính linh hoạt và khả năng thích ứng phù hợp với động lực phát triển và bối cảnh đặc thù của từng quốc gia thành viên ASEAN (AMS).</w:t>
      </w:r>
    </w:p>
  </w:footnote>
  <w:footnote w:id="339">
    <w:p w14:paraId="045EE7FE" w14:textId="3827167A" w:rsidR="0081310A" w:rsidRPr="00C1535B" w:rsidRDefault="0081310A" w:rsidP="005A7FFA">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08023F" w:rsidRPr="0008023F">
        <w:rPr>
          <w:rFonts w:asciiTheme="minorBidi" w:hAnsiTheme="minorBidi" w:cstheme="minorBidi"/>
        </w:rPr>
        <w:t>Thời hạn của các giai đoạn ngắn hạn, trung hạn và dài hạn không được xác định cụ thể, do có thể khác nhau tùy theo tiến độ hợp tác, việc triển khai chính sách và các cải cách trong từng cơ quan chuyên ngành của ASEAN. Cách tiếp cận này nhằm bảo đảm tính linh hoạt và khả năng thích ứng phù hợp với động lực phát triển và bối cảnh đặc thù của từng quốc gia thành viên ASEAN (AMS).</w:t>
      </w:r>
    </w:p>
  </w:footnote>
  <w:footnote w:id="340">
    <w:p w14:paraId="5C531C2A" w14:textId="46C8482E" w:rsidR="0081310A" w:rsidRPr="00C1535B" w:rsidRDefault="0081310A" w:rsidP="005A7FFA">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08023F" w:rsidRPr="0008023F">
        <w:rPr>
          <w:rFonts w:asciiTheme="minorBidi" w:hAnsiTheme="minorBidi" w:cstheme="minorBidi"/>
        </w:rPr>
        <w:t>Thời hạn của các giai đoạn ngắn hạn, trung hạn và dài hạn không được xác định cụ thể, do có thể khác nhau tùy theo tiến độ hợp tác, việc triển khai chính sách và các cải cách trong từng cơ quan chuyên ngành của ASEAN. Cách tiếp cận này nhằm bảo đảm tính linh hoạt và khả năng thích ứng phù hợp với động lực phát triển và bối cảnh đặc thù của từng quốc gia thành viên ASEAN (AMS).</w:t>
      </w:r>
    </w:p>
  </w:footnote>
  <w:footnote w:id="341">
    <w:p w14:paraId="6E0CB129" w14:textId="09EF51D1" w:rsidR="0081310A" w:rsidRPr="00C1535B" w:rsidRDefault="0081310A" w:rsidP="005A7FFA">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08023F" w:rsidRPr="0008023F">
        <w:rPr>
          <w:rFonts w:asciiTheme="minorBidi" w:hAnsiTheme="minorBidi" w:cstheme="minorBidi"/>
        </w:rPr>
        <w:t>Thời hạn của các giai đoạn ngắn hạn, trung hạn và dài hạn không được xác định cụ thể, do có thể khác nhau tùy theo tiến độ hợp tác, việc triển khai chính sách và các cải cách trong từng cơ quan chuyên ngành của ASEAN. Cách tiếp cận này nhằm bảo đảm tính linh hoạt và khả năng thích ứng phù hợp với động lực phát triển và bối cảnh đặc thù của từng quốc gia thành viên ASEAN (AMS).</w:t>
      </w:r>
    </w:p>
  </w:footnote>
  <w:footnote w:id="342">
    <w:p w14:paraId="1AB76268" w14:textId="6CC9DC00" w:rsidR="0081310A" w:rsidRPr="00C1535B" w:rsidRDefault="0081310A" w:rsidP="005A7FFA">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08023F" w:rsidRPr="0008023F">
        <w:rPr>
          <w:rFonts w:asciiTheme="minorBidi" w:hAnsiTheme="minorBidi" w:cstheme="minorBidi"/>
        </w:rPr>
        <w:t>Thời hạn của các giai đoạn ngắn hạn, trung hạn và dài hạn không được xác định cụ thể, do có thể khác nhau tùy theo tiến độ hợp tác, việc triển khai chính sách và các cải cách trong từng cơ quan chuyên ngành của ASEAN. Cách tiếp cận này nhằm bảo đảm tính linh hoạt và khả năng thích ứng phù hợp với động lực phát triển và bối cảnh đặc thù của từng quốc gia thành viên ASEAN (AMS).</w:t>
      </w:r>
    </w:p>
  </w:footnote>
  <w:footnote w:id="343">
    <w:p w14:paraId="521D5DE0" w14:textId="05951DCC" w:rsidR="0081310A" w:rsidRPr="00C1535B" w:rsidRDefault="0081310A" w:rsidP="00470C18">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08023F" w:rsidRPr="0008023F">
        <w:rPr>
          <w:rFonts w:asciiTheme="minorBidi" w:hAnsiTheme="minorBidi" w:cstheme="minorBidi"/>
        </w:rPr>
        <w:t>Thời hạn của các giai đoạn ngắn hạn, trung hạn và dài hạn không được xác định cụ thể, do có thể khác nhau tùy theo tiến độ hợp tác, việc triển khai chính sách và các cải cách trong từng cơ quan chuyên ngành của ASEAN. Cách tiếp cận này nhằm bảo đảm tính linh hoạt và khả năng thích ứng phù hợp với động lực phát triển và bối cảnh đặc thù của từng quốc gia thành viên ASEAN (AMS).</w:t>
      </w:r>
    </w:p>
  </w:footnote>
  <w:footnote w:id="344">
    <w:p w14:paraId="7F99EFA4" w14:textId="4B233AA8" w:rsidR="0081310A" w:rsidRPr="00C1535B" w:rsidRDefault="0081310A" w:rsidP="00470C18">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08023F" w:rsidRPr="0008023F">
        <w:rPr>
          <w:rFonts w:asciiTheme="minorBidi" w:hAnsiTheme="minorBidi" w:cstheme="minorBidi"/>
        </w:rPr>
        <w:t>Thời hạn của các giai đoạn ngắn hạn, trung hạn và dài hạn không được xác định cụ thể, do có thể khác nhau tùy theo tiến độ hợp tác, việc triển khai chính sách và các cải cách trong từng cơ quan chuyên ngành của ASEAN. Cách tiếp cận này nhằm bảo đảm tính linh hoạt và khả năng thích ứng phù hợp với động lực phát triển và bối cảnh đặc thù của từng quốc gia thành viên ASEAN (AMS).</w:t>
      </w:r>
    </w:p>
  </w:footnote>
  <w:footnote w:id="345">
    <w:p w14:paraId="0A0D5DC3" w14:textId="1056296E" w:rsidR="0081310A" w:rsidRPr="00C1535B" w:rsidRDefault="0081310A" w:rsidP="00470C18">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08023F" w:rsidRPr="0008023F">
        <w:rPr>
          <w:rFonts w:asciiTheme="minorBidi" w:hAnsiTheme="minorBidi" w:cstheme="minorBidi"/>
        </w:rPr>
        <w:t>Thời hạn của các giai đoạn ngắn hạn, trung hạn và dài hạn không được xác định cụ thể, do có thể khác nhau tùy theo tiến độ hợp tác, việc triển khai chính sách và các cải cách trong từng cơ quan chuyên ngành của ASEAN. Cách tiếp cận này nhằm bảo đảm tính linh hoạt và khả năng thích ứng phù hợp với động lực phát triển và bối cảnh đặc thù của từng quốc gia thành viên ASEAN (AMS).</w:t>
      </w:r>
    </w:p>
  </w:footnote>
  <w:footnote w:id="346">
    <w:p w14:paraId="7696063A" w14:textId="0AADC8ED" w:rsidR="0081310A" w:rsidRPr="00C1535B" w:rsidRDefault="0081310A" w:rsidP="002732DC">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08023F" w:rsidRPr="0008023F">
        <w:rPr>
          <w:rFonts w:asciiTheme="minorBidi" w:hAnsiTheme="minorBidi" w:cstheme="minorBidi"/>
        </w:rPr>
        <w:t>Thời hạn của các giai đoạn ngắn hạn, trung hạn và dài hạn không được xác định cụ thể, do có thể khác nhau tùy theo tiến độ hợp tác, việc triển khai chính sách và các cải cách trong từng cơ quan chuyên ngành của ASEAN. Cách tiếp cận này nhằm bảo đảm tính linh hoạt và khả năng thích ứng phù hợp với động lực phát triển và bối cảnh đặc thù của từng quốc gia thành viên ASEAN (AMS).</w:t>
      </w:r>
    </w:p>
  </w:footnote>
  <w:footnote w:id="347">
    <w:p w14:paraId="5A832840" w14:textId="1C6618E3" w:rsidR="0081310A" w:rsidRPr="00C1535B" w:rsidRDefault="0081310A" w:rsidP="00EC69B5">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08023F" w:rsidRPr="0008023F">
        <w:rPr>
          <w:rFonts w:asciiTheme="minorBidi" w:hAnsiTheme="minorBidi" w:cstheme="minorBidi"/>
        </w:rPr>
        <w:t>Thời hạn của các giai đoạn ngắn hạn, trung hạn và dài hạn không được xác định cụ thể, do có thể khác nhau tùy theo tiến độ hợp tác, việc triển khai chính sách và các cải cách trong từng cơ quan chuyên ngành của ASEAN. Cách tiếp cận này nhằm bảo đảm tính linh hoạt và khả năng thích ứng phù hợp với động lực phát triển và bối cảnh đặc thù của từng quốc gia thành viên ASEAN (AMS).</w:t>
      </w:r>
    </w:p>
  </w:footnote>
  <w:footnote w:id="348">
    <w:p w14:paraId="4D87506E" w14:textId="52BE1177" w:rsidR="0081310A" w:rsidRPr="00C1535B" w:rsidRDefault="0081310A" w:rsidP="00EC69B5">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08023F" w:rsidRPr="0008023F">
        <w:rPr>
          <w:rFonts w:asciiTheme="minorBidi" w:hAnsiTheme="minorBidi" w:cstheme="minorBidi"/>
        </w:rPr>
        <w:t>Thời hạn của các giai đoạn ngắn hạn, trung hạn và dài hạn không được xác định cụ thể, do có thể khác nhau tùy theo tiến độ hợp tác, việc triển khai chính sách và các cải cách trong từng cơ quan chuyên ngành của ASEAN. Cách tiếp cận này nhằm bảo đảm tính linh hoạt và khả năng thích ứng phù hợp với động lực phát triển và bối cảnh đặc thù của từng quốc gia thành viên ASEAN (AMS).</w:t>
      </w:r>
    </w:p>
  </w:footnote>
  <w:footnote w:id="349">
    <w:p w14:paraId="0E6D37E7" w14:textId="18D71137" w:rsidR="0081310A" w:rsidRPr="00C1535B" w:rsidRDefault="0081310A" w:rsidP="00EC69B5">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08023F" w:rsidRPr="0008023F">
        <w:rPr>
          <w:rFonts w:asciiTheme="minorBidi" w:hAnsiTheme="minorBidi" w:cstheme="minorBidi"/>
        </w:rPr>
        <w:t>Thời hạn của các giai đoạn ngắn hạn, trung hạn và dài hạn không được xác định cụ thể, do có thể khác nhau tùy theo tiến độ hợp tác, việc triển khai chính sách và các cải cách trong từng cơ quan chuyên ngành của ASEAN. Cách tiếp cận này nhằm bảo đảm tính linh hoạt và khả năng thích ứng phù hợp với động lực phát triển và bối cảnh đặc thù của từng quốc gia thành viên ASEAN (AMS).</w:t>
      </w:r>
    </w:p>
  </w:footnote>
  <w:footnote w:id="350">
    <w:p w14:paraId="62D7D76D" w14:textId="1D1A391C" w:rsidR="0081310A" w:rsidRPr="00C1535B" w:rsidRDefault="0081310A" w:rsidP="00EC69B5">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08023F" w:rsidRPr="0008023F">
        <w:rPr>
          <w:rFonts w:asciiTheme="minorBidi" w:hAnsiTheme="minorBidi" w:cstheme="minorBidi"/>
        </w:rPr>
        <w:t>Thời hạn của các giai đoạn ngắn hạn, trung hạn và dài hạn không được xác định cụ thể, do có thể khác nhau tùy theo tiến độ hợp tác, việc triển khai chính sách và các cải cách trong từng cơ quan chuyên ngành của ASEAN. Cách tiếp cận này nhằm bảo đảm tính linh hoạt và khả năng thích ứng phù hợp với động lực phát triển và bối cảnh đặc thù của từng quốc gia thành viên ASEAN (AMS).</w:t>
      </w:r>
    </w:p>
  </w:footnote>
  <w:footnote w:id="351">
    <w:p w14:paraId="345DC80C" w14:textId="044490F3" w:rsidR="0081310A" w:rsidRPr="00C1535B" w:rsidRDefault="0081310A" w:rsidP="00EC69B5">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08023F" w:rsidRPr="0008023F">
        <w:rPr>
          <w:rFonts w:asciiTheme="minorBidi" w:hAnsiTheme="minorBidi" w:cstheme="minorBidi"/>
        </w:rPr>
        <w:t>Thời hạn của các giai đoạn ngắn hạn, trung hạn và dài hạn không được xác định cụ thể, do có thể khác nhau tùy theo tiến độ hợp tác, việc triển khai chính sách và các cải cách trong từng cơ quan chuyên ngành của ASEAN. Cách tiếp cận này nhằm bảo đảm tính linh hoạt và khả năng thích ứng phù hợp với động lực phát triển và bối cảnh đặc thù của từng quốc gia thành viên ASEAN (AMS).</w:t>
      </w:r>
    </w:p>
  </w:footnote>
  <w:footnote w:id="352">
    <w:p w14:paraId="7E9CC32F" w14:textId="693CB580" w:rsidR="0081310A" w:rsidRPr="008E6AAD" w:rsidRDefault="0081310A" w:rsidP="0082265E">
      <w:pPr>
        <w:pStyle w:val="FootnoteText"/>
      </w:pPr>
      <w:r>
        <w:rPr>
          <w:rStyle w:val="FootnoteReference"/>
        </w:rPr>
        <w:footnoteRef/>
      </w:r>
      <w:r>
        <w:t xml:space="preserve"> </w:t>
      </w:r>
      <w:r w:rsidR="0008023F">
        <w:t xml:space="preserve">Ủy ban về bảo vệ người tiêu dùng </w:t>
      </w:r>
      <w:r>
        <w:t xml:space="preserve">ASEAN (ACCP) </w:t>
      </w:r>
      <w:r w:rsidR="0008023F">
        <w:t xml:space="preserve">sẽ cập nhật Lộ trình Xây dựng năng lực ASEAN của mình trong năm </w:t>
      </w:r>
      <w:r>
        <w:t xml:space="preserve">2025. </w:t>
      </w:r>
      <w:r w:rsidR="0008023F">
        <w:t>Như vậy</w:t>
      </w:r>
      <w:r>
        <w:t xml:space="preserve">, </w:t>
      </w:r>
      <w:r w:rsidR="0008023F">
        <w:t xml:space="preserve">những khuyến nghị Nhóm </w:t>
      </w:r>
      <w:r>
        <w:t xml:space="preserve">2: </w:t>
      </w:r>
      <w:r w:rsidR="0008023F">
        <w:t xml:space="preserve">Xây dựng năng lực và hỗ trợ kỹ thuật bị loại bỏ, dành chỗ cho định hướng cập nhật và những sáng kiến của Lộ trình trong năm </w:t>
      </w:r>
      <w:r>
        <w:t xml:space="preserve">2025. </w:t>
      </w:r>
    </w:p>
  </w:footnote>
  <w:footnote w:id="353">
    <w:p w14:paraId="6CD68A7F" w14:textId="7851405C" w:rsidR="0081310A" w:rsidRPr="00C1535B" w:rsidRDefault="0081310A" w:rsidP="00EC69B5">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08023F" w:rsidRPr="0008023F">
        <w:rPr>
          <w:rFonts w:asciiTheme="minorBidi" w:hAnsiTheme="minorBidi" w:cstheme="minorBidi"/>
        </w:rPr>
        <w:t>Thời hạn của các giai đoạn ngắn hạn, trung hạn và dài hạn không được xác định cụ thể, do có thể khác nhau tùy theo tiến độ hợp tác, việc triển khai chính sách và các cải cách trong từng cơ quan chuyên ngành của ASEAN. Cách tiếp cận này nhằm bảo đảm tính linh hoạt và khả năng thích ứng phù hợp với động lực phát triển và bối cảnh đặc thù của từng quốc gia thành viên ASEAN (AMS).</w:t>
      </w:r>
    </w:p>
  </w:footnote>
  <w:footnote w:id="354">
    <w:p w14:paraId="38564EAF" w14:textId="4266A76F" w:rsidR="0081310A" w:rsidRPr="004548F3" w:rsidRDefault="0081310A">
      <w:pPr>
        <w:pStyle w:val="FootnoteText"/>
      </w:pPr>
      <w:r>
        <w:rPr>
          <w:rStyle w:val="FootnoteReference"/>
        </w:rPr>
        <w:footnoteRef/>
      </w:r>
      <w:r>
        <w:t xml:space="preserve"> </w:t>
      </w:r>
      <w:r w:rsidR="00FB6362">
        <w:t>Ban Thư ký ASEAN</w:t>
      </w:r>
      <w:r w:rsidRPr="004548F3">
        <w:t xml:space="preserve"> (2020) </w:t>
      </w:r>
      <w:r w:rsidR="00DB5DB6">
        <w:t>Bộ quy tắc ứng xử ASEAN về kinh doanh trực tuyến</w:t>
      </w:r>
      <w:r w:rsidRPr="004548F3">
        <w:t xml:space="preserve">, </w:t>
      </w:r>
      <w:r w:rsidRPr="004548F3">
        <w:rPr>
          <w:u w:val="single"/>
        </w:rPr>
        <w:t>https://aseanconsumer.org/file/post_image/2020-02-26%20ASEAN%20COC%20(fin).pdf</w:t>
      </w:r>
    </w:p>
  </w:footnote>
  <w:footnote w:id="355">
    <w:p w14:paraId="3BCC9606" w14:textId="4D4E0668" w:rsidR="0081310A" w:rsidRPr="00C1535B" w:rsidRDefault="0081310A" w:rsidP="00EC69B5">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08023F" w:rsidRPr="0008023F">
        <w:rPr>
          <w:rFonts w:asciiTheme="minorBidi" w:hAnsiTheme="minorBidi" w:cstheme="minorBidi"/>
        </w:rPr>
        <w:t>Thời hạn của các giai đoạn ngắn hạn, trung hạn và dài hạn không được xác định cụ thể, do có thể khác nhau tùy theo tiến độ hợp tác, việc triển khai chính sách và các cải cách trong từng cơ quan chuyên ngành của ASEAN. Cách tiếp cận này nhằm bảo đảm tính linh hoạt và khả năng thích ứng phù hợp với động lực phát triển và bối cảnh đặc thù của từng quốc gia thành viên ASEAN (AMS).</w:t>
      </w:r>
    </w:p>
  </w:footnote>
  <w:footnote w:id="356">
    <w:p w14:paraId="114BDF5E" w14:textId="2E926BBC" w:rsidR="0081310A" w:rsidRPr="00C1535B" w:rsidRDefault="0081310A" w:rsidP="00EC69B5">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08023F" w:rsidRPr="0008023F">
        <w:rPr>
          <w:rFonts w:asciiTheme="minorBidi" w:hAnsiTheme="minorBidi" w:cstheme="minorBidi"/>
        </w:rPr>
        <w:t>Thời hạn của các giai đoạn ngắn hạn, trung hạn và dài hạn không được xác định cụ thể, do có thể khác nhau tùy theo tiến độ hợp tác, việc triển khai chính sách và các cải cách trong từng cơ quan chuyên ngành của ASEAN. Cách tiếp cận này nhằm bảo đảm tính linh hoạt và khả năng thích ứng phù hợp với động lực phát triển và bối cảnh đặc thù của từng quốc gia thành viên ASEAN (AMS).</w:t>
      </w:r>
    </w:p>
  </w:footnote>
  <w:footnote w:id="357">
    <w:p w14:paraId="0B15EADD" w14:textId="38B49D29" w:rsidR="0081310A" w:rsidRPr="00C1535B" w:rsidRDefault="0081310A" w:rsidP="00EC69B5">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08023F" w:rsidRPr="0008023F">
        <w:rPr>
          <w:rFonts w:asciiTheme="minorBidi" w:hAnsiTheme="minorBidi" w:cstheme="minorBidi"/>
        </w:rPr>
        <w:t>Thời hạn của các giai đoạn ngắn hạn, trung hạn và dài hạn không được xác định cụ thể, do có thể khác nhau tùy theo tiến độ hợp tác, việc triển khai chính sách và các cải cách trong từng cơ quan chuyên ngành của ASEAN. Cách tiếp cận này nhằm bảo đảm tính linh hoạt và khả năng thích ứng phù hợp với động lực phát triển và bối cảnh đặc thù của từng quốc gia thành viên ASEAN (AMS).</w:t>
      </w:r>
    </w:p>
  </w:footnote>
  <w:footnote w:id="358">
    <w:p w14:paraId="39AA55EE" w14:textId="096BCEEC" w:rsidR="0081310A" w:rsidRPr="00C1535B" w:rsidRDefault="0081310A" w:rsidP="00EC69B5">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08023F" w:rsidRPr="0008023F">
        <w:rPr>
          <w:rFonts w:asciiTheme="minorBidi" w:hAnsiTheme="minorBidi" w:cstheme="minorBidi"/>
        </w:rPr>
        <w:t>Thời hạn của các giai đoạn ngắn hạn, trung hạn và dài hạn không được xác định cụ thể, do có thể khác nhau tùy theo tiến độ hợp tác, việc triển khai chính sách và các cải cách trong từng cơ quan chuyên ngành của ASEAN. Cách tiếp cận này nhằm bảo đảm tính linh hoạt và khả năng thích ứng phù hợp với động lực phát triển và bối cảnh đặc thù của từng quốc gia thành viên ASEAN (AMS).</w:t>
      </w:r>
    </w:p>
  </w:footnote>
  <w:footnote w:id="359">
    <w:p w14:paraId="1AC4B02C" w14:textId="4F29D411" w:rsidR="0081310A" w:rsidRPr="00C1535B" w:rsidRDefault="0081310A" w:rsidP="00986B6C">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08023F" w:rsidRPr="0008023F">
        <w:rPr>
          <w:rFonts w:asciiTheme="minorBidi" w:hAnsiTheme="minorBidi" w:cstheme="minorBidi"/>
        </w:rPr>
        <w:t>Thời hạn của các giai đoạn ngắn hạn, trung hạn và dài hạn không được xác định cụ thể, do có thể khác nhau tùy theo tiến độ hợp tác, việc triển khai chính sách và các cải cách trong từng cơ quan chuyên ngành của ASEAN. Cách tiếp cận này nhằm bảo đảm tính linh hoạt và khả năng thích ứng phù hợp với động lực phát triển và bối cảnh đặc thù của từng quốc gia thành viên ASEAN (AMS).</w:t>
      </w:r>
    </w:p>
  </w:footnote>
  <w:footnote w:id="360">
    <w:p w14:paraId="5D4A50F3" w14:textId="2E9C5C27" w:rsidR="0081310A" w:rsidRPr="00C1535B" w:rsidRDefault="0081310A" w:rsidP="00C235CA">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08023F" w:rsidRPr="0008023F">
        <w:rPr>
          <w:rFonts w:asciiTheme="minorBidi" w:hAnsiTheme="minorBidi" w:cstheme="minorBidi"/>
        </w:rPr>
        <w:t>Thời hạn của các giai đoạn ngắn hạn, trung hạn và dài hạn không được xác định cụ thể, do có thể khác nhau tùy theo tiến độ hợp tác, việc triển khai chính sách và các cải cách trong từng cơ quan chuyên ngành của ASEAN. Cách tiếp cận này nhằm bảo đảm tính linh hoạt và khả năng thích ứng phù hợp với động lực phát triển và bối cảnh đặc thù của từng quốc gia thành viên ASEAN (AMS).</w:t>
      </w:r>
    </w:p>
  </w:footnote>
  <w:footnote w:id="361">
    <w:p w14:paraId="3B27A522" w14:textId="18C8B613" w:rsidR="0081310A" w:rsidRPr="00C1535B" w:rsidRDefault="0081310A" w:rsidP="00C235CA">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08023F" w:rsidRPr="0008023F">
        <w:rPr>
          <w:rFonts w:asciiTheme="minorBidi" w:hAnsiTheme="minorBidi" w:cstheme="minorBidi"/>
        </w:rPr>
        <w:t>Thời hạn của các giai đoạn ngắn hạn, trung hạn và dài hạn không được xác định cụ thể, do có thể khác nhau tùy theo tiến độ hợp tác, việc triển khai chính sách và các cải cách trong từng cơ quan chuyên ngành của ASEAN. Cách tiếp cận này nhằm bảo đảm tính linh hoạt và khả năng thích ứng phù hợp với động lực phát triển và bối cảnh đặc thù của từng quốc gia thành viên ASEAN (AMS).</w:t>
      </w:r>
    </w:p>
  </w:footnote>
  <w:footnote w:id="362">
    <w:p w14:paraId="42E32FE4" w14:textId="7AA192C2" w:rsidR="0081310A" w:rsidRPr="00C1535B" w:rsidRDefault="0081310A" w:rsidP="00C235CA">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08023F" w:rsidRPr="0008023F">
        <w:rPr>
          <w:rFonts w:asciiTheme="minorBidi" w:hAnsiTheme="minorBidi" w:cstheme="minorBidi"/>
        </w:rPr>
        <w:t>Thời hạn của các giai đoạn ngắn hạn, trung hạn và dài hạn không được xác định cụ thể, do có thể khác nhau tùy theo tiến độ hợp tác, việc triển khai chính sách và các cải cách trong từng cơ quan chuyên ngành của ASEAN. Cách tiếp cận này nhằm bảo đảm tính linh hoạt và khả năng thích ứng phù hợp với động lực phát triển và bối cảnh đặc thù của từng quốc gia thành viên ASEAN (AMS).</w:t>
      </w:r>
    </w:p>
  </w:footnote>
  <w:footnote w:id="363">
    <w:p w14:paraId="50A3A210" w14:textId="51B04989" w:rsidR="0081310A" w:rsidRPr="00C1535B" w:rsidRDefault="0081310A" w:rsidP="00C235CA">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6A7996" w:rsidRPr="006A7996">
        <w:rPr>
          <w:rFonts w:asciiTheme="minorBidi" w:hAnsiTheme="minorBidi" w:cstheme="minorBidi"/>
        </w:rPr>
        <w:t>Thời hạn của các giai đoạn ngắn hạn, trung hạn và dài hạn không được xác định cụ thể, do có thể khác nhau tùy theo tiến độ hợp tác, việc triển khai chính sách và các cải cách trong từng cơ quan chuyên ngành của ASEAN. Cách tiếp cận này nhằm bảo đảm tính linh hoạt và khả năng thích ứng phù hợp với động lực phát triển và bối cảnh đặc thù của từng quốc gia thành viên ASEAN (AMS).</w:t>
      </w:r>
    </w:p>
  </w:footnote>
  <w:footnote w:id="364">
    <w:p w14:paraId="74952204" w14:textId="1FECAF09" w:rsidR="0081310A" w:rsidRPr="00C1535B" w:rsidRDefault="0081310A" w:rsidP="00C235CA">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6A7996" w:rsidRPr="006A7996">
        <w:rPr>
          <w:rFonts w:asciiTheme="minorBidi" w:hAnsiTheme="minorBidi" w:cstheme="minorBidi"/>
        </w:rPr>
        <w:t>Thời hạn của các giai đoạn ngắn hạn, trung hạn và dài hạn không được xác định cụ thể, do có thể khác nhau tùy theo tiến độ hợp tác, việc triển khai chính sách và các cải cách trong từng cơ quan chuyên ngành của ASEAN. Cách tiếp cận này nhằm bảo đảm tính linh hoạt và khả năng thích ứng phù hợp với động lực phát triển và bối cảnh đặc thù của từng quốc gia thành viên ASEAN (AMS).</w:t>
      </w:r>
    </w:p>
  </w:footnote>
  <w:footnote w:id="365">
    <w:p w14:paraId="69260ACC" w14:textId="1C5BFCEF" w:rsidR="0081310A" w:rsidRPr="00C1535B" w:rsidRDefault="0081310A" w:rsidP="00C235CA">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6A7996" w:rsidRPr="006A7996">
        <w:rPr>
          <w:rFonts w:asciiTheme="minorBidi" w:hAnsiTheme="minorBidi" w:cstheme="minorBidi"/>
        </w:rPr>
        <w:t>Thời hạn của các giai đoạn ngắn hạn, trung hạn và dài hạn không được xác định cụ thể, do có thể khác nhau tùy theo tiến độ hợp tác, việc triển khai chính sách và các cải cách trong từng cơ quan chuyên ngành của ASEAN. Cách tiếp cận này nhằm bảo đảm tính linh hoạt và khả năng thích ứng phù hợp với động lực phát triển và bối cảnh đặc thù của từng quốc gia thành viên ASEAN (AMS).</w:t>
      </w:r>
    </w:p>
  </w:footnote>
  <w:footnote w:id="366">
    <w:p w14:paraId="4586F6A8" w14:textId="22737F72" w:rsidR="0081310A" w:rsidRPr="00C1535B" w:rsidRDefault="0081310A" w:rsidP="00C235CA">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6A7996" w:rsidRPr="006A7996">
        <w:rPr>
          <w:rFonts w:asciiTheme="minorBidi" w:hAnsiTheme="minorBidi" w:cstheme="minorBidi"/>
        </w:rPr>
        <w:t>Thời hạn của các giai đoạn ngắn hạn, trung hạn và dài hạn không được xác định cụ thể, do có thể khác nhau tùy theo tiến độ hợp tác, việc triển khai chính sách và các cải cách trong từng cơ quan chuyên ngành của ASEAN. Cách tiếp cận này nhằm bảo đảm tính linh hoạt và khả năng thích ứng phù hợp với động lực phát triển và bối cảnh đặc thù của từng quốc gia thành viên ASEAN (AMS).</w:t>
      </w:r>
    </w:p>
  </w:footnote>
  <w:footnote w:id="367">
    <w:p w14:paraId="11CF5382" w14:textId="4C94D934" w:rsidR="0081310A" w:rsidRPr="0024717D" w:rsidRDefault="0081310A">
      <w:pPr>
        <w:pStyle w:val="FootnoteText"/>
      </w:pPr>
      <w:r w:rsidRPr="005A21E8">
        <w:rPr>
          <w:rStyle w:val="FootnoteReference"/>
        </w:rPr>
        <w:footnoteRef/>
      </w:r>
      <w:r w:rsidRPr="005A21E8">
        <w:t xml:space="preserve"> </w:t>
      </w:r>
      <w:hyperlink r:id="rId292" w:anchor="!iso:std:73642:en" w:history="1">
        <w:r w:rsidRPr="005A21E8">
          <w:rPr>
            <w:rStyle w:val="Hyperlink"/>
            <w:color w:val="auto"/>
          </w:rPr>
          <w:t xml:space="preserve">ISO(2024) ISO/IEC TR 22678:2019 </w:t>
        </w:r>
        <w:r w:rsidR="00BA52B1">
          <w:rPr>
            <w:rStyle w:val="Hyperlink"/>
            <w:color w:val="auto"/>
          </w:rPr>
          <w:t>Công nghệ thông tin</w:t>
        </w:r>
        <w:r w:rsidRPr="005A21E8">
          <w:rPr>
            <w:rStyle w:val="Hyperlink"/>
            <w:color w:val="auto"/>
          </w:rPr>
          <w:t xml:space="preserve"> — </w:t>
        </w:r>
        <w:r w:rsidR="006A7996">
          <w:rPr>
            <w:rStyle w:val="Hyperlink"/>
            <w:color w:val="auto"/>
          </w:rPr>
          <w:t>Điện toán đám mây</w:t>
        </w:r>
        <w:r w:rsidRPr="005A21E8">
          <w:rPr>
            <w:rStyle w:val="Hyperlink"/>
            <w:color w:val="auto"/>
          </w:rPr>
          <w:t xml:space="preserve"> — </w:t>
        </w:r>
        <w:r w:rsidR="006A7996">
          <w:rPr>
            <w:rStyle w:val="Hyperlink"/>
            <w:color w:val="auto"/>
          </w:rPr>
          <w:t>Hướng dẫn xây dựng chính sách</w:t>
        </w:r>
      </w:hyperlink>
      <w:r w:rsidRPr="005A21E8">
        <w:t>,</w:t>
      </w:r>
      <w:r w:rsidRPr="005A21E8">
        <w:rPr>
          <w:u w:val="single"/>
        </w:rPr>
        <w:t>https://www.iso.org/obp/ui/en/#iso:std:iso-</w:t>
      </w:r>
      <w:r w:rsidRPr="009C19DC">
        <w:rPr>
          <w:u w:val="single"/>
        </w:rPr>
        <w:t>iec:tr:22678:ed-1:v1:en</w:t>
      </w:r>
    </w:p>
  </w:footnote>
  <w:footnote w:id="368">
    <w:p w14:paraId="6AB8C2C9" w14:textId="08881D68" w:rsidR="0081310A" w:rsidRPr="00C1535B" w:rsidRDefault="0081310A" w:rsidP="00C235CA">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6A7996" w:rsidRPr="006A7996">
        <w:rPr>
          <w:rFonts w:asciiTheme="minorBidi" w:hAnsiTheme="minorBidi" w:cstheme="minorBidi"/>
        </w:rPr>
        <w:t>Thời hạn của các giai đoạn ngắn hạn, trung hạn và dài hạn không được xác định cụ thể, do có thể khác nhau tùy theo tiến độ hợp tác, việc triển khai chính sách và các cải cách trong từng cơ quan chuyên ngành của ASEAN. Cách tiếp cận này nhằm bảo đảm tính linh hoạt và khả năng thích ứng phù hợp với động lực phát triển và bối cảnh đặc thù của từng quốc gia thành viên ASEAN (AMS).</w:t>
      </w:r>
    </w:p>
  </w:footnote>
  <w:footnote w:id="369">
    <w:p w14:paraId="104ED4F2" w14:textId="0904D5DC" w:rsidR="0081310A" w:rsidRPr="00C1535B" w:rsidRDefault="0081310A" w:rsidP="00C235CA">
      <w:pPr>
        <w:pStyle w:val="FootnoteTex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6A7996" w:rsidRPr="006A7996">
        <w:rPr>
          <w:rFonts w:asciiTheme="minorBidi" w:hAnsiTheme="minorBidi" w:cstheme="minorBidi"/>
        </w:rPr>
        <w:t>Thời hạn của các giai đoạn ngắn hạn, trung hạn và dài hạn không được xác định cụ thể, do có thể khác nhau tùy theo tiến độ hợp tác, việc triển khai chính sách và các cải cách trong từng cơ quan chuyên ngành của ASEAN. Cách tiếp cận này nhằm bảo đảm tính linh hoạt và khả năng thích ứng phù hợp với động lực phát triển và bối cảnh đặc thù của từng quốc gia thành viên ASEAN (AMS).</w:t>
      </w:r>
    </w:p>
  </w:footnote>
  <w:footnote w:id="370">
    <w:p w14:paraId="7AA86B41" w14:textId="759E8814" w:rsidR="00F2143D" w:rsidRPr="00C1535B" w:rsidRDefault="00F2143D" w:rsidP="00F2143D">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(2021) </w:t>
      </w:r>
      <w:r w:rsidR="00FB6362">
        <w:rPr>
          <w:rFonts w:asciiTheme="minorBidi" w:hAnsiTheme="minorBidi" w:cstheme="minorBidi"/>
        </w:rPr>
        <w:t>Kế hoạch tổng thể số 2025</w:t>
      </w:r>
      <w:r w:rsidRPr="00C1535B">
        <w:rPr>
          <w:rFonts w:asciiTheme="minorBidi" w:hAnsiTheme="minorBidi" w:cstheme="minorBidi"/>
        </w:rPr>
        <w:t xml:space="preserve">, </w:t>
      </w:r>
      <w:hyperlink r:id="rId293" w:history="1">
        <w:r w:rsidRPr="00C1535B">
          <w:rPr>
            <w:rStyle w:val="Hyperlink"/>
            <w:rFonts w:asciiTheme="minorBidi" w:hAnsiTheme="minorBidi" w:cstheme="minorBidi"/>
            <w:color w:val="auto"/>
          </w:rPr>
          <w:t>https://asean.org/book/asean-digital-masterplan-2025/</w:t>
        </w:r>
      </w:hyperlink>
      <w:r w:rsidRPr="00C1535B">
        <w:rPr>
          <w:rStyle w:val="Hyperlink"/>
          <w:rFonts w:asciiTheme="minorBidi" w:hAnsiTheme="minorBidi" w:cstheme="minorBidi"/>
          <w:color w:val="auto"/>
        </w:rPr>
        <w:t xml:space="preserve"> </w:t>
      </w:r>
    </w:p>
  </w:footnote>
  <w:footnote w:id="371">
    <w:p w14:paraId="4E62C15E" w14:textId="3F7389E0" w:rsidR="0081310A" w:rsidRPr="00C1535B" w:rsidRDefault="0081310A" w:rsidP="6BB67ADE">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(2020) </w:t>
      </w:r>
      <w:r w:rsidR="00477436">
        <w:rPr>
          <w:rFonts w:asciiTheme="minorBidi" w:hAnsiTheme="minorBidi" w:cstheme="minorBidi"/>
        </w:rPr>
        <w:t>Kế hoạch tổng thể ICT ASEAN 2020</w:t>
      </w:r>
      <w:r w:rsidRPr="00C1535B">
        <w:rPr>
          <w:rFonts w:asciiTheme="minorBidi" w:hAnsiTheme="minorBidi" w:cstheme="minorBidi"/>
        </w:rPr>
        <w:t xml:space="preserve">, </w:t>
      </w:r>
      <w:hyperlink r:id="rId294" w:history="1">
        <w:r w:rsidRPr="00C1535B">
          <w:rPr>
            <w:rStyle w:val="Hyperlink"/>
            <w:rFonts w:asciiTheme="minorBidi" w:hAnsiTheme="minorBidi" w:cstheme="minorBidi"/>
            <w:color w:val="auto"/>
          </w:rPr>
          <w:t>https://asean.org/wp-content/uploads/images/2015/November/ICT/15b%20--%20AIM%202020_Publication_Final.pdf</w:t>
        </w:r>
      </w:hyperlink>
      <w:r w:rsidRPr="00C1535B">
        <w:rPr>
          <w:rFonts w:asciiTheme="minorBidi" w:hAnsiTheme="minorBidi" w:cstheme="minorBidi"/>
        </w:rPr>
        <w:t xml:space="preserve"> </w:t>
      </w:r>
    </w:p>
  </w:footnote>
  <w:footnote w:id="372">
    <w:p w14:paraId="5C8D40DF" w14:textId="47BA9858" w:rsidR="00B60A13" w:rsidRPr="00C1535B" w:rsidRDefault="00B60A13" w:rsidP="00B60A13">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(n.d.) </w:t>
      </w:r>
      <w:r w:rsidR="00924C64">
        <w:rPr>
          <w:rFonts w:asciiTheme="minorBidi" w:hAnsiTheme="minorBidi" w:cstheme="minorBidi"/>
        </w:rPr>
        <w:t>Thương mại 1 cửa ASEAN</w:t>
      </w:r>
      <w:r w:rsidRPr="00C1535B">
        <w:rPr>
          <w:rFonts w:asciiTheme="minorBidi" w:hAnsiTheme="minorBidi" w:cstheme="minorBidi"/>
        </w:rPr>
        <w:t xml:space="preserve">, </w:t>
      </w:r>
      <w:hyperlink r:id="rId295" w:history="1">
        <w:r w:rsidRPr="00C1535B">
          <w:rPr>
            <w:rStyle w:val="Hyperlink"/>
            <w:rFonts w:asciiTheme="minorBidi" w:hAnsiTheme="minorBidi" w:cstheme="minorBidi"/>
            <w:color w:val="auto"/>
          </w:rPr>
          <w:t>https://asean.org/our-communities/economic-community/asean-single-window/</w:t>
        </w:r>
      </w:hyperlink>
      <w:r w:rsidRPr="00C1535B">
        <w:rPr>
          <w:rFonts w:asciiTheme="minorBidi" w:hAnsiTheme="minorBidi" w:cstheme="minorBidi"/>
        </w:rPr>
        <w:t xml:space="preserve"> </w:t>
      </w:r>
    </w:p>
  </w:footnote>
  <w:footnote w:id="373">
    <w:p w14:paraId="69C32147" w14:textId="68ACDD0D" w:rsidR="0052439E" w:rsidRPr="00C1535B" w:rsidRDefault="0052439E" w:rsidP="0052439E">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(n.d.) </w:t>
      </w:r>
      <w:r w:rsidR="006A7996">
        <w:rPr>
          <w:rFonts w:asciiTheme="minorBidi" w:hAnsiTheme="minorBidi" w:cstheme="minorBidi"/>
        </w:rPr>
        <w:t xml:space="preserve">Cổng thông tin Hệ thống quá cảnh hải quan </w:t>
      </w:r>
      <w:r w:rsidRPr="00C1535B">
        <w:rPr>
          <w:rFonts w:asciiTheme="minorBidi" w:hAnsiTheme="minorBidi" w:cstheme="minorBidi"/>
        </w:rPr>
        <w:t xml:space="preserve">ASEAN, </w:t>
      </w:r>
      <w:hyperlink r:id="rId296" w:history="1">
        <w:r w:rsidRPr="00C1535B">
          <w:rPr>
            <w:rStyle w:val="Hyperlink"/>
            <w:rFonts w:asciiTheme="minorBidi" w:hAnsiTheme="minorBidi" w:cstheme="minorBidi"/>
            <w:color w:val="auto"/>
          </w:rPr>
          <w:t>https://acts.asean.org/</w:t>
        </w:r>
      </w:hyperlink>
      <w:r w:rsidRPr="00C1535B">
        <w:rPr>
          <w:rFonts w:asciiTheme="minorBidi" w:hAnsiTheme="minorBidi" w:cstheme="minorBidi"/>
        </w:rPr>
        <w:t xml:space="preserve"> </w:t>
      </w:r>
    </w:p>
  </w:footnote>
  <w:footnote w:id="374">
    <w:p w14:paraId="6AA773C8" w14:textId="1B256921" w:rsidR="0053360F" w:rsidRPr="00C1535B" w:rsidRDefault="0053360F" w:rsidP="0053360F">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(2019) </w:t>
      </w:r>
      <w:r w:rsidR="006A7996">
        <w:rPr>
          <w:rFonts w:asciiTheme="minorBidi" w:hAnsiTheme="minorBidi" w:cstheme="minorBidi"/>
        </w:rPr>
        <w:t>Hiệp định ASEAN về thương mại điện tử</w:t>
      </w:r>
      <w:r w:rsidRPr="00C1535B">
        <w:rPr>
          <w:rFonts w:asciiTheme="minorBidi" w:hAnsiTheme="minorBidi" w:cstheme="minorBidi"/>
        </w:rPr>
        <w:t xml:space="preserve">, </w:t>
      </w:r>
      <w:hyperlink r:id="rId297" w:history="1">
        <w:r w:rsidRPr="00C1535B">
          <w:rPr>
            <w:rStyle w:val="Hyperlink"/>
            <w:rFonts w:asciiTheme="minorBidi" w:hAnsiTheme="minorBidi" w:cstheme="minorBidi"/>
            <w:color w:val="auto"/>
          </w:rPr>
          <w:t>https://agreement.asean.org/media/download/20190306035048.pdf</w:t>
        </w:r>
      </w:hyperlink>
      <w:r w:rsidRPr="00C1535B">
        <w:rPr>
          <w:rFonts w:asciiTheme="minorBidi" w:hAnsiTheme="minorBidi" w:cstheme="minorBidi"/>
        </w:rPr>
        <w:t xml:space="preserve"> </w:t>
      </w:r>
    </w:p>
  </w:footnote>
  <w:footnote w:id="375">
    <w:p w14:paraId="631DE276" w14:textId="73B8A9CA" w:rsidR="0053360F" w:rsidRPr="00C1535B" w:rsidRDefault="0053360F" w:rsidP="0053360F">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(2022) </w:t>
      </w:r>
      <w:r w:rsidR="00516936">
        <w:rPr>
          <w:rFonts w:asciiTheme="minorBidi" w:hAnsiTheme="minorBidi" w:cstheme="minorBidi"/>
        </w:rPr>
        <w:t>Chương trình hành động nhằm thực thi Hiệp định ASEAN về Thương mại điện tử</w:t>
      </w:r>
      <w:r w:rsidRPr="00C1535B">
        <w:rPr>
          <w:rFonts w:asciiTheme="minorBidi" w:hAnsiTheme="minorBidi" w:cstheme="minorBidi"/>
        </w:rPr>
        <w:t xml:space="preserve">, </w:t>
      </w:r>
      <w:hyperlink r:id="rId298" w:history="1">
        <w:r w:rsidRPr="00C1535B">
          <w:rPr>
            <w:rStyle w:val="Hyperlink"/>
            <w:rFonts w:asciiTheme="minorBidi" w:hAnsiTheme="minorBidi" w:cstheme="minorBidi"/>
            <w:color w:val="auto"/>
          </w:rPr>
          <w:t>https://asean.org/wp-content/uploads/2022/03/Work-Plan-E-commerce-Agreement_endorsed_logo.pdf</w:t>
        </w:r>
      </w:hyperlink>
      <w:r w:rsidRPr="00C1535B">
        <w:rPr>
          <w:rFonts w:asciiTheme="minorBidi" w:hAnsiTheme="minorBidi" w:cstheme="minorBidi"/>
        </w:rPr>
        <w:t xml:space="preserve"> </w:t>
      </w:r>
    </w:p>
  </w:footnote>
  <w:footnote w:id="376">
    <w:p w14:paraId="1BB19EB1" w14:textId="55E09483" w:rsidR="0053360F" w:rsidRPr="00C1535B" w:rsidRDefault="0053360F" w:rsidP="0053360F">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(2020) </w:t>
      </w:r>
      <w:r w:rsidR="006A7996">
        <w:rPr>
          <w:rFonts w:asciiTheme="minorBidi" w:hAnsiTheme="minorBidi" w:cstheme="minorBidi"/>
        </w:rPr>
        <w:t>Khung chính sách thanh toán ASEAN cho thanh toán bán lẻ theo thời gian thực xuyên biên giới trong khu vực ASEAN</w:t>
      </w:r>
      <w:r w:rsidRPr="00C1535B">
        <w:rPr>
          <w:rFonts w:asciiTheme="minorBidi" w:hAnsiTheme="minorBidi" w:cstheme="minorBidi"/>
        </w:rPr>
        <w:t xml:space="preserve">, </w:t>
      </w:r>
      <w:hyperlink r:id="rId299" w:history="1">
        <w:r w:rsidRPr="00C1535B">
          <w:rPr>
            <w:rStyle w:val="Hyperlink"/>
            <w:rFonts w:asciiTheme="minorBidi" w:hAnsiTheme="minorBidi" w:cstheme="minorBidi"/>
            <w:color w:val="auto"/>
          </w:rPr>
          <w:t>https://afcwp.asean.org/wp-content/uploads/2020/07/Annex-E.-ASEAN-Payments-Policy-Framework.pdf</w:t>
        </w:r>
      </w:hyperlink>
      <w:r w:rsidRPr="00C1535B">
        <w:rPr>
          <w:rFonts w:asciiTheme="minorBidi" w:hAnsiTheme="minorBidi" w:cstheme="minorBidi"/>
        </w:rPr>
        <w:t xml:space="preserve"> </w:t>
      </w:r>
    </w:p>
  </w:footnote>
  <w:footnote w:id="377">
    <w:p w14:paraId="7DA9954F" w14:textId="02BBCDC4" w:rsidR="0053360F" w:rsidRPr="00C1535B" w:rsidRDefault="0053360F" w:rsidP="0053360F">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(2017) </w:t>
      </w:r>
      <w:r w:rsidR="006A7996">
        <w:rPr>
          <w:rFonts w:asciiTheme="minorBidi" w:hAnsiTheme="minorBidi" w:cstheme="minorBidi"/>
        </w:rPr>
        <w:t>Sổ tay về Cạnh tranh và Thương mại điện tử ở</w:t>
      </w:r>
      <w:r w:rsidRPr="00C1535B">
        <w:rPr>
          <w:rFonts w:asciiTheme="minorBidi" w:hAnsiTheme="minorBidi" w:cstheme="minorBidi"/>
        </w:rPr>
        <w:t xml:space="preserve"> ASEAN, </w:t>
      </w:r>
      <w:hyperlink r:id="rId300" w:history="1">
        <w:r w:rsidRPr="00C1535B">
          <w:rPr>
            <w:rStyle w:val="Hyperlink"/>
            <w:rFonts w:asciiTheme="minorBidi" w:hAnsiTheme="minorBidi" w:cstheme="minorBidi"/>
            <w:color w:val="auto"/>
          </w:rPr>
          <w:t>https://asean-competition.org/read-news-handbook-on-competition-e-commerce-in-asean</w:t>
        </w:r>
      </w:hyperlink>
      <w:r w:rsidRPr="00C1535B">
        <w:rPr>
          <w:rFonts w:asciiTheme="minorBidi" w:hAnsiTheme="minorBidi" w:cstheme="minorBidi"/>
        </w:rPr>
        <w:t xml:space="preserve"> </w:t>
      </w:r>
    </w:p>
  </w:footnote>
  <w:footnote w:id="378">
    <w:p w14:paraId="4C3BA9F9" w14:textId="49ADD615" w:rsidR="0053360F" w:rsidRPr="00C1535B" w:rsidRDefault="0053360F" w:rsidP="0053360F">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(2024) </w:t>
      </w:r>
      <w:r w:rsidR="0019055C">
        <w:rPr>
          <w:rFonts w:asciiTheme="minorBidi" w:hAnsiTheme="minorBidi" w:cstheme="minorBidi"/>
        </w:rPr>
        <w:t>Lộ trình thực thi UBIN ở ASEAN</w:t>
      </w:r>
      <w:r w:rsidRPr="00C1535B">
        <w:rPr>
          <w:rFonts w:asciiTheme="minorBidi" w:hAnsiTheme="minorBidi" w:cstheme="minorBidi"/>
        </w:rPr>
        <w:t xml:space="preserve">, </w:t>
      </w:r>
      <w:hyperlink r:id="rId301" w:history="1">
        <w:r w:rsidRPr="00C1535B">
          <w:rPr>
            <w:rStyle w:val="Hyperlink"/>
            <w:rFonts w:asciiTheme="minorBidi" w:hAnsiTheme="minorBidi" w:cstheme="minorBidi"/>
            <w:color w:val="auto"/>
          </w:rPr>
          <w:t>https://asean.org/wp-content/uploads/2024/04/TOR_UBIN-Implementation-Roadmap_final-1.pdf</w:t>
        </w:r>
      </w:hyperlink>
      <w:r w:rsidRPr="00C1535B">
        <w:rPr>
          <w:rFonts w:asciiTheme="minorBidi" w:hAnsiTheme="minorBidi" w:cstheme="minorBidi"/>
        </w:rPr>
        <w:t xml:space="preserve"> </w:t>
      </w:r>
    </w:p>
  </w:footnote>
  <w:footnote w:id="379">
    <w:p w14:paraId="7CEE9C19" w14:textId="50FFC1B4" w:rsidR="005C2F09" w:rsidRPr="00C1535B" w:rsidRDefault="005C2F09" w:rsidP="005C2F09">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TrustGrid (n.d.) </w:t>
      </w:r>
      <w:r w:rsidR="00583A41">
        <w:rPr>
          <w:rFonts w:asciiTheme="minorBidi" w:hAnsiTheme="minorBidi" w:cstheme="minorBidi"/>
        </w:rPr>
        <w:t>Nền tảng chứng chỉ số ASEAN</w:t>
      </w:r>
      <w:r w:rsidRPr="00C1535B">
        <w:rPr>
          <w:rFonts w:asciiTheme="minorBidi" w:hAnsiTheme="minorBidi" w:cstheme="minorBidi"/>
        </w:rPr>
        <w:t xml:space="preserve">, </w:t>
      </w:r>
      <w:hyperlink r:id="rId302" w:history="1">
        <w:r w:rsidRPr="00C1535B">
          <w:rPr>
            <w:rStyle w:val="Hyperlink"/>
            <w:rFonts w:asciiTheme="minorBidi" w:hAnsiTheme="minorBidi" w:cstheme="minorBidi"/>
            <w:color w:val="auto"/>
          </w:rPr>
          <w:t>https://trustgrid.com/the-asean-digital-credentials-platform-akredi/</w:t>
        </w:r>
      </w:hyperlink>
      <w:r w:rsidRPr="00C1535B">
        <w:rPr>
          <w:rFonts w:asciiTheme="minorBidi" w:hAnsiTheme="minorBidi" w:cstheme="minorBidi"/>
        </w:rPr>
        <w:t xml:space="preserve"> </w:t>
      </w:r>
    </w:p>
  </w:footnote>
  <w:footnote w:id="380">
    <w:p w14:paraId="4A04F683" w14:textId="1B868E07" w:rsidR="00CD7C3A" w:rsidRPr="00C1535B" w:rsidRDefault="00CD7C3A" w:rsidP="00CD7C3A">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(2022) </w:t>
      </w:r>
      <w:r w:rsidR="001F7407">
        <w:rPr>
          <w:rFonts w:asciiTheme="minorBidi" w:hAnsiTheme="minorBidi" w:cstheme="minorBidi"/>
        </w:rPr>
        <w:t>Chiến lược hợp tác an ninh mạng ASEAN</w:t>
      </w:r>
      <w:r w:rsidRPr="00C1535B">
        <w:rPr>
          <w:rFonts w:asciiTheme="minorBidi" w:hAnsiTheme="minorBidi" w:cstheme="minorBidi"/>
        </w:rPr>
        <w:t xml:space="preserve"> 2021-2025, </w:t>
      </w:r>
      <w:hyperlink r:id="rId303" w:history="1">
        <w:r w:rsidRPr="00C1535B">
          <w:rPr>
            <w:rStyle w:val="Hyperlink"/>
            <w:rFonts w:asciiTheme="minorBidi" w:hAnsiTheme="minorBidi" w:cstheme="minorBidi"/>
            <w:color w:val="auto"/>
          </w:rPr>
          <w:t>https://asean.org/wp-content/uploads/2022/02/01-ASEAN-Cybersecurity-Cooperation-Paper-2021-2025_final-23-0122.pdf</w:t>
        </w:r>
      </w:hyperlink>
      <w:r w:rsidRPr="00C1535B">
        <w:rPr>
          <w:rFonts w:asciiTheme="minorBidi" w:hAnsiTheme="minorBidi" w:cstheme="minorBidi"/>
        </w:rPr>
        <w:t xml:space="preserve"> </w:t>
      </w:r>
    </w:p>
  </w:footnote>
  <w:footnote w:id="381">
    <w:p w14:paraId="7560712C" w14:textId="2CDA4304" w:rsidR="00CD7C3A" w:rsidRPr="00C1535B" w:rsidRDefault="00CD7C3A" w:rsidP="00CD7C3A">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(2023) </w:t>
      </w:r>
      <w:r w:rsidR="000470D2">
        <w:rPr>
          <w:rFonts w:asciiTheme="minorBidi" w:hAnsiTheme="minorBidi" w:cstheme="minorBidi"/>
        </w:rPr>
        <w:t>Hướng dẫn ASEAN về Thương mại điện tử có tác động đến khách hàng</w:t>
      </w:r>
      <w:r w:rsidRPr="00C1535B">
        <w:rPr>
          <w:rFonts w:asciiTheme="minorBidi" w:hAnsiTheme="minorBidi" w:cstheme="minorBidi"/>
        </w:rPr>
        <w:t xml:space="preserve">, </w:t>
      </w:r>
      <w:hyperlink r:id="rId304" w:history="1">
        <w:r w:rsidRPr="00C1535B">
          <w:rPr>
            <w:rStyle w:val="Hyperlink"/>
            <w:rFonts w:asciiTheme="minorBidi" w:hAnsiTheme="minorBidi" w:cstheme="minorBidi"/>
            <w:color w:val="auto"/>
          </w:rPr>
          <w:t>https://asean.org/wp-content/uploads/2023/03/ASEAN-Guidelines-on-Consumer-Impact-E-COMMERCE_V2-1.pdf</w:t>
        </w:r>
      </w:hyperlink>
      <w:r w:rsidRPr="00C1535B">
        <w:rPr>
          <w:rFonts w:asciiTheme="minorBidi" w:hAnsiTheme="minorBidi" w:cstheme="minorBidi"/>
        </w:rPr>
        <w:t xml:space="preserve"> </w:t>
      </w:r>
    </w:p>
  </w:footnote>
  <w:footnote w:id="382">
    <w:p w14:paraId="7CBB12E3" w14:textId="59BC2BF0" w:rsidR="00434898" w:rsidRPr="00C1535B" w:rsidRDefault="00434898" w:rsidP="00434898">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(2020) </w:t>
      </w:r>
      <w:r w:rsidR="00DB5DB6">
        <w:rPr>
          <w:rFonts w:asciiTheme="minorBidi" w:hAnsiTheme="minorBidi" w:cstheme="minorBidi"/>
        </w:rPr>
        <w:t>Bộ quy tắc ứng xử ASEAN về kinh doanh trực tuyến</w:t>
      </w:r>
      <w:r w:rsidRPr="00C1535B">
        <w:rPr>
          <w:rFonts w:asciiTheme="minorBidi" w:hAnsiTheme="minorBidi" w:cstheme="minorBidi"/>
        </w:rPr>
        <w:t xml:space="preserve">, </w:t>
      </w:r>
      <w:hyperlink r:id="rId305" w:history="1">
        <w:r w:rsidRPr="00C1535B">
          <w:rPr>
            <w:rStyle w:val="Hyperlink"/>
            <w:rFonts w:asciiTheme="minorBidi" w:hAnsiTheme="minorBidi" w:cstheme="minorBidi"/>
            <w:color w:val="auto"/>
          </w:rPr>
          <w:t>https://aseanconsumer.org/file/post_image/2020-02-26%20ASEAN%20COC%20(fin).pdf</w:t>
        </w:r>
      </w:hyperlink>
      <w:r w:rsidRPr="00C1535B">
        <w:rPr>
          <w:rFonts w:asciiTheme="minorBidi" w:hAnsiTheme="minorBidi" w:cstheme="minorBidi"/>
        </w:rPr>
        <w:t xml:space="preserve"> </w:t>
      </w:r>
    </w:p>
  </w:footnote>
  <w:footnote w:id="383">
    <w:p w14:paraId="3E2B7D79" w14:textId="1FAAE31F" w:rsidR="005824F0" w:rsidRPr="00C1535B" w:rsidRDefault="005824F0" w:rsidP="005824F0">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(n.d.) </w:t>
      </w:r>
      <w:r w:rsidR="006A7996">
        <w:rPr>
          <w:rFonts w:asciiTheme="minorBidi" w:hAnsiTheme="minorBidi" w:cstheme="minorBidi"/>
        </w:rPr>
        <w:t xml:space="preserve">Hướng dẫn </w:t>
      </w:r>
      <w:r w:rsidRPr="00C1535B">
        <w:rPr>
          <w:rFonts w:asciiTheme="minorBidi" w:hAnsiTheme="minorBidi" w:cstheme="minorBidi"/>
        </w:rPr>
        <w:t xml:space="preserve">ASEAN ODR, </w:t>
      </w:r>
      <w:hyperlink r:id="rId306" w:history="1">
        <w:r w:rsidRPr="00C1535B">
          <w:rPr>
            <w:rStyle w:val="Hyperlink"/>
            <w:rFonts w:asciiTheme="minorBidi" w:hAnsiTheme="minorBidi" w:cstheme="minorBidi"/>
            <w:color w:val="auto"/>
          </w:rPr>
          <w:t>https://asean.org/book/asean-guidelines-on-online-dispute-resolution-odr/</w:t>
        </w:r>
      </w:hyperlink>
      <w:r w:rsidRPr="00C1535B">
        <w:rPr>
          <w:rFonts w:asciiTheme="minorBidi" w:hAnsiTheme="minorBidi" w:cstheme="minorBidi"/>
        </w:rPr>
        <w:t xml:space="preserve"> </w:t>
      </w:r>
    </w:p>
  </w:footnote>
  <w:footnote w:id="384">
    <w:p w14:paraId="1C2E0FE0" w14:textId="519AD7C1" w:rsidR="009A4CF7" w:rsidRPr="00C1535B" w:rsidRDefault="009A4CF7" w:rsidP="009A4CF7">
      <w:pPr>
        <w:pStyle w:val="FootnoteText"/>
        <w:jc w:val="left"/>
        <w:rPr>
          <w:rStyle w:val="Hyperlink"/>
          <w:rFonts w:asciiTheme="minorBidi" w:hAnsiTheme="minorBidi" w:cstheme="minorBidi"/>
          <w:color w:val="auto"/>
        </w:rPr>
      </w:pPr>
      <w:r w:rsidRPr="00C1535B">
        <w:rPr>
          <w:rStyle w:val="FootnoteReference"/>
          <w:rFonts w:asciiTheme="minorBidi" w:hAnsiTheme="minorBidi" w:cstheme="minorBidi"/>
        </w:rPr>
        <w:footnoteRef/>
      </w:r>
      <w:r w:rsidRPr="00C1535B">
        <w:rPr>
          <w:rFonts w:asciiTheme="minorBidi" w:hAnsiTheme="minorBidi" w:cstheme="minorBidi"/>
        </w:rPr>
        <w:t xml:space="preserve"> </w:t>
      </w:r>
      <w:r w:rsidR="001F7407">
        <w:rPr>
          <w:rFonts w:asciiTheme="minorBidi" w:hAnsiTheme="minorBidi" w:cstheme="minorBidi"/>
        </w:rPr>
        <w:t>Hội nghị Bộ trưởng Thông tin và Truyền thông ASEAN</w:t>
      </w:r>
      <w:r w:rsidRPr="00C1535B">
        <w:rPr>
          <w:rFonts w:asciiTheme="minorBidi" w:hAnsiTheme="minorBidi" w:cstheme="minorBidi"/>
        </w:rPr>
        <w:t xml:space="preserve"> (2016) </w:t>
      </w:r>
      <w:r w:rsidR="0032574C">
        <w:rPr>
          <w:rFonts w:asciiTheme="minorBidi" w:hAnsiTheme="minorBidi" w:cstheme="minorBidi"/>
        </w:rPr>
        <w:t>Khung bảo vệ dữ liệu cá nhân</w:t>
      </w:r>
      <w:r w:rsidRPr="00C1535B">
        <w:rPr>
          <w:rFonts w:asciiTheme="minorBidi" w:hAnsiTheme="minorBidi" w:cstheme="minorBidi"/>
        </w:rPr>
        <w:t xml:space="preserve">, </w:t>
      </w:r>
      <w:hyperlink r:id="rId307" w:history="1">
        <w:r w:rsidRPr="00C1535B">
          <w:rPr>
            <w:rStyle w:val="Hyperlink"/>
            <w:rFonts w:asciiTheme="minorBidi" w:hAnsiTheme="minorBidi" w:cstheme="minorBidi"/>
            <w:color w:val="auto"/>
          </w:rPr>
          <w:t>https://asean.org/wp-content/uploads/2012/05/10-ASEAN-Framework-on-PDP.pdf</w:t>
        </w:r>
      </w:hyperlink>
    </w:p>
  </w:footnote>
  <w:footnote w:id="385">
    <w:p w14:paraId="09151946" w14:textId="1EADECCD" w:rsidR="009A4CF7" w:rsidRPr="00C1535B" w:rsidRDefault="009A4CF7" w:rsidP="009A4CF7">
      <w:pPr>
        <w:pStyle w:val="FootnoteText"/>
        <w:jc w:val="left"/>
        <w:rPr>
          <w:rStyle w:val="Hyperlink"/>
          <w:rFonts w:asciiTheme="minorBidi" w:hAnsiTheme="minorBidi" w:cstheme="minorBidi"/>
          <w:color w:val="auto"/>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(2021) </w:t>
      </w:r>
      <w:r w:rsidR="00033309">
        <w:rPr>
          <w:rFonts w:asciiTheme="minorBidi" w:hAnsiTheme="minorBidi" w:cstheme="minorBidi"/>
        </w:rPr>
        <w:t>Khung quản lý dữ liệu ASEAN</w:t>
      </w:r>
      <w:r w:rsidRPr="00C1535B">
        <w:rPr>
          <w:rFonts w:asciiTheme="minorBidi" w:hAnsiTheme="minorBidi" w:cstheme="minorBidi"/>
        </w:rPr>
        <w:t xml:space="preserve">, </w:t>
      </w:r>
      <w:hyperlink r:id="rId308" w:history="1">
        <w:r w:rsidRPr="00C1535B">
          <w:rPr>
            <w:rStyle w:val="Hyperlink"/>
            <w:rFonts w:asciiTheme="minorBidi" w:hAnsiTheme="minorBidi" w:cstheme="minorBidi"/>
            <w:color w:val="auto"/>
          </w:rPr>
          <w:t>https://asean.org/wp-content/uploads/2021/08/ASEAN-Data-Management-Framework.pdf</w:t>
        </w:r>
      </w:hyperlink>
    </w:p>
  </w:footnote>
  <w:footnote w:id="386">
    <w:p w14:paraId="6011EBBE" w14:textId="1E79E0ED" w:rsidR="009A4CF7" w:rsidRPr="00C1535B" w:rsidRDefault="009A4CF7" w:rsidP="009A4CF7">
      <w:pPr>
        <w:pStyle w:val="FootnoteText"/>
        <w:jc w:val="left"/>
        <w:rPr>
          <w:rFonts w:asciiTheme="minorBidi" w:hAnsiTheme="minorBidi" w:cstheme="minorBidi"/>
        </w:rPr>
      </w:pPr>
      <w:r w:rsidRPr="00C1535B">
        <w:rPr>
          <w:rStyle w:val="FootnoteReference"/>
          <w:rFonts w:asciiTheme="minorBidi" w:hAnsiTheme="minorBidi" w:cstheme="minorBidi"/>
        </w:rPr>
        <w:footnoteRef/>
      </w:r>
      <w:r w:rsidRPr="00C1535B">
        <w:rPr>
          <w:rFonts w:asciiTheme="minorBidi" w:hAnsiTheme="minorBidi" w:cstheme="minorBidi"/>
        </w:rPr>
        <w:t xml:space="preserve"> ASEAN (2021) </w:t>
      </w:r>
      <w:r w:rsidR="006A7996">
        <w:rPr>
          <w:rFonts w:asciiTheme="minorBidi" w:hAnsiTheme="minorBidi" w:cstheme="minorBidi"/>
        </w:rPr>
        <w:t xml:space="preserve">Điều khoản hợp đồng mẫu </w:t>
      </w:r>
      <w:r w:rsidRPr="00C1535B">
        <w:rPr>
          <w:rFonts w:asciiTheme="minorBidi" w:hAnsiTheme="minorBidi" w:cstheme="minorBidi"/>
        </w:rPr>
        <w:t xml:space="preserve">ASEAN </w:t>
      </w:r>
      <w:r w:rsidR="006A7996">
        <w:rPr>
          <w:rFonts w:asciiTheme="minorBidi" w:hAnsiTheme="minorBidi" w:cstheme="minorBidi"/>
        </w:rPr>
        <w:t>cho dòng chảy dữ liệu xuyên biên giới</w:t>
      </w:r>
      <w:r w:rsidRPr="00C1535B">
        <w:rPr>
          <w:rFonts w:asciiTheme="minorBidi" w:hAnsiTheme="minorBidi" w:cstheme="minorBidi"/>
        </w:rPr>
        <w:t xml:space="preserve">, </w:t>
      </w:r>
      <w:hyperlink r:id="rId309" w:history="1">
        <w:r w:rsidRPr="00C1535B">
          <w:rPr>
            <w:rStyle w:val="Hyperlink"/>
            <w:rFonts w:asciiTheme="minorBidi" w:hAnsiTheme="minorBidi" w:cstheme="minorBidi"/>
            <w:color w:val="auto"/>
          </w:rPr>
          <w:t>https://asean.org/wp-content/uploads/3-ASEAN-Model-Contractual-Clauses-for-Cross-Border-Data-Flows_Final.pdf</w:t>
        </w:r>
      </w:hyperlink>
      <w:r w:rsidRPr="00C1535B">
        <w:rPr>
          <w:rFonts w:asciiTheme="minorBidi" w:hAnsiTheme="minorBidi" w:cstheme="minorBidi"/>
        </w:rPr>
        <w:t xml:space="preserve"> </w:t>
      </w:r>
    </w:p>
  </w:footnote>
  <w:footnote w:id="387">
    <w:p w14:paraId="2F9831B8" w14:textId="0671BCF3" w:rsidR="00A27464" w:rsidRPr="00C1535B" w:rsidRDefault="00A27464" w:rsidP="00A27464">
      <w:pPr>
        <w:spacing w:after="0" w:line="240" w:lineRule="auto"/>
        <w:jc w:val="left"/>
        <w:rPr>
          <w:rFonts w:asciiTheme="minorBidi" w:hAnsiTheme="minorBidi" w:cstheme="minorBidi"/>
          <w:sz w:val="20"/>
          <w:szCs w:val="20"/>
        </w:rPr>
      </w:pPr>
      <w:r w:rsidRPr="00C1535B">
        <w:rPr>
          <w:rStyle w:val="FootnoteReference"/>
          <w:rFonts w:asciiTheme="minorBidi" w:hAnsiTheme="minorBidi" w:cstheme="minorBidi"/>
          <w:sz w:val="20"/>
          <w:szCs w:val="20"/>
        </w:rPr>
        <w:footnoteRef/>
      </w:r>
      <w:r w:rsidRPr="00C1535B">
        <w:rPr>
          <w:rFonts w:asciiTheme="minorBidi" w:hAnsiTheme="minorBidi" w:cstheme="minorBidi"/>
          <w:sz w:val="20"/>
          <w:szCs w:val="20"/>
        </w:rPr>
        <w:t xml:space="preserve"> ASEAN (2024) </w:t>
      </w:r>
      <w:r w:rsidR="00477436">
        <w:rPr>
          <w:rFonts w:asciiTheme="minorBidi" w:hAnsiTheme="minorBidi" w:cstheme="minorBidi"/>
          <w:sz w:val="20"/>
          <w:szCs w:val="20"/>
        </w:rPr>
        <w:t>Hướng dẫn ASEAN về quản lý và đạo đức AI</w:t>
      </w:r>
      <w:r w:rsidRPr="00C1535B">
        <w:rPr>
          <w:rFonts w:asciiTheme="minorBidi" w:hAnsiTheme="minorBidi" w:cstheme="minorBidi"/>
          <w:sz w:val="20"/>
          <w:szCs w:val="20"/>
        </w:rPr>
        <w:t xml:space="preserve">, </w:t>
      </w:r>
      <w:hyperlink r:id="rId310" w:history="1">
        <w:r w:rsidRPr="00C1535B">
          <w:rPr>
            <w:rStyle w:val="Hyperlink"/>
            <w:rFonts w:asciiTheme="minorBidi" w:hAnsiTheme="minorBidi" w:cstheme="minorBidi"/>
            <w:color w:val="auto"/>
            <w:sz w:val="20"/>
            <w:szCs w:val="20"/>
          </w:rPr>
          <w:t>https://asean.org/book/asean-guide-on-ai-governance-and-ethics/</w:t>
        </w:r>
      </w:hyperlink>
    </w:p>
  </w:footnote>
  <w:footnote w:id="388">
    <w:p w14:paraId="2922D986" w14:textId="683FBE24" w:rsidR="0081310A" w:rsidRPr="002E495D" w:rsidRDefault="0081310A" w:rsidP="00011327">
      <w:pPr>
        <w:pStyle w:val="FootnoteText"/>
        <w:jc w:val="left"/>
      </w:pPr>
      <w:r>
        <w:rPr>
          <w:rStyle w:val="FootnoteReference"/>
        </w:rPr>
        <w:footnoteRef/>
      </w:r>
      <w:r>
        <w:t xml:space="preserve"> ASEAN (2024) Structure of the ACCP,</w:t>
      </w:r>
      <w:r w:rsidRPr="00DF22AE">
        <w:t xml:space="preserve"> </w:t>
      </w:r>
      <w:r w:rsidRPr="00EF0AD9">
        <w:rPr>
          <w:u w:val="single"/>
        </w:rPr>
        <w:t>https://aseanconsumer.org/about-regional-cooperation-structure-of-the-accp</w:t>
      </w:r>
    </w:p>
  </w:footnote>
  <w:footnote w:id="389">
    <w:p w14:paraId="26D25DDA" w14:textId="4AA3849E" w:rsidR="0081310A" w:rsidRPr="00617E8F" w:rsidRDefault="0081310A" w:rsidP="00637967">
      <w:pPr>
        <w:pStyle w:val="FootnoteText"/>
        <w:jc w:val="left"/>
      </w:pPr>
      <w:r>
        <w:rPr>
          <w:rStyle w:val="FootnoteReference"/>
        </w:rPr>
        <w:footnoteRef/>
      </w:r>
      <w:r>
        <w:t xml:space="preserve"> </w:t>
      </w:r>
      <w:r w:rsidR="00FB6362">
        <w:t>Ban Thư ký ASEAN</w:t>
      </w:r>
      <w:r>
        <w:t xml:space="preserve"> (2024) </w:t>
      </w:r>
      <w:r w:rsidR="006A7996">
        <w:t>Các cơ quan/ủy ban chuyên ngành chính</w:t>
      </w:r>
      <w:r>
        <w:t>,</w:t>
      </w:r>
      <w:r w:rsidRPr="008456A0">
        <w:t xml:space="preserve"> </w:t>
      </w:r>
      <w:r w:rsidRPr="00637967">
        <w:rPr>
          <w:u w:val="single"/>
        </w:rPr>
        <w:t>https://asean.org/our-communities/asean-socio-cultural-community/gender-rights-of-women-and-children/major-sectoral-bodies-committees/</w:t>
      </w:r>
    </w:p>
  </w:footnote>
  <w:footnote w:id="390">
    <w:p w14:paraId="4F66C40F" w14:textId="77594C16" w:rsidR="0081310A" w:rsidRPr="00576FC9" w:rsidRDefault="0081310A" w:rsidP="00576FC9">
      <w:pPr>
        <w:pStyle w:val="FootnoteText"/>
        <w:jc w:val="left"/>
      </w:pPr>
      <w:r>
        <w:rPr>
          <w:rStyle w:val="FootnoteReference"/>
        </w:rPr>
        <w:footnoteRef/>
      </w:r>
      <w:r>
        <w:t xml:space="preserve"> </w:t>
      </w:r>
      <w:r w:rsidR="00FB6362">
        <w:t>Ban Thư ký ASEAN</w:t>
      </w:r>
      <w:r>
        <w:t xml:space="preserve"> (2024) </w:t>
      </w:r>
      <w:r w:rsidR="00516936">
        <w:t>Thương mại điện tử ASEAN</w:t>
      </w:r>
      <w:r>
        <w:t>,</w:t>
      </w:r>
      <w:r w:rsidRPr="008456A0">
        <w:t xml:space="preserve"> </w:t>
      </w:r>
      <w:r w:rsidRPr="00576FC9">
        <w:rPr>
          <w:u w:val="single"/>
        </w:rPr>
        <w:t>https://asean.org/our-communities/economic-community/asean-e-commerce/</w:t>
      </w:r>
    </w:p>
  </w:footnote>
  <w:footnote w:id="391">
    <w:p w14:paraId="39B74504" w14:textId="2B9F07E7" w:rsidR="0081310A" w:rsidRPr="008E032F" w:rsidRDefault="0081310A" w:rsidP="00C93E1D">
      <w:pPr>
        <w:pStyle w:val="FootnoteText"/>
        <w:jc w:val="left"/>
      </w:pPr>
      <w:r>
        <w:rPr>
          <w:rStyle w:val="FootnoteReference"/>
        </w:rPr>
        <w:footnoteRef/>
      </w:r>
      <w:r>
        <w:t xml:space="preserve"> ASEAN (2021) </w:t>
      </w:r>
      <w:r w:rsidR="00516936">
        <w:t>Chương trình hành động nhằm thực thi Hiệp định ASEAN về Thương mại điện tử</w:t>
      </w:r>
      <w:r>
        <w:t>,</w:t>
      </w:r>
      <w:r w:rsidRPr="00D415F3">
        <w:t xml:space="preserve"> </w:t>
      </w:r>
      <w:r w:rsidRPr="00D415F3">
        <w:rPr>
          <w:u w:val="single"/>
        </w:rPr>
        <w:t>https://asean.org/wp-content/uploads/2021/09/Work-Plan-Ecommerce-Agreement_Annex-A_Endorsed.pdf</w:t>
      </w:r>
    </w:p>
  </w:footnote>
  <w:footnote w:id="392">
    <w:p w14:paraId="64DC41FC" w14:textId="6473682D" w:rsidR="0081310A" w:rsidRPr="00305DE8" w:rsidRDefault="0081310A" w:rsidP="00C93E1D">
      <w:pPr>
        <w:pStyle w:val="FootnoteText"/>
        <w:jc w:val="left"/>
        <w:rPr>
          <w:lang w:val="en-US"/>
        </w:rPr>
      </w:pPr>
      <w:r>
        <w:rPr>
          <w:rStyle w:val="FootnoteReference"/>
        </w:rPr>
        <w:footnoteRef/>
      </w:r>
      <w:r>
        <w:t xml:space="preserve"> ASEAN (2021) </w:t>
      </w:r>
      <w:r w:rsidR="00516936">
        <w:t>Chương trình hành động nhằm thực thi Hiệp định ASEAN về Thương mại điện tử</w:t>
      </w:r>
      <w:r>
        <w:t>,</w:t>
      </w:r>
      <w:r w:rsidRPr="00D415F3">
        <w:t xml:space="preserve"> </w:t>
      </w:r>
      <w:r w:rsidRPr="00D415F3">
        <w:rPr>
          <w:u w:val="single"/>
        </w:rPr>
        <w:t>https://asean.org/wp-content/uploads/2021/09/Work-Plan-Ecommerce-Agreement_Annex-A_Endorsed.pdf</w:t>
      </w:r>
    </w:p>
  </w:footnote>
  <w:footnote w:id="393">
    <w:p w14:paraId="28E66B6B" w14:textId="0954077E" w:rsidR="0081310A" w:rsidRPr="00396F29" w:rsidRDefault="0081310A" w:rsidP="00E5288B">
      <w:pPr>
        <w:pStyle w:val="FootnoteText"/>
        <w:jc w:val="left"/>
      </w:pPr>
      <w:r>
        <w:rPr>
          <w:rStyle w:val="FootnoteReference"/>
        </w:rPr>
        <w:footnoteRef/>
      </w:r>
      <w:r>
        <w:t xml:space="preserve"> ASEAN (2021) </w:t>
      </w:r>
      <w:r w:rsidR="00516936">
        <w:t>Chương trình hành động nhằm thực thi Hiệp định ASEAN về Thương mại điện tử</w:t>
      </w:r>
      <w:r>
        <w:t>,</w:t>
      </w:r>
      <w:r w:rsidRPr="00D415F3">
        <w:t xml:space="preserve"> </w:t>
      </w:r>
      <w:r w:rsidRPr="00D415F3">
        <w:rPr>
          <w:u w:val="single"/>
        </w:rPr>
        <w:t>https://asean.org/wp-content/uploads/2021/09/Work-Plan-Ecommerce-Agreement_Annex-A_Endorsed.pdf</w:t>
      </w:r>
    </w:p>
  </w:footnote>
  <w:footnote w:id="394">
    <w:p w14:paraId="564ED3C0" w14:textId="58644AEC" w:rsidR="0081310A" w:rsidRPr="008C49DF" w:rsidRDefault="0081310A" w:rsidP="008030C4">
      <w:pPr>
        <w:pStyle w:val="FootnoteText"/>
        <w:jc w:val="left"/>
      </w:pPr>
      <w:r>
        <w:rPr>
          <w:rStyle w:val="FootnoteReference"/>
        </w:rPr>
        <w:footnoteRef/>
      </w:r>
      <w:r>
        <w:t xml:space="preserve"> </w:t>
      </w:r>
      <w:r w:rsidR="00FB6362">
        <w:t>Ban Thư ký ASEAN</w:t>
      </w:r>
      <w:r>
        <w:t xml:space="preserve"> (2024) </w:t>
      </w:r>
      <w:r w:rsidR="006A7996">
        <w:t>Các cơ quan/ủy ban chuyên ngành chính</w:t>
      </w:r>
      <w:r>
        <w:t>,</w:t>
      </w:r>
      <w:r w:rsidRPr="008456A0">
        <w:t xml:space="preserve"> </w:t>
      </w:r>
      <w:r w:rsidRPr="008030C4">
        <w:rPr>
          <w:u w:val="single"/>
        </w:rPr>
        <w:t>https://asean.org/our-communities/economic-community/asean-digital-sector/major-sectoral-bodies-committees/</w:t>
      </w:r>
    </w:p>
  </w:footnote>
  <w:footnote w:id="395">
    <w:p w14:paraId="6DF8E8E4" w14:textId="4CF9F983" w:rsidR="0081310A" w:rsidRPr="00C47E23" w:rsidRDefault="0081310A" w:rsidP="00C47E23">
      <w:pPr>
        <w:pStyle w:val="FootnoteText"/>
        <w:jc w:val="left"/>
      </w:pPr>
      <w:r>
        <w:rPr>
          <w:rStyle w:val="FootnoteReference"/>
        </w:rPr>
        <w:footnoteRef/>
      </w:r>
      <w:r>
        <w:t xml:space="preserve"> </w:t>
      </w:r>
      <w:r w:rsidR="00FB6362">
        <w:t>Ban Thư ký ASEAN</w:t>
      </w:r>
      <w:r>
        <w:t xml:space="preserve"> (2024) </w:t>
      </w:r>
      <w:r w:rsidR="006A7996">
        <w:t>Các cơ quan/ủy ban chuyên ngành chính</w:t>
      </w:r>
      <w:r>
        <w:t>,</w:t>
      </w:r>
      <w:r w:rsidRPr="008456A0">
        <w:t xml:space="preserve"> </w:t>
      </w:r>
      <w:r w:rsidRPr="008030C4">
        <w:rPr>
          <w:u w:val="single"/>
        </w:rPr>
        <w:t>https://asean.org/our-communities/economic-community/asean-digital-sector/major-sectoral-bodies-committees/</w:t>
      </w:r>
    </w:p>
  </w:footnote>
  <w:footnote w:id="396">
    <w:p w14:paraId="410249BC" w14:textId="24F30F61" w:rsidR="0081310A" w:rsidRPr="007B352D" w:rsidRDefault="0081310A">
      <w:pPr>
        <w:pStyle w:val="FootnoteText"/>
      </w:pPr>
      <w:r>
        <w:rPr>
          <w:rStyle w:val="FootnoteReference"/>
        </w:rPr>
        <w:footnoteRef/>
      </w:r>
      <w:r>
        <w:t xml:space="preserve"> </w:t>
      </w:r>
      <w:r w:rsidR="00FB6362">
        <w:t>Ban Thư ký ASEAN</w:t>
      </w:r>
      <w:r>
        <w:t xml:space="preserve"> (2024) </w:t>
      </w:r>
      <w:r w:rsidR="00516936">
        <w:t>Cơ chế 1 cửa ASEAN</w:t>
      </w:r>
      <w:r>
        <w:t>,</w:t>
      </w:r>
      <w:r w:rsidRPr="008456A0">
        <w:t xml:space="preserve"> </w:t>
      </w:r>
      <w:r w:rsidRPr="000B503E">
        <w:rPr>
          <w:u w:val="single"/>
        </w:rPr>
        <w:t>https://asean.org/our-communities/economic-community/asean-single-window/</w:t>
      </w:r>
    </w:p>
  </w:footnote>
  <w:footnote w:id="397">
    <w:p w14:paraId="6256477E" w14:textId="2A4E128F" w:rsidR="0081310A" w:rsidRPr="00775701" w:rsidRDefault="0081310A">
      <w:pPr>
        <w:pStyle w:val="FootnoteText"/>
      </w:pPr>
      <w:r>
        <w:rPr>
          <w:rStyle w:val="FootnoteReference"/>
        </w:rPr>
        <w:footnoteRef/>
      </w:r>
      <w:r>
        <w:t xml:space="preserve"> </w:t>
      </w:r>
      <w:r w:rsidR="00FB6362">
        <w:t>Ban Thư ký ASEAN</w:t>
      </w:r>
      <w:r>
        <w:t xml:space="preserve"> (2024) </w:t>
      </w:r>
      <w:r w:rsidR="00516936">
        <w:t>Cơ chế 1 cửa ASEAN</w:t>
      </w:r>
      <w:r>
        <w:t>,</w:t>
      </w:r>
      <w:r w:rsidRPr="008456A0">
        <w:t xml:space="preserve"> </w:t>
      </w:r>
      <w:r w:rsidRPr="000B503E">
        <w:rPr>
          <w:u w:val="single"/>
        </w:rPr>
        <w:t>https://asean.org/our-communities/economic-community/asean-single-window/</w:t>
      </w:r>
    </w:p>
  </w:footnote>
  <w:footnote w:id="398">
    <w:p w14:paraId="534ECEC3" w14:textId="499E6F5C" w:rsidR="0081310A" w:rsidRPr="00A96D8A" w:rsidRDefault="0081310A">
      <w:pPr>
        <w:pStyle w:val="FootnoteText"/>
      </w:pPr>
      <w:r>
        <w:rPr>
          <w:rStyle w:val="FootnoteReference"/>
        </w:rPr>
        <w:footnoteRef/>
      </w:r>
      <w:r>
        <w:t xml:space="preserve"> </w:t>
      </w:r>
      <w:r w:rsidR="006A7996">
        <w:t>Cục Thương mại điện tử và Kinh tế số Việt Nam</w:t>
      </w:r>
      <w:r>
        <w:t xml:space="preserve"> (2022), </w:t>
      </w:r>
      <w:r w:rsidRPr="00297B77">
        <w:rPr>
          <w:u w:val="single"/>
        </w:rPr>
        <w:t>aseandts.com</w:t>
      </w:r>
    </w:p>
  </w:footnote>
  <w:footnote w:id="399">
    <w:p w14:paraId="0F52B8E0" w14:textId="2C2CC497" w:rsidR="0081310A" w:rsidRPr="000C75C5" w:rsidRDefault="0081310A" w:rsidP="0093693E">
      <w:pPr>
        <w:pStyle w:val="FootnoteText"/>
        <w:jc w:val="left"/>
      </w:pPr>
      <w:r>
        <w:rPr>
          <w:rStyle w:val="FootnoteReference"/>
        </w:rPr>
        <w:footnoteRef/>
      </w:r>
      <w:r>
        <w:t xml:space="preserve"> </w:t>
      </w:r>
      <w:r w:rsidR="00FB6362">
        <w:t>Ban Thư ký ASEAN</w:t>
      </w:r>
      <w:r>
        <w:t xml:space="preserve"> (2014) </w:t>
      </w:r>
      <w:r w:rsidR="006A7996">
        <w:t xml:space="preserve">Tài liệu tham chiếu Nhóm Công tác </w:t>
      </w:r>
      <w:r>
        <w:t xml:space="preserve">ASEAN </w:t>
      </w:r>
      <w:r w:rsidR="006A7996">
        <w:t>về Tội phạm mạng</w:t>
      </w:r>
      <w:r>
        <w:t xml:space="preserve">, </w:t>
      </w:r>
      <w:r w:rsidRPr="0093693E">
        <w:rPr>
          <w:u w:val="single"/>
        </w:rPr>
        <w:t>https://asean.org/wp-content/uploads/2021/01/DOC-8-Adopted-TOR-ASEAN-Cybercrime-Working-Group.pdf</w:t>
      </w:r>
    </w:p>
  </w:footnote>
  <w:footnote w:id="400">
    <w:p w14:paraId="217BDB56" w14:textId="0BBE63B7" w:rsidR="0081310A" w:rsidRPr="00692856" w:rsidRDefault="0081310A" w:rsidP="00692856">
      <w:pPr>
        <w:pStyle w:val="FootnoteText"/>
        <w:jc w:val="left"/>
        <w:rPr>
          <w:u w:val="single"/>
          <w:lang w:val="en-US"/>
        </w:rPr>
      </w:pPr>
      <w:r>
        <w:rPr>
          <w:rStyle w:val="FootnoteReference"/>
        </w:rPr>
        <w:footnoteRef/>
      </w:r>
      <w:r>
        <w:t xml:space="preserve"> </w:t>
      </w:r>
      <w:r w:rsidR="00FB6362">
        <w:t>Ban Thư ký ASEAN</w:t>
      </w:r>
      <w:r>
        <w:t xml:space="preserve"> (2024) </w:t>
      </w:r>
      <w:r w:rsidR="006A7996">
        <w:t>Các cơ quan/ủy ban chuyên ngành chính</w:t>
      </w:r>
      <w:r>
        <w:t>,</w:t>
      </w:r>
      <w:r w:rsidRPr="00C7249F">
        <w:rPr>
          <w:color w:val="000000" w:themeColor="text1"/>
        </w:rPr>
        <w:t xml:space="preserve"> </w:t>
      </w:r>
      <w:r w:rsidRPr="00692856">
        <w:rPr>
          <w:color w:val="000000" w:themeColor="text1"/>
          <w:u w:val="single"/>
        </w:rPr>
        <w:t>https://asean.org/our-communities/economic-community/asean-digital-sector/major-sectoral-bodies-committees/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1B276" w14:textId="77777777" w:rsidR="0081310A" w:rsidRDefault="0081310A">
    <w:pPr>
      <w:pStyle w:val="Header"/>
    </w:pPr>
    <w:r>
      <w:rPr>
        <w:noProof/>
      </w:rPr>
      <w:drawing>
        <wp:inline distT="0" distB="0" distL="0" distR="0" wp14:anchorId="2F0C9F67" wp14:editId="124C073D">
          <wp:extent cx="6639339" cy="1027417"/>
          <wp:effectExtent l="0" t="0" r="0" b="1905"/>
          <wp:docPr id="15024982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dited_curve_transpara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3380" cy="103113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EF7D1" w14:textId="01785110" w:rsidR="0081310A" w:rsidRDefault="0081310A">
    <w:pPr>
      <w:pStyle w:val="Header"/>
    </w:pPr>
    <w:r w:rsidRPr="004F1D15">
      <w:rPr>
        <w:noProof/>
      </w:rPr>
      <w:drawing>
        <wp:inline distT="0" distB="0" distL="0" distR="0" wp14:anchorId="7FCA73A1" wp14:editId="05D12878">
          <wp:extent cx="6847989" cy="401320"/>
          <wp:effectExtent l="0" t="0" r="0" b="0"/>
          <wp:docPr id="1390814967" name="Picture 9" descr="A colorful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527364" name="Picture 14" descr="A colorful lines on a black background&#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27554" cy="40598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2A9D6" w14:textId="77777777" w:rsidR="0081310A" w:rsidRPr="004F1D15" w:rsidRDefault="0081310A">
    <w:pPr>
      <w:pStyle w:val="Header"/>
    </w:pPr>
    <w:r w:rsidRPr="004F1D15">
      <w:rPr>
        <w:noProof/>
      </w:rPr>
      <w:drawing>
        <wp:inline distT="0" distB="0" distL="0" distR="0" wp14:anchorId="63B08B9C" wp14:editId="16A8F3AA">
          <wp:extent cx="6847989" cy="401320"/>
          <wp:effectExtent l="0" t="0" r="0" b="0"/>
          <wp:docPr id="8769616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dited_curve_transpara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27554" cy="4059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36EFA"/>
    <w:multiLevelType w:val="hybridMultilevel"/>
    <w:tmpl w:val="B8704C4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15:restartNumberingAfterBreak="0">
    <w:nsid w:val="030C1BDA"/>
    <w:multiLevelType w:val="hybridMultilevel"/>
    <w:tmpl w:val="4A368B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C4146B"/>
    <w:multiLevelType w:val="hybridMultilevel"/>
    <w:tmpl w:val="FCE80222"/>
    <w:lvl w:ilvl="0" w:tplc="22706CF2">
      <w:start w:val="1"/>
      <w:numFmt w:val="decimal"/>
      <w:lvlText w:val="%1."/>
      <w:lvlJc w:val="left"/>
      <w:pPr>
        <w:ind w:left="36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360DBA"/>
    <w:multiLevelType w:val="hybridMultilevel"/>
    <w:tmpl w:val="9D6A9152"/>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073D53C9"/>
    <w:multiLevelType w:val="multilevel"/>
    <w:tmpl w:val="5966000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657BFB"/>
    <w:multiLevelType w:val="hybridMultilevel"/>
    <w:tmpl w:val="AA5C3BD6"/>
    <w:lvl w:ilvl="0" w:tplc="FFFFFFFF">
      <w:start w:val="1"/>
      <w:numFmt w:val="decimal"/>
      <w:lvlText w:val="%1."/>
      <w:lvlJc w:val="left"/>
      <w:pPr>
        <w:ind w:left="36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F816937"/>
    <w:multiLevelType w:val="hybridMultilevel"/>
    <w:tmpl w:val="D0A25946"/>
    <w:lvl w:ilvl="0" w:tplc="3F96D6CC">
      <w:start w:val="1"/>
      <w:numFmt w:val="decimal"/>
      <w:lvlText w:val="%1."/>
      <w:lvlJc w:val="left"/>
      <w:pPr>
        <w:ind w:left="360" w:hanging="360"/>
      </w:pPr>
      <w:rPr>
        <w:rFonts w:hint="default"/>
        <w:b/>
        <w:bCs/>
        <w:i w:val="0"/>
        <w:iCs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056652A"/>
    <w:multiLevelType w:val="hybridMultilevel"/>
    <w:tmpl w:val="8026A2B6"/>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119711E3"/>
    <w:multiLevelType w:val="hybridMultilevel"/>
    <w:tmpl w:val="E6C6F238"/>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9" w15:restartNumberingAfterBreak="0">
    <w:nsid w:val="13542FEA"/>
    <w:multiLevelType w:val="multilevel"/>
    <w:tmpl w:val="DEA87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3805583"/>
    <w:multiLevelType w:val="hybridMultilevel"/>
    <w:tmpl w:val="B394C42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15:restartNumberingAfterBreak="0">
    <w:nsid w:val="139D0F51"/>
    <w:multiLevelType w:val="hybridMultilevel"/>
    <w:tmpl w:val="2DC09D48"/>
    <w:lvl w:ilvl="0" w:tplc="95008B80">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15:restartNumberingAfterBreak="0">
    <w:nsid w:val="1C325200"/>
    <w:multiLevelType w:val="hybridMultilevel"/>
    <w:tmpl w:val="2A06A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786E4F"/>
    <w:multiLevelType w:val="hybridMultilevel"/>
    <w:tmpl w:val="3CF622CC"/>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14" w15:restartNumberingAfterBreak="0">
    <w:nsid w:val="237A2D48"/>
    <w:multiLevelType w:val="hybridMultilevel"/>
    <w:tmpl w:val="AA1EAA1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5" w15:restartNumberingAfterBreak="0">
    <w:nsid w:val="24080BA5"/>
    <w:multiLevelType w:val="hybridMultilevel"/>
    <w:tmpl w:val="123259AE"/>
    <w:lvl w:ilvl="0" w:tplc="EB3E3522">
      <w:start w:val="1"/>
      <w:numFmt w:val="decimal"/>
      <w:lvlText w:val="%1."/>
      <w:lvlJc w:val="left"/>
      <w:pPr>
        <w:ind w:left="360" w:hanging="360"/>
      </w:pPr>
      <w:rPr>
        <w:rFonts w:hint="default"/>
        <w:b/>
        <w:bCs/>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15:restartNumberingAfterBreak="0">
    <w:nsid w:val="25317AA9"/>
    <w:multiLevelType w:val="hybridMultilevel"/>
    <w:tmpl w:val="1422AFCC"/>
    <w:lvl w:ilvl="0" w:tplc="48090015">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15:restartNumberingAfterBreak="0">
    <w:nsid w:val="261F28BB"/>
    <w:multiLevelType w:val="hybridMultilevel"/>
    <w:tmpl w:val="935E024A"/>
    <w:lvl w:ilvl="0" w:tplc="C346E4D6">
      <w:start w:val="4"/>
      <w:numFmt w:val="decimal"/>
      <w:lvlText w:val="%1."/>
      <w:lvlJc w:val="left"/>
      <w:pPr>
        <w:ind w:left="360" w:hanging="360"/>
      </w:pPr>
      <w:rPr>
        <w:rFonts w:hint="default"/>
        <w:b/>
        <w:bCs/>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8" w15:restartNumberingAfterBreak="0">
    <w:nsid w:val="27B168B9"/>
    <w:multiLevelType w:val="hybridMultilevel"/>
    <w:tmpl w:val="AEBA9F82"/>
    <w:lvl w:ilvl="0" w:tplc="7DE688CA">
      <w:start w:val="1"/>
      <w:numFmt w:val="decimal"/>
      <w:lvlText w:val="%1."/>
      <w:lvlJc w:val="left"/>
      <w:pPr>
        <w:ind w:left="36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B190C72"/>
    <w:multiLevelType w:val="hybridMultilevel"/>
    <w:tmpl w:val="40A44E02"/>
    <w:lvl w:ilvl="0" w:tplc="2B8E5224">
      <w:start w:val="1"/>
      <w:numFmt w:val="decimal"/>
      <w:lvlText w:val="%1."/>
      <w:lvlJc w:val="left"/>
      <w:pPr>
        <w:ind w:left="360" w:hanging="360"/>
      </w:pPr>
      <w:rPr>
        <w:rFonts w:hint="default"/>
        <w:b/>
        <w:bCs w:val="0"/>
        <w:i w:val="0"/>
        <w:iCs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2EC755B5"/>
    <w:multiLevelType w:val="hybridMultilevel"/>
    <w:tmpl w:val="CC14C2D0"/>
    <w:lvl w:ilvl="0" w:tplc="59D01D66">
      <w:start w:val="1"/>
      <w:numFmt w:val="decimal"/>
      <w:lvlText w:val="%1."/>
      <w:lvlJc w:val="left"/>
      <w:pPr>
        <w:ind w:left="360" w:hanging="360"/>
      </w:pPr>
      <w:rPr>
        <w:rFonts w:hint="default"/>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1" w15:restartNumberingAfterBreak="0">
    <w:nsid w:val="347350C2"/>
    <w:multiLevelType w:val="hybridMultilevel"/>
    <w:tmpl w:val="E4948E44"/>
    <w:lvl w:ilvl="0" w:tplc="9AEA8C7C">
      <w:start w:val="3"/>
      <w:numFmt w:val="decimal"/>
      <w:lvlText w:val="%1."/>
      <w:lvlJc w:val="left"/>
      <w:pPr>
        <w:ind w:left="360" w:hanging="360"/>
      </w:pPr>
      <w:rPr>
        <w:rFonts w:hint="default"/>
        <w:b/>
        <w:bCs/>
        <w:i w:val="0"/>
        <w:iCs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2" w15:restartNumberingAfterBreak="0">
    <w:nsid w:val="35634489"/>
    <w:multiLevelType w:val="hybridMultilevel"/>
    <w:tmpl w:val="A88CB7DA"/>
    <w:lvl w:ilvl="0" w:tplc="DE8E9248">
      <w:start w:val="1"/>
      <w:numFmt w:val="decimal"/>
      <w:lvlText w:val="%1."/>
      <w:lvlJc w:val="left"/>
      <w:pPr>
        <w:ind w:left="720" w:hanging="360"/>
      </w:pPr>
      <w:rPr>
        <w:b/>
        <w:bCs/>
      </w:rPr>
    </w:lvl>
    <w:lvl w:ilvl="1" w:tplc="8376C98E">
      <w:start w:val="1"/>
      <w:numFmt w:val="upperLetter"/>
      <w:lvlText w:val="%2."/>
      <w:lvlJc w:val="left"/>
      <w:pPr>
        <w:ind w:left="1527" w:hanging="360"/>
      </w:pPr>
      <w:rPr>
        <w:rFonts w:hint="default"/>
      </w:rPr>
    </w:lvl>
    <w:lvl w:ilvl="2" w:tplc="4809001B" w:tentative="1">
      <w:start w:val="1"/>
      <w:numFmt w:val="lowerRoman"/>
      <w:lvlText w:val="%3."/>
      <w:lvlJc w:val="right"/>
      <w:pPr>
        <w:ind w:left="2247" w:hanging="180"/>
      </w:pPr>
    </w:lvl>
    <w:lvl w:ilvl="3" w:tplc="4809000F" w:tentative="1">
      <w:start w:val="1"/>
      <w:numFmt w:val="decimal"/>
      <w:lvlText w:val="%4."/>
      <w:lvlJc w:val="left"/>
      <w:pPr>
        <w:ind w:left="2967" w:hanging="360"/>
      </w:pPr>
    </w:lvl>
    <w:lvl w:ilvl="4" w:tplc="48090019" w:tentative="1">
      <w:start w:val="1"/>
      <w:numFmt w:val="lowerLetter"/>
      <w:lvlText w:val="%5."/>
      <w:lvlJc w:val="left"/>
      <w:pPr>
        <w:ind w:left="3687" w:hanging="360"/>
      </w:pPr>
    </w:lvl>
    <w:lvl w:ilvl="5" w:tplc="4809001B" w:tentative="1">
      <w:start w:val="1"/>
      <w:numFmt w:val="lowerRoman"/>
      <w:lvlText w:val="%6."/>
      <w:lvlJc w:val="right"/>
      <w:pPr>
        <w:ind w:left="4407" w:hanging="180"/>
      </w:pPr>
    </w:lvl>
    <w:lvl w:ilvl="6" w:tplc="4809000F" w:tentative="1">
      <w:start w:val="1"/>
      <w:numFmt w:val="decimal"/>
      <w:lvlText w:val="%7."/>
      <w:lvlJc w:val="left"/>
      <w:pPr>
        <w:ind w:left="5127" w:hanging="360"/>
      </w:pPr>
    </w:lvl>
    <w:lvl w:ilvl="7" w:tplc="48090019" w:tentative="1">
      <w:start w:val="1"/>
      <w:numFmt w:val="lowerLetter"/>
      <w:lvlText w:val="%8."/>
      <w:lvlJc w:val="left"/>
      <w:pPr>
        <w:ind w:left="5847" w:hanging="360"/>
      </w:pPr>
    </w:lvl>
    <w:lvl w:ilvl="8" w:tplc="4809001B" w:tentative="1">
      <w:start w:val="1"/>
      <w:numFmt w:val="lowerRoman"/>
      <w:lvlText w:val="%9."/>
      <w:lvlJc w:val="right"/>
      <w:pPr>
        <w:ind w:left="6567" w:hanging="180"/>
      </w:pPr>
    </w:lvl>
  </w:abstractNum>
  <w:abstractNum w:abstractNumId="23" w15:restartNumberingAfterBreak="0">
    <w:nsid w:val="3B31025B"/>
    <w:multiLevelType w:val="hybridMultilevel"/>
    <w:tmpl w:val="15A23BCE"/>
    <w:lvl w:ilvl="0" w:tplc="B49AE998">
      <w:start w:val="3"/>
      <w:numFmt w:val="decimal"/>
      <w:lvlText w:val="%1."/>
      <w:lvlJc w:val="left"/>
      <w:pPr>
        <w:ind w:left="360" w:hanging="360"/>
      </w:pPr>
      <w:rPr>
        <w:rFonts w:hint="default"/>
        <w:b/>
        <w:bCs/>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4" w15:restartNumberingAfterBreak="0">
    <w:nsid w:val="3C7A59F8"/>
    <w:multiLevelType w:val="hybridMultilevel"/>
    <w:tmpl w:val="5C0EFE18"/>
    <w:lvl w:ilvl="0" w:tplc="8DE88A72">
      <w:start w:val="1"/>
      <w:numFmt w:val="decimal"/>
      <w:lvlText w:val="%1."/>
      <w:lvlJc w:val="left"/>
      <w:pPr>
        <w:ind w:left="360" w:hanging="360"/>
      </w:pPr>
      <w:rPr>
        <w:rFonts w:hint="default"/>
        <w:b/>
        <w:bCs/>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3D7F6BD3"/>
    <w:multiLevelType w:val="hybridMultilevel"/>
    <w:tmpl w:val="72DE526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6" w15:restartNumberingAfterBreak="0">
    <w:nsid w:val="42C54A58"/>
    <w:multiLevelType w:val="hybridMultilevel"/>
    <w:tmpl w:val="AAB6880A"/>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27" w15:restartNumberingAfterBreak="0">
    <w:nsid w:val="446F18A4"/>
    <w:multiLevelType w:val="multilevel"/>
    <w:tmpl w:val="85407BDA"/>
    <w:lvl w:ilvl="0">
      <w:start w:val="1"/>
      <w:numFmt w:val="decimal"/>
      <w:pStyle w:val="Heading1"/>
      <w:lvlText w:val="%1."/>
      <w:lvlJc w:val="left"/>
      <w:pPr>
        <w:ind w:left="1428" w:hanging="720"/>
      </w:pPr>
    </w:lvl>
    <w:lvl w:ilvl="1">
      <w:start w:val="1"/>
      <w:numFmt w:val="decimal"/>
      <w:pStyle w:val="Heading2"/>
      <w:lvlText w:val="%1.%2"/>
      <w:lvlJc w:val="left"/>
      <w:pPr>
        <w:ind w:left="1080" w:hanging="720"/>
      </w:pPr>
    </w:lvl>
    <w:lvl w:ilvl="2">
      <w:start w:val="1"/>
      <w:numFmt w:val="decimal"/>
      <w:pStyle w:val="Heading3"/>
      <w:lvlText w:val="%1.%2.%3"/>
      <w:lvlJc w:val="left"/>
      <w:pPr>
        <w:ind w:left="1080" w:hanging="720"/>
      </w:pPr>
    </w:lvl>
    <w:lvl w:ilvl="3">
      <w:start w:val="1"/>
      <w:numFmt w:val="decimal"/>
      <w:pStyle w:val="Heading4"/>
      <w:lvlText w:val="%1.%2.%3.%4"/>
      <w:lvlJc w:val="left"/>
      <w:pPr>
        <w:ind w:left="1224" w:hanging="864"/>
      </w:pPr>
      <w:rPr>
        <w:sz w:val="20"/>
        <w:szCs w:val="16"/>
      </w:rPr>
    </w:lvl>
    <w:lvl w:ilvl="4">
      <w:start w:val="1"/>
      <w:numFmt w:val="decimal"/>
      <w:pStyle w:val="Heading5"/>
      <w:lvlText w:val="%1.%2.%3.%4.%5"/>
      <w:lvlJc w:val="left"/>
      <w:pPr>
        <w:ind w:left="1368" w:hanging="1008"/>
      </w:pPr>
    </w:lvl>
    <w:lvl w:ilvl="5">
      <w:start w:val="1"/>
      <w:numFmt w:val="decimal"/>
      <w:pStyle w:val="Heading6"/>
      <w:lvlText w:val="%1.%2.%3.%4.%5.%6"/>
      <w:lvlJc w:val="left"/>
      <w:pPr>
        <w:ind w:left="1512" w:hanging="1152"/>
      </w:pPr>
    </w:lvl>
    <w:lvl w:ilvl="6">
      <w:start w:val="1"/>
      <w:numFmt w:val="decimal"/>
      <w:pStyle w:val="Heading7"/>
      <w:lvlText w:val="%1.%2.%3.%4.%5.%6.%7"/>
      <w:lvlJc w:val="left"/>
      <w:pPr>
        <w:ind w:left="1656" w:hanging="1296"/>
      </w:pPr>
    </w:lvl>
    <w:lvl w:ilvl="7">
      <w:start w:val="1"/>
      <w:numFmt w:val="decimal"/>
      <w:pStyle w:val="Heading8"/>
      <w:lvlText w:val="%1.%2.%3.%4.%5.%6.%7.%8"/>
      <w:lvlJc w:val="left"/>
      <w:pPr>
        <w:ind w:left="1800" w:hanging="1440"/>
      </w:pPr>
    </w:lvl>
    <w:lvl w:ilvl="8">
      <w:start w:val="1"/>
      <w:numFmt w:val="decimal"/>
      <w:pStyle w:val="Heading9"/>
      <w:lvlText w:val="%1.%2.%3.%4.%5.%6.%7.%8.%9"/>
      <w:lvlJc w:val="left"/>
      <w:pPr>
        <w:ind w:left="1944" w:hanging="1584"/>
      </w:pPr>
    </w:lvl>
  </w:abstractNum>
  <w:abstractNum w:abstractNumId="28" w15:restartNumberingAfterBreak="0">
    <w:nsid w:val="467B0FBC"/>
    <w:multiLevelType w:val="multilevel"/>
    <w:tmpl w:val="77463C60"/>
    <w:lvl w:ilvl="0">
      <w:start w:val="1"/>
      <w:numFmt w:val="bullet"/>
      <w:lvlText w:val=""/>
      <w:lvlJc w:val="left"/>
      <w:pPr>
        <w:ind w:left="720" w:hanging="360"/>
      </w:pPr>
      <w:rPr>
        <w:rFonts w:ascii="Symbol" w:hAnsi="Symbol"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475C5C59"/>
    <w:multiLevelType w:val="hybridMultilevel"/>
    <w:tmpl w:val="E538383C"/>
    <w:lvl w:ilvl="0" w:tplc="2342F2DE">
      <w:start w:val="1"/>
      <w:numFmt w:val="bullet"/>
      <w:lvlText w:val="-"/>
      <w:lvlJc w:val="left"/>
      <w:pPr>
        <w:ind w:left="1080" w:hanging="360"/>
      </w:pPr>
      <w:rPr>
        <w:rFonts w:ascii="Arial" w:eastAsiaTheme="minorEastAsia" w:hAnsi="Arial" w:cs="Arial" w:hint="default"/>
        <w:b/>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30" w15:restartNumberingAfterBreak="0">
    <w:nsid w:val="4A25368D"/>
    <w:multiLevelType w:val="multilevel"/>
    <w:tmpl w:val="C8DEA5C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B1A6B75"/>
    <w:multiLevelType w:val="multilevel"/>
    <w:tmpl w:val="0782877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E1C550C"/>
    <w:multiLevelType w:val="hybridMultilevel"/>
    <w:tmpl w:val="D6D66CD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3" w15:restartNumberingAfterBreak="0">
    <w:nsid w:val="4EE574F2"/>
    <w:multiLevelType w:val="hybridMultilevel"/>
    <w:tmpl w:val="659EB798"/>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FA5290B"/>
    <w:multiLevelType w:val="hybridMultilevel"/>
    <w:tmpl w:val="42D441DA"/>
    <w:lvl w:ilvl="0" w:tplc="CE369408">
      <w:start w:val="1"/>
      <w:numFmt w:val="decimal"/>
      <w:lvlText w:val="%1."/>
      <w:lvlJc w:val="left"/>
      <w:pPr>
        <w:ind w:left="360" w:hanging="360"/>
      </w:pPr>
      <w:rPr>
        <w:rFonts w:hint="default"/>
        <w:b/>
        <w:bCs w:val="0"/>
        <w:i w:val="0"/>
        <w:iCs w:val="0"/>
      </w:rPr>
    </w:lvl>
    <w:lvl w:ilvl="1" w:tplc="21D67F2A">
      <w:start w:val="1"/>
      <w:numFmt w:val="decimal"/>
      <w:lvlText w:val="(%2)"/>
      <w:lvlJc w:val="left"/>
      <w:pPr>
        <w:ind w:left="1080" w:hanging="360"/>
      </w:pPr>
      <w:rPr>
        <w:rFont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50547685"/>
    <w:multiLevelType w:val="hybridMultilevel"/>
    <w:tmpl w:val="3FF6544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6" w15:restartNumberingAfterBreak="0">
    <w:nsid w:val="514346AF"/>
    <w:multiLevelType w:val="hybridMultilevel"/>
    <w:tmpl w:val="04DCE1D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7" w15:restartNumberingAfterBreak="0">
    <w:nsid w:val="51876009"/>
    <w:multiLevelType w:val="hybridMultilevel"/>
    <w:tmpl w:val="A40619F8"/>
    <w:lvl w:ilvl="0" w:tplc="8BC22E6C">
      <w:start w:val="1"/>
      <w:numFmt w:val="decimal"/>
      <w:lvlText w:val="%1."/>
      <w:lvlJc w:val="left"/>
      <w:pPr>
        <w:ind w:left="360" w:hanging="360"/>
      </w:pPr>
      <w:rPr>
        <w:b/>
        <w:bCs/>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38" w15:restartNumberingAfterBreak="0">
    <w:nsid w:val="525602BC"/>
    <w:multiLevelType w:val="multilevel"/>
    <w:tmpl w:val="45D67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41B65FC"/>
    <w:multiLevelType w:val="hybridMultilevel"/>
    <w:tmpl w:val="4F46B886"/>
    <w:lvl w:ilvl="0" w:tplc="6B84496C">
      <w:start w:val="3"/>
      <w:numFmt w:val="decimal"/>
      <w:lvlText w:val="%1."/>
      <w:lvlJc w:val="left"/>
      <w:pPr>
        <w:ind w:left="360" w:hanging="360"/>
      </w:pPr>
      <w:rPr>
        <w:rFonts w:hint="default"/>
        <w:b/>
        <w:bCs/>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0" w15:restartNumberingAfterBreak="0">
    <w:nsid w:val="56E14A2F"/>
    <w:multiLevelType w:val="hybridMultilevel"/>
    <w:tmpl w:val="3FB47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7800375"/>
    <w:multiLevelType w:val="multilevel"/>
    <w:tmpl w:val="8ADC7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BEF31A3"/>
    <w:multiLevelType w:val="hybridMultilevel"/>
    <w:tmpl w:val="75D01EDC"/>
    <w:lvl w:ilvl="0" w:tplc="45A0772A">
      <w:start w:val="1"/>
      <w:numFmt w:val="decimal"/>
      <w:lvlText w:val="%1."/>
      <w:lvlJc w:val="left"/>
      <w:pPr>
        <w:ind w:left="360" w:hanging="360"/>
      </w:pPr>
      <w:rPr>
        <w:rFonts w:hint="default"/>
        <w:b/>
        <w:bCs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5C74091C"/>
    <w:multiLevelType w:val="hybridMultilevel"/>
    <w:tmpl w:val="CC14C2D0"/>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DC76FD0"/>
    <w:multiLevelType w:val="hybridMultilevel"/>
    <w:tmpl w:val="4330E1CC"/>
    <w:lvl w:ilvl="0" w:tplc="F8A8F5CA">
      <w:start w:val="1"/>
      <w:numFmt w:val="decimal"/>
      <w:lvlText w:val="%1."/>
      <w:lvlJc w:val="left"/>
      <w:pPr>
        <w:ind w:left="36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0141873"/>
    <w:multiLevelType w:val="hybridMultilevel"/>
    <w:tmpl w:val="426202E6"/>
    <w:lvl w:ilvl="0" w:tplc="B49AE998">
      <w:start w:val="3"/>
      <w:numFmt w:val="decimal"/>
      <w:lvlText w:val="%1."/>
      <w:lvlJc w:val="left"/>
      <w:pPr>
        <w:ind w:left="360" w:hanging="360"/>
      </w:pPr>
      <w:rPr>
        <w:rFonts w:hint="default"/>
        <w:b/>
        <w:bCs/>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6" w15:restartNumberingAfterBreak="0">
    <w:nsid w:val="60E50BDF"/>
    <w:multiLevelType w:val="hybridMultilevel"/>
    <w:tmpl w:val="3472885C"/>
    <w:lvl w:ilvl="0" w:tplc="BFD4A97E">
      <w:start w:val="1"/>
      <w:numFmt w:val="decimal"/>
      <w:lvlText w:val="%1."/>
      <w:lvlJc w:val="left"/>
      <w:pPr>
        <w:ind w:left="36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10014E0"/>
    <w:multiLevelType w:val="hybridMultilevel"/>
    <w:tmpl w:val="14FA20A4"/>
    <w:lvl w:ilvl="0" w:tplc="1E7E1048">
      <w:start w:val="1"/>
      <w:numFmt w:val="bullet"/>
      <w:pStyle w:val="ListParagraph"/>
      <w:lvlText w:val=""/>
      <w:lvlJc w:val="left"/>
      <w:pPr>
        <w:ind w:left="1080" w:hanging="360"/>
      </w:pPr>
      <w:rPr>
        <w:rFonts w:ascii="Symbol" w:hAnsi="Symbol" w:hint="default"/>
        <w:b w:val="0"/>
        <w:i w:val="0"/>
        <w:color w:val="auto"/>
        <w:sz w:val="22"/>
      </w:rPr>
    </w:lvl>
    <w:lvl w:ilvl="1" w:tplc="ACEECD08">
      <w:start w:val="1"/>
      <w:numFmt w:val="bullet"/>
      <w:lvlText w:val="o"/>
      <w:lvlJc w:val="left"/>
      <w:pPr>
        <w:ind w:left="1440" w:hanging="360"/>
      </w:pPr>
      <w:rPr>
        <w:rFonts w:ascii="Courier New" w:hAnsi="Courier New" w:hint="default"/>
        <w:color w:val="4472C4" w:themeColor="accen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26C1D35"/>
    <w:multiLevelType w:val="hybridMultilevel"/>
    <w:tmpl w:val="796A4804"/>
    <w:lvl w:ilvl="0" w:tplc="9CFC1280">
      <w:start w:val="3"/>
      <w:numFmt w:val="decimal"/>
      <w:lvlText w:val="%1."/>
      <w:lvlJc w:val="left"/>
      <w:pPr>
        <w:ind w:left="36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9" w15:restartNumberingAfterBreak="0">
    <w:nsid w:val="6C0E32C8"/>
    <w:multiLevelType w:val="hybridMultilevel"/>
    <w:tmpl w:val="05423430"/>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50" w15:restartNumberingAfterBreak="0">
    <w:nsid w:val="6CFC4AE7"/>
    <w:multiLevelType w:val="hybridMultilevel"/>
    <w:tmpl w:val="A5842460"/>
    <w:lvl w:ilvl="0" w:tplc="D332B816">
      <w:start w:val="1"/>
      <w:numFmt w:val="bullet"/>
      <w:lvlText w:val=""/>
      <w:lvlJc w:val="left"/>
      <w:pPr>
        <w:ind w:left="720" w:hanging="360"/>
      </w:pPr>
      <w:rPr>
        <w:rFonts w:ascii="Symbol" w:hAnsi="Symbol"/>
      </w:rPr>
    </w:lvl>
    <w:lvl w:ilvl="1" w:tplc="C9C2CE1C">
      <w:start w:val="1"/>
      <w:numFmt w:val="bullet"/>
      <w:lvlText w:val=""/>
      <w:lvlJc w:val="left"/>
      <w:pPr>
        <w:ind w:left="720" w:hanging="360"/>
      </w:pPr>
      <w:rPr>
        <w:rFonts w:ascii="Symbol" w:hAnsi="Symbol"/>
      </w:rPr>
    </w:lvl>
    <w:lvl w:ilvl="2" w:tplc="A390586E">
      <w:start w:val="1"/>
      <w:numFmt w:val="bullet"/>
      <w:lvlText w:val=""/>
      <w:lvlJc w:val="left"/>
      <w:pPr>
        <w:ind w:left="720" w:hanging="360"/>
      </w:pPr>
      <w:rPr>
        <w:rFonts w:ascii="Symbol" w:hAnsi="Symbol"/>
      </w:rPr>
    </w:lvl>
    <w:lvl w:ilvl="3" w:tplc="0074A468">
      <w:start w:val="1"/>
      <w:numFmt w:val="bullet"/>
      <w:lvlText w:val=""/>
      <w:lvlJc w:val="left"/>
      <w:pPr>
        <w:ind w:left="720" w:hanging="360"/>
      </w:pPr>
      <w:rPr>
        <w:rFonts w:ascii="Symbol" w:hAnsi="Symbol"/>
      </w:rPr>
    </w:lvl>
    <w:lvl w:ilvl="4" w:tplc="AF20D470">
      <w:start w:val="1"/>
      <w:numFmt w:val="bullet"/>
      <w:lvlText w:val=""/>
      <w:lvlJc w:val="left"/>
      <w:pPr>
        <w:ind w:left="720" w:hanging="360"/>
      </w:pPr>
      <w:rPr>
        <w:rFonts w:ascii="Symbol" w:hAnsi="Symbol"/>
      </w:rPr>
    </w:lvl>
    <w:lvl w:ilvl="5" w:tplc="4CD85D12">
      <w:start w:val="1"/>
      <w:numFmt w:val="bullet"/>
      <w:lvlText w:val=""/>
      <w:lvlJc w:val="left"/>
      <w:pPr>
        <w:ind w:left="720" w:hanging="360"/>
      </w:pPr>
      <w:rPr>
        <w:rFonts w:ascii="Symbol" w:hAnsi="Symbol"/>
      </w:rPr>
    </w:lvl>
    <w:lvl w:ilvl="6" w:tplc="0A081CAA">
      <w:start w:val="1"/>
      <w:numFmt w:val="bullet"/>
      <w:lvlText w:val=""/>
      <w:lvlJc w:val="left"/>
      <w:pPr>
        <w:ind w:left="720" w:hanging="360"/>
      </w:pPr>
      <w:rPr>
        <w:rFonts w:ascii="Symbol" w:hAnsi="Symbol"/>
      </w:rPr>
    </w:lvl>
    <w:lvl w:ilvl="7" w:tplc="F33A7806">
      <w:start w:val="1"/>
      <w:numFmt w:val="bullet"/>
      <w:lvlText w:val=""/>
      <w:lvlJc w:val="left"/>
      <w:pPr>
        <w:ind w:left="720" w:hanging="360"/>
      </w:pPr>
      <w:rPr>
        <w:rFonts w:ascii="Symbol" w:hAnsi="Symbol"/>
      </w:rPr>
    </w:lvl>
    <w:lvl w:ilvl="8" w:tplc="1422DF00">
      <w:start w:val="1"/>
      <w:numFmt w:val="bullet"/>
      <w:lvlText w:val=""/>
      <w:lvlJc w:val="left"/>
      <w:pPr>
        <w:ind w:left="720" w:hanging="360"/>
      </w:pPr>
      <w:rPr>
        <w:rFonts w:ascii="Symbol" w:hAnsi="Symbol"/>
      </w:rPr>
    </w:lvl>
  </w:abstractNum>
  <w:abstractNum w:abstractNumId="51" w15:restartNumberingAfterBreak="0">
    <w:nsid w:val="6F7D6B11"/>
    <w:multiLevelType w:val="multilevel"/>
    <w:tmpl w:val="7EA88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0164ACF"/>
    <w:multiLevelType w:val="hybridMultilevel"/>
    <w:tmpl w:val="4BD6C976"/>
    <w:lvl w:ilvl="0" w:tplc="4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1367550"/>
    <w:multiLevelType w:val="hybridMultilevel"/>
    <w:tmpl w:val="8026A2B6"/>
    <w:styleLink w:val="CurrentList2"/>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4" w15:restartNumberingAfterBreak="0">
    <w:nsid w:val="72B66E6F"/>
    <w:multiLevelType w:val="hybridMultilevel"/>
    <w:tmpl w:val="30BAD4DC"/>
    <w:lvl w:ilvl="0" w:tplc="08090001">
      <w:start w:val="1"/>
      <w:numFmt w:val="bullet"/>
      <w:lvlText w:val=""/>
      <w:lvlJc w:val="left"/>
      <w:pPr>
        <w:ind w:left="720" w:hanging="360"/>
      </w:pPr>
      <w:rPr>
        <w:rFonts w:ascii="Symbol" w:hAnsi="Symbol" w:hint="default"/>
      </w:rPr>
    </w:lvl>
    <w:lvl w:ilvl="1" w:tplc="A5182FE0">
      <w:numFmt w:val="bullet"/>
      <w:lvlText w:val="•"/>
      <w:lvlJc w:val="left"/>
      <w:pPr>
        <w:ind w:left="1440" w:hanging="360"/>
      </w:pPr>
      <w:rPr>
        <w:rFonts w:ascii="Aptos" w:eastAsia="DengXian" w:hAnsi="Aptos"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3E4453A"/>
    <w:multiLevelType w:val="hybridMultilevel"/>
    <w:tmpl w:val="168C7F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7AEB6ED6"/>
    <w:multiLevelType w:val="hybridMultilevel"/>
    <w:tmpl w:val="B8EEF1C0"/>
    <w:lvl w:ilvl="0" w:tplc="08090001">
      <w:start w:val="1"/>
      <w:numFmt w:val="bullet"/>
      <w:lvlText w:val=""/>
      <w:lvlJc w:val="left"/>
      <w:pPr>
        <w:ind w:left="720" w:hanging="360"/>
      </w:pPr>
      <w:rPr>
        <w:rFonts w:ascii="Symbol" w:hAnsi="Symbol" w:hint="default"/>
      </w:rPr>
    </w:lvl>
    <w:lvl w:ilvl="1" w:tplc="D5164200">
      <w:numFmt w:val="bullet"/>
      <w:lvlText w:val="·"/>
      <w:lvlJc w:val="left"/>
      <w:pPr>
        <w:ind w:left="1440" w:hanging="360"/>
      </w:pPr>
      <w:rPr>
        <w:rFonts w:ascii="Aptos" w:eastAsia="Symbol" w:hAnsi="Aptos"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B413C6D"/>
    <w:multiLevelType w:val="hybridMultilevel"/>
    <w:tmpl w:val="23D056B6"/>
    <w:lvl w:ilvl="0" w:tplc="E244DF52">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7C353EB8"/>
    <w:multiLevelType w:val="hybridMultilevel"/>
    <w:tmpl w:val="BAD88AD2"/>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9" w15:restartNumberingAfterBreak="0">
    <w:nsid w:val="7CB85FFF"/>
    <w:multiLevelType w:val="hybridMultilevel"/>
    <w:tmpl w:val="EDBE3C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D3F389C"/>
    <w:multiLevelType w:val="hybridMultilevel"/>
    <w:tmpl w:val="3AE60344"/>
    <w:lvl w:ilvl="0" w:tplc="B636DB5E">
      <w:start w:val="1"/>
      <w:numFmt w:val="decimal"/>
      <w:lvlText w:val="%1."/>
      <w:lvlJc w:val="left"/>
      <w:pPr>
        <w:ind w:left="360" w:hanging="360"/>
      </w:pPr>
      <w:rPr>
        <w:rFonts w:hint="default"/>
        <w:b/>
        <w:bCs/>
      </w:rPr>
    </w:lvl>
    <w:lvl w:ilvl="1" w:tplc="48090003">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16cid:durableId="784428086">
    <w:abstractNumId w:val="47"/>
  </w:num>
  <w:num w:numId="2" w16cid:durableId="1759986943">
    <w:abstractNumId w:val="53"/>
  </w:num>
  <w:num w:numId="3" w16cid:durableId="1720201999">
    <w:abstractNumId w:val="7"/>
  </w:num>
  <w:num w:numId="4" w16cid:durableId="1989164664">
    <w:abstractNumId w:val="37"/>
  </w:num>
  <w:num w:numId="5" w16cid:durableId="359209214">
    <w:abstractNumId w:val="3"/>
  </w:num>
  <w:num w:numId="6" w16cid:durableId="1214349276">
    <w:abstractNumId w:val="60"/>
  </w:num>
  <w:num w:numId="7" w16cid:durableId="651178483">
    <w:abstractNumId w:val="58"/>
  </w:num>
  <w:num w:numId="8" w16cid:durableId="382603847">
    <w:abstractNumId w:val="20"/>
  </w:num>
  <w:num w:numId="9" w16cid:durableId="676076880">
    <w:abstractNumId w:val="15"/>
  </w:num>
  <w:num w:numId="10" w16cid:durableId="620918555">
    <w:abstractNumId w:val="6"/>
  </w:num>
  <w:num w:numId="11" w16cid:durableId="1829710062">
    <w:abstractNumId w:val="18"/>
  </w:num>
  <w:num w:numId="12" w16cid:durableId="393234434">
    <w:abstractNumId w:val="24"/>
  </w:num>
  <w:num w:numId="13" w16cid:durableId="355741723">
    <w:abstractNumId w:val="19"/>
  </w:num>
  <w:num w:numId="14" w16cid:durableId="702483436">
    <w:abstractNumId w:val="42"/>
  </w:num>
  <w:num w:numId="15" w16cid:durableId="916288569">
    <w:abstractNumId w:val="34"/>
  </w:num>
  <w:num w:numId="16" w16cid:durableId="1457525854">
    <w:abstractNumId w:val="10"/>
  </w:num>
  <w:num w:numId="17" w16cid:durableId="1935476581">
    <w:abstractNumId w:val="0"/>
  </w:num>
  <w:num w:numId="18" w16cid:durableId="205797797">
    <w:abstractNumId w:val="35"/>
  </w:num>
  <w:num w:numId="19" w16cid:durableId="1887794986">
    <w:abstractNumId w:val="28"/>
  </w:num>
  <w:num w:numId="20" w16cid:durableId="486628826">
    <w:abstractNumId w:val="55"/>
  </w:num>
  <w:num w:numId="21" w16cid:durableId="1618834169">
    <w:abstractNumId w:val="57"/>
  </w:num>
  <w:num w:numId="22" w16cid:durableId="729041295">
    <w:abstractNumId w:val="43"/>
  </w:num>
  <w:num w:numId="23" w16cid:durableId="1561751557">
    <w:abstractNumId w:val="2"/>
  </w:num>
  <w:num w:numId="24" w16cid:durableId="449009732">
    <w:abstractNumId w:val="44"/>
  </w:num>
  <w:num w:numId="25" w16cid:durableId="2092114071">
    <w:abstractNumId w:val="33"/>
  </w:num>
  <w:num w:numId="26" w16cid:durableId="1429348175">
    <w:abstractNumId w:val="46"/>
  </w:num>
  <w:num w:numId="27" w16cid:durableId="1885285769">
    <w:abstractNumId w:val="14"/>
  </w:num>
  <w:num w:numId="28" w16cid:durableId="36705755">
    <w:abstractNumId w:val="8"/>
  </w:num>
  <w:num w:numId="29" w16cid:durableId="1344091475">
    <w:abstractNumId w:val="48"/>
  </w:num>
  <w:num w:numId="30" w16cid:durableId="1633320889">
    <w:abstractNumId w:val="5"/>
  </w:num>
  <w:num w:numId="31" w16cid:durableId="1842694363">
    <w:abstractNumId w:val="39"/>
  </w:num>
  <w:num w:numId="32" w16cid:durableId="1350990346">
    <w:abstractNumId w:val="21"/>
  </w:num>
  <w:num w:numId="33" w16cid:durableId="911502784">
    <w:abstractNumId w:val="17"/>
  </w:num>
  <w:num w:numId="34" w16cid:durableId="1610046923">
    <w:abstractNumId w:val="22"/>
  </w:num>
  <w:num w:numId="35" w16cid:durableId="1860848936">
    <w:abstractNumId w:val="38"/>
  </w:num>
  <w:num w:numId="36" w16cid:durableId="781728759">
    <w:abstractNumId w:val="36"/>
  </w:num>
  <w:num w:numId="37" w16cid:durableId="1275283940">
    <w:abstractNumId w:val="45"/>
  </w:num>
  <w:num w:numId="38" w16cid:durableId="1752774707">
    <w:abstractNumId w:val="23"/>
  </w:num>
  <w:num w:numId="39" w16cid:durableId="821385957">
    <w:abstractNumId w:val="32"/>
  </w:num>
  <w:num w:numId="40" w16cid:durableId="1174610981">
    <w:abstractNumId w:val="49"/>
  </w:num>
  <w:num w:numId="41" w16cid:durableId="2019504080">
    <w:abstractNumId w:val="27"/>
  </w:num>
  <w:num w:numId="42" w16cid:durableId="1464346311">
    <w:abstractNumId w:val="16"/>
  </w:num>
  <w:num w:numId="43" w16cid:durableId="1058556054">
    <w:abstractNumId w:val="30"/>
  </w:num>
  <w:num w:numId="44" w16cid:durableId="848905657">
    <w:abstractNumId w:val="25"/>
  </w:num>
  <w:num w:numId="45" w16cid:durableId="1157183479">
    <w:abstractNumId w:val="11"/>
  </w:num>
  <w:num w:numId="46" w16cid:durableId="1984307807">
    <w:abstractNumId w:val="29"/>
  </w:num>
  <w:num w:numId="47" w16cid:durableId="723720919">
    <w:abstractNumId w:val="26"/>
  </w:num>
  <w:num w:numId="48" w16cid:durableId="1056855023">
    <w:abstractNumId w:val="13"/>
  </w:num>
  <w:num w:numId="49" w16cid:durableId="27950594">
    <w:abstractNumId w:val="27"/>
    <w:lvlOverride w:ilvl="0">
      <w:startOverride w:val="1"/>
    </w:lvlOverride>
  </w:num>
  <w:num w:numId="50" w16cid:durableId="1883008219">
    <w:abstractNumId w:val="52"/>
  </w:num>
  <w:num w:numId="51" w16cid:durableId="1562599646">
    <w:abstractNumId w:val="50"/>
  </w:num>
  <w:num w:numId="52" w16cid:durableId="1007900128">
    <w:abstractNumId w:val="51"/>
  </w:num>
  <w:num w:numId="53" w16cid:durableId="1377898305">
    <w:abstractNumId w:val="9"/>
  </w:num>
  <w:num w:numId="54" w16cid:durableId="1455251369">
    <w:abstractNumId w:val="12"/>
  </w:num>
  <w:num w:numId="55" w16cid:durableId="2098286139">
    <w:abstractNumId w:val="41"/>
  </w:num>
  <w:num w:numId="56" w16cid:durableId="554314469">
    <w:abstractNumId w:val="54"/>
  </w:num>
  <w:num w:numId="57" w16cid:durableId="633800474">
    <w:abstractNumId w:val="59"/>
  </w:num>
  <w:num w:numId="58" w16cid:durableId="1376928701">
    <w:abstractNumId w:val="56"/>
  </w:num>
  <w:num w:numId="59" w16cid:durableId="1346715346">
    <w:abstractNumId w:val="31"/>
  </w:num>
  <w:num w:numId="60" w16cid:durableId="727342068">
    <w:abstractNumId w:val="4"/>
  </w:num>
  <w:num w:numId="61" w16cid:durableId="1627660463">
    <w:abstractNumId w:val="1"/>
  </w:num>
  <w:num w:numId="62" w16cid:durableId="1850750893">
    <w:abstractNumId w:val="4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9"/>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591"/>
    <w:rsid w:val="00000005"/>
    <w:rsid w:val="0000081C"/>
    <w:rsid w:val="000008DD"/>
    <w:rsid w:val="00000CA7"/>
    <w:rsid w:val="00000D9B"/>
    <w:rsid w:val="00000E30"/>
    <w:rsid w:val="00000E85"/>
    <w:rsid w:val="00001157"/>
    <w:rsid w:val="00001331"/>
    <w:rsid w:val="000016D2"/>
    <w:rsid w:val="000016DE"/>
    <w:rsid w:val="00001D29"/>
    <w:rsid w:val="00002664"/>
    <w:rsid w:val="00002BC1"/>
    <w:rsid w:val="000030BA"/>
    <w:rsid w:val="00003288"/>
    <w:rsid w:val="00003461"/>
    <w:rsid w:val="000036AE"/>
    <w:rsid w:val="000038C7"/>
    <w:rsid w:val="00003A92"/>
    <w:rsid w:val="000044A3"/>
    <w:rsid w:val="0000469F"/>
    <w:rsid w:val="00004C13"/>
    <w:rsid w:val="000050BB"/>
    <w:rsid w:val="0000533B"/>
    <w:rsid w:val="000054EA"/>
    <w:rsid w:val="0000560F"/>
    <w:rsid w:val="0000562D"/>
    <w:rsid w:val="000059DB"/>
    <w:rsid w:val="00005CAB"/>
    <w:rsid w:val="00005CB7"/>
    <w:rsid w:val="00005ECD"/>
    <w:rsid w:val="00005FBA"/>
    <w:rsid w:val="0000601D"/>
    <w:rsid w:val="00006215"/>
    <w:rsid w:val="000064E8"/>
    <w:rsid w:val="0000721C"/>
    <w:rsid w:val="00007493"/>
    <w:rsid w:val="0000755A"/>
    <w:rsid w:val="00007B77"/>
    <w:rsid w:val="00007BA2"/>
    <w:rsid w:val="00007DC0"/>
    <w:rsid w:val="00007DF3"/>
    <w:rsid w:val="00010FD8"/>
    <w:rsid w:val="0001114A"/>
    <w:rsid w:val="0001126C"/>
    <w:rsid w:val="00011327"/>
    <w:rsid w:val="000115AC"/>
    <w:rsid w:val="000118FC"/>
    <w:rsid w:val="00011B55"/>
    <w:rsid w:val="00011CB7"/>
    <w:rsid w:val="00011DFC"/>
    <w:rsid w:val="000121C0"/>
    <w:rsid w:val="0001222F"/>
    <w:rsid w:val="000122AF"/>
    <w:rsid w:val="00012320"/>
    <w:rsid w:val="0001264C"/>
    <w:rsid w:val="00012833"/>
    <w:rsid w:val="00012C78"/>
    <w:rsid w:val="00012D7E"/>
    <w:rsid w:val="000130E0"/>
    <w:rsid w:val="00013111"/>
    <w:rsid w:val="0001338B"/>
    <w:rsid w:val="000133F3"/>
    <w:rsid w:val="00013419"/>
    <w:rsid w:val="0001363B"/>
    <w:rsid w:val="000138A9"/>
    <w:rsid w:val="00013D9E"/>
    <w:rsid w:val="000142EB"/>
    <w:rsid w:val="000149F1"/>
    <w:rsid w:val="00014C1A"/>
    <w:rsid w:val="000151C6"/>
    <w:rsid w:val="0001546B"/>
    <w:rsid w:val="000154C2"/>
    <w:rsid w:val="000156D5"/>
    <w:rsid w:val="00015AC9"/>
    <w:rsid w:val="00015DA0"/>
    <w:rsid w:val="000160B9"/>
    <w:rsid w:val="00016149"/>
    <w:rsid w:val="000161D3"/>
    <w:rsid w:val="000161F4"/>
    <w:rsid w:val="0001626F"/>
    <w:rsid w:val="000163F8"/>
    <w:rsid w:val="000165B3"/>
    <w:rsid w:val="0001663D"/>
    <w:rsid w:val="00016786"/>
    <w:rsid w:val="000167FC"/>
    <w:rsid w:val="00016803"/>
    <w:rsid w:val="00016813"/>
    <w:rsid w:val="000169B2"/>
    <w:rsid w:val="00016BE3"/>
    <w:rsid w:val="0001702E"/>
    <w:rsid w:val="000170C1"/>
    <w:rsid w:val="000178DB"/>
    <w:rsid w:val="00017AF3"/>
    <w:rsid w:val="00017C9C"/>
    <w:rsid w:val="00017D92"/>
    <w:rsid w:val="00017E37"/>
    <w:rsid w:val="00017ECA"/>
    <w:rsid w:val="00017EDB"/>
    <w:rsid w:val="000201B6"/>
    <w:rsid w:val="00020221"/>
    <w:rsid w:val="000202CC"/>
    <w:rsid w:val="000207C6"/>
    <w:rsid w:val="000207EB"/>
    <w:rsid w:val="00020945"/>
    <w:rsid w:val="00020DE5"/>
    <w:rsid w:val="0002107F"/>
    <w:rsid w:val="0002118B"/>
    <w:rsid w:val="0002136E"/>
    <w:rsid w:val="000219BA"/>
    <w:rsid w:val="00021A4A"/>
    <w:rsid w:val="000221A5"/>
    <w:rsid w:val="00022527"/>
    <w:rsid w:val="00022618"/>
    <w:rsid w:val="000226CA"/>
    <w:rsid w:val="00022CFD"/>
    <w:rsid w:val="00022E09"/>
    <w:rsid w:val="00022EDC"/>
    <w:rsid w:val="00022FF0"/>
    <w:rsid w:val="000230E9"/>
    <w:rsid w:val="000231AE"/>
    <w:rsid w:val="00023305"/>
    <w:rsid w:val="00023650"/>
    <w:rsid w:val="0002376C"/>
    <w:rsid w:val="000238BC"/>
    <w:rsid w:val="00023AB6"/>
    <w:rsid w:val="00023AF7"/>
    <w:rsid w:val="00023D78"/>
    <w:rsid w:val="0002418D"/>
    <w:rsid w:val="00024289"/>
    <w:rsid w:val="00024372"/>
    <w:rsid w:val="000244B2"/>
    <w:rsid w:val="00024685"/>
    <w:rsid w:val="0002481F"/>
    <w:rsid w:val="00024ED9"/>
    <w:rsid w:val="00025247"/>
    <w:rsid w:val="000252E7"/>
    <w:rsid w:val="00025B17"/>
    <w:rsid w:val="00025B54"/>
    <w:rsid w:val="00025B90"/>
    <w:rsid w:val="00025DA1"/>
    <w:rsid w:val="000266B6"/>
    <w:rsid w:val="00026C25"/>
    <w:rsid w:val="00027387"/>
    <w:rsid w:val="00027628"/>
    <w:rsid w:val="00027644"/>
    <w:rsid w:val="00027661"/>
    <w:rsid w:val="0002772D"/>
    <w:rsid w:val="000279FB"/>
    <w:rsid w:val="00027AF4"/>
    <w:rsid w:val="00027F72"/>
    <w:rsid w:val="0003040E"/>
    <w:rsid w:val="00030C92"/>
    <w:rsid w:val="000312CA"/>
    <w:rsid w:val="00031715"/>
    <w:rsid w:val="00031942"/>
    <w:rsid w:val="00031FA9"/>
    <w:rsid w:val="00031FD1"/>
    <w:rsid w:val="0003215D"/>
    <w:rsid w:val="000322D7"/>
    <w:rsid w:val="000323DE"/>
    <w:rsid w:val="00032653"/>
    <w:rsid w:val="0003266E"/>
    <w:rsid w:val="00032D4C"/>
    <w:rsid w:val="00032E59"/>
    <w:rsid w:val="00032FBF"/>
    <w:rsid w:val="00033020"/>
    <w:rsid w:val="00033238"/>
    <w:rsid w:val="00033309"/>
    <w:rsid w:val="0003340B"/>
    <w:rsid w:val="000334D4"/>
    <w:rsid w:val="00033CFD"/>
    <w:rsid w:val="00033DE1"/>
    <w:rsid w:val="0003460A"/>
    <w:rsid w:val="000349C1"/>
    <w:rsid w:val="00034CD6"/>
    <w:rsid w:val="00034D72"/>
    <w:rsid w:val="00035128"/>
    <w:rsid w:val="00035251"/>
    <w:rsid w:val="0003565F"/>
    <w:rsid w:val="00035980"/>
    <w:rsid w:val="00035B01"/>
    <w:rsid w:val="0003610A"/>
    <w:rsid w:val="000363F2"/>
    <w:rsid w:val="00036842"/>
    <w:rsid w:val="0003697B"/>
    <w:rsid w:val="00036C3B"/>
    <w:rsid w:val="000370FC"/>
    <w:rsid w:val="0003712C"/>
    <w:rsid w:val="00037191"/>
    <w:rsid w:val="000376DA"/>
    <w:rsid w:val="000378A0"/>
    <w:rsid w:val="00037909"/>
    <w:rsid w:val="00037D0B"/>
    <w:rsid w:val="00037D0D"/>
    <w:rsid w:val="000400B2"/>
    <w:rsid w:val="00040294"/>
    <w:rsid w:val="00040585"/>
    <w:rsid w:val="0004066E"/>
    <w:rsid w:val="00040877"/>
    <w:rsid w:val="00040974"/>
    <w:rsid w:val="0004099B"/>
    <w:rsid w:val="00040A55"/>
    <w:rsid w:val="00040EA1"/>
    <w:rsid w:val="00041691"/>
    <w:rsid w:val="000416B7"/>
    <w:rsid w:val="00041906"/>
    <w:rsid w:val="00041D15"/>
    <w:rsid w:val="00041D95"/>
    <w:rsid w:val="00041E8B"/>
    <w:rsid w:val="000421B8"/>
    <w:rsid w:val="00042446"/>
    <w:rsid w:val="00042D9B"/>
    <w:rsid w:val="00042E6B"/>
    <w:rsid w:val="00043052"/>
    <w:rsid w:val="000430A1"/>
    <w:rsid w:val="000431E5"/>
    <w:rsid w:val="000431EB"/>
    <w:rsid w:val="00043573"/>
    <w:rsid w:val="000437EF"/>
    <w:rsid w:val="00043C5B"/>
    <w:rsid w:val="00044171"/>
    <w:rsid w:val="00044321"/>
    <w:rsid w:val="000444FA"/>
    <w:rsid w:val="0004475D"/>
    <w:rsid w:val="000447CC"/>
    <w:rsid w:val="000448F3"/>
    <w:rsid w:val="00044926"/>
    <w:rsid w:val="00044D3E"/>
    <w:rsid w:val="0004502F"/>
    <w:rsid w:val="0004510B"/>
    <w:rsid w:val="00045213"/>
    <w:rsid w:val="000452BE"/>
    <w:rsid w:val="00045418"/>
    <w:rsid w:val="00045751"/>
    <w:rsid w:val="00045C8F"/>
    <w:rsid w:val="00045DF1"/>
    <w:rsid w:val="00045EBA"/>
    <w:rsid w:val="00045F49"/>
    <w:rsid w:val="00046360"/>
    <w:rsid w:val="000464C6"/>
    <w:rsid w:val="00046858"/>
    <w:rsid w:val="00046C7E"/>
    <w:rsid w:val="00046CD6"/>
    <w:rsid w:val="00046DB7"/>
    <w:rsid w:val="00046FB2"/>
    <w:rsid w:val="000470D2"/>
    <w:rsid w:val="00047389"/>
    <w:rsid w:val="00047AC4"/>
    <w:rsid w:val="00047B38"/>
    <w:rsid w:val="00047BE3"/>
    <w:rsid w:val="00047CD5"/>
    <w:rsid w:val="00047E91"/>
    <w:rsid w:val="00047EE6"/>
    <w:rsid w:val="00050509"/>
    <w:rsid w:val="000506F6"/>
    <w:rsid w:val="00050CA1"/>
    <w:rsid w:val="00050EDC"/>
    <w:rsid w:val="000513AE"/>
    <w:rsid w:val="000516BD"/>
    <w:rsid w:val="0005192D"/>
    <w:rsid w:val="00052034"/>
    <w:rsid w:val="0005210F"/>
    <w:rsid w:val="000521BE"/>
    <w:rsid w:val="000525F2"/>
    <w:rsid w:val="0005272C"/>
    <w:rsid w:val="0005274A"/>
    <w:rsid w:val="00052872"/>
    <w:rsid w:val="00052889"/>
    <w:rsid w:val="000528C4"/>
    <w:rsid w:val="000531F6"/>
    <w:rsid w:val="00053405"/>
    <w:rsid w:val="00053485"/>
    <w:rsid w:val="00053A8D"/>
    <w:rsid w:val="00053C2B"/>
    <w:rsid w:val="0005461B"/>
    <w:rsid w:val="000546B3"/>
    <w:rsid w:val="00054724"/>
    <w:rsid w:val="000547E9"/>
    <w:rsid w:val="000548E2"/>
    <w:rsid w:val="00054B44"/>
    <w:rsid w:val="00054B75"/>
    <w:rsid w:val="00054C09"/>
    <w:rsid w:val="00054E0F"/>
    <w:rsid w:val="00054F49"/>
    <w:rsid w:val="00055373"/>
    <w:rsid w:val="0005548C"/>
    <w:rsid w:val="000554BF"/>
    <w:rsid w:val="00055822"/>
    <w:rsid w:val="00055B72"/>
    <w:rsid w:val="00055ECC"/>
    <w:rsid w:val="00056193"/>
    <w:rsid w:val="000562B9"/>
    <w:rsid w:val="000562EA"/>
    <w:rsid w:val="00056621"/>
    <w:rsid w:val="00056773"/>
    <w:rsid w:val="0005679B"/>
    <w:rsid w:val="00056915"/>
    <w:rsid w:val="0005694E"/>
    <w:rsid w:val="00056BAB"/>
    <w:rsid w:val="00056C68"/>
    <w:rsid w:val="0005762C"/>
    <w:rsid w:val="0005763A"/>
    <w:rsid w:val="00057714"/>
    <w:rsid w:val="00057807"/>
    <w:rsid w:val="00057820"/>
    <w:rsid w:val="00057BBD"/>
    <w:rsid w:val="00057F6A"/>
    <w:rsid w:val="00057FB8"/>
    <w:rsid w:val="00060300"/>
    <w:rsid w:val="000605E8"/>
    <w:rsid w:val="000608BA"/>
    <w:rsid w:val="00060D09"/>
    <w:rsid w:val="00061097"/>
    <w:rsid w:val="00061143"/>
    <w:rsid w:val="000612A2"/>
    <w:rsid w:val="00061372"/>
    <w:rsid w:val="000619E3"/>
    <w:rsid w:val="00061AB4"/>
    <w:rsid w:val="00061D1C"/>
    <w:rsid w:val="00061F5F"/>
    <w:rsid w:val="0006241C"/>
    <w:rsid w:val="00062947"/>
    <w:rsid w:val="00062E44"/>
    <w:rsid w:val="00062E69"/>
    <w:rsid w:val="000630A0"/>
    <w:rsid w:val="00063307"/>
    <w:rsid w:val="0006336C"/>
    <w:rsid w:val="000639BF"/>
    <w:rsid w:val="00063ADB"/>
    <w:rsid w:val="00063B60"/>
    <w:rsid w:val="00063E53"/>
    <w:rsid w:val="00063F9B"/>
    <w:rsid w:val="00064092"/>
    <w:rsid w:val="000640E8"/>
    <w:rsid w:val="0006431F"/>
    <w:rsid w:val="00064866"/>
    <w:rsid w:val="00064B5F"/>
    <w:rsid w:val="00064D5B"/>
    <w:rsid w:val="000650AA"/>
    <w:rsid w:val="0006519D"/>
    <w:rsid w:val="00065459"/>
    <w:rsid w:val="000655DA"/>
    <w:rsid w:val="0006594F"/>
    <w:rsid w:val="00065BB0"/>
    <w:rsid w:val="00065C3B"/>
    <w:rsid w:val="00065E04"/>
    <w:rsid w:val="00066114"/>
    <w:rsid w:val="00066589"/>
    <w:rsid w:val="00066D04"/>
    <w:rsid w:val="00066F9F"/>
    <w:rsid w:val="00067116"/>
    <w:rsid w:val="000671DE"/>
    <w:rsid w:val="000679BA"/>
    <w:rsid w:val="00070092"/>
    <w:rsid w:val="00070105"/>
    <w:rsid w:val="000703DE"/>
    <w:rsid w:val="0007068C"/>
    <w:rsid w:val="000706E0"/>
    <w:rsid w:val="00070BF5"/>
    <w:rsid w:val="00070C4E"/>
    <w:rsid w:val="00070D14"/>
    <w:rsid w:val="00070FFD"/>
    <w:rsid w:val="00071078"/>
    <w:rsid w:val="0007118D"/>
    <w:rsid w:val="00071887"/>
    <w:rsid w:val="0007193B"/>
    <w:rsid w:val="00071BDB"/>
    <w:rsid w:val="00071E1D"/>
    <w:rsid w:val="00072024"/>
    <w:rsid w:val="0007216B"/>
    <w:rsid w:val="000722E9"/>
    <w:rsid w:val="000722EB"/>
    <w:rsid w:val="0007232C"/>
    <w:rsid w:val="000723CD"/>
    <w:rsid w:val="0007249F"/>
    <w:rsid w:val="00072861"/>
    <w:rsid w:val="000729B5"/>
    <w:rsid w:val="00072A63"/>
    <w:rsid w:val="00072BAE"/>
    <w:rsid w:val="00072F2B"/>
    <w:rsid w:val="000730B5"/>
    <w:rsid w:val="00073102"/>
    <w:rsid w:val="0007392C"/>
    <w:rsid w:val="00073C0D"/>
    <w:rsid w:val="00073DD0"/>
    <w:rsid w:val="00073EF9"/>
    <w:rsid w:val="00073F3B"/>
    <w:rsid w:val="00074C46"/>
    <w:rsid w:val="00074C4C"/>
    <w:rsid w:val="00074C6B"/>
    <w:rsid w:val="00075B60"/>
    <w:rsid w:val="00075DF7"/>
    <w:rsid w:val="00075E7E"/>
    <w:rsid w:val="000766E7"/>
    <w:rsid w:val="00076E36"/>
    <w:rsid w:val="00076F22"/>
    <w:rsid w:val="0007754B"/>
    <w:rsid w:val="00077AF9"/>
    <w:rsid w:val="00077C60"/>
    <w:rsid w:val="00077D74"/>
    <w:rsid w:val="00077EC8"/>
    <w:rsid w:val="0008023F"/>
    <w:rsid w:val="000805BB"/>
    <w:rsid w:val="00080E6F"/>
    <w:rsid w:val="00080F53"/>
    <w:rsid w:val="00080F99"/>
    <w:rsid w:val="000812DE"/>
    <w:rsid w:val="00081454"/>
    <w:rsid w:val="00081476"/>
    <w:rsid w:val="00081715"/>
    <w:rsid w:val="000817D2"/>
    <w:rsid w:val="00081AC4"/>
    <w:rsid w:val="00081CDC"/>
    <w:rsid w:val="00081F06"/>
    <w:rsid w:val="00081F6D"/>
    <w:rsid w:val="00082249"/>
    <w:rsid w:val="00082290"/>
    <w:rsid w:val="000826FD"/>
    <w:rsid w:val="000827EF"/>
    <w:rsid w:val="00082B0B"/>
    <w:rsid w:val="00082B68"/>
    <w:rsid w:val="00082B8F"/>
    <w:rsid w:val="000830B8"/>
    <w:rsid w:val="00083802"/>
    <w:rsid w:val="000838A1"/>
    <w:rsid w:val="00083A1E"/>
    <w:rsid w:val="00083C60"/>
    <w:rsid w:val="00083CC1"/>
    <w:rsid w:val="0008406B"/>
    <w:rsid w:val="00084316"/>
    <w:rsid w:val="00084379"/>
    <w:rsid w:val="00084657"/>
    <w:rsid w:val="0008473E"/>
    <w:rsid w:val="00084A94"/>
    <w:rsid w:val="00084CD2"/>
    <w:rsid w:val="00084D5D"/>
    <w:rsid w:val="0008501C"/>
    <w:rsid w:val="0008509C"/>
    <w:rsid w:val="0008514A"/>
    <w:rsid w:val="00085188"/>
    <w:rsid w:val="00085738"/>
    <w:rsid w:val="00085CB7"/>
    <w:rsid w:val="00085F4A"/>
    <w:rsid w:val="00085FF5"/>
    <w:rsid w:val="00086170"/>
    <w:rsid w:val="00086599"/>
    <w:rsid w:val="0008669F"/>
    <w:rsid w:val="0008678F"/>
    <w:rsid w:val="00086836"/>
    <w:rsid w:val="000869FA"/>
    <w:rsid w:val="00086AC9"/>
    <w:rsid w:val="00086B38"/>
    <w:rsid w:val="00086BB1"/>
    <w:rsid w:val="0008720C"/>
    <w:rsid w:val="00087504"/>
    <w:rsid w:val="00087CA6"/>
    <w:rsid w:val="00087E8C"/>
    <w:rsid w:val="0009022D"/>
    <w:rsid w:val="000902E2"/>
    <w:rsid w:val="000904FD"/>
    <w:rsid w:val="000907B9"/>
    <w:rsid w:val="000908EB"/>
    <w:rsid w:val="00090927"/>
    <w:rsid w:val="00090A71"/>
    <w:rsid w:val="00090DFD"/>
    <w:rsid w:val="00091C66"/>
    <w:rsid w:val="000920D9"/>
    <w:rsid w:val="000922AD"/>
    <w:rsid w:val="000922D0"/>
    <w:rsid w:val="00092FD2"/>
    <w:rsid w:val="0009305D"/>
    <w:rsid w:val="000931F3"/>
    <w:rsid w:val="00093242"/>
    <w:rsid w:val="000937A5"/>
    <w:rsid w:val="00093819"/>
    <w:rsid w:val="00093A18"/>
    <w:rsid w:val="00093AB3"/>
    <w:rsid w:val="00093D01"/>
    <w:rsid w:val="000940BE"/>
    <w:rsid w:val="000943FE"/>
    <w:rsid w:val="00094447"/>
    <w:rsid w:val="00094474"/>
    <w:rsid w:val="000948D1"/>
    <w:rsid w:val="000948EE"/>
    <w:rsid w:val="00094A71"/>
    <w:rsid w:val="00094E44"/>
    <w:rsid w:val="00095082"/>
    <w:rsid w:val="00095540"/>
    <w:rsid w:val="000958F5"/>
    <w:rsid w:val="0009624F"/>
    <w:rsid w:val="0009694C"/>
    <w:rsid w:val="000969AC"/>
    <w:rsid w:val="00096C5B"/>
    <w:rsid w:val="0009714E"/>
    <w:rsid w:val="000971DE"/>
    <w:rsid w:val="0009726B"/>
    <w:rsid w:val="0009766F"/>
    <w:rsid w:val="0009793C"/>
    <w:rsid w:val="000979CC"/>
    <w:rsid w:val="00097D44"/>
    <w:rsid w:val="00097EC8"/>
    <w:rsid w:val="00097ECA"/>
    <w:rsid w:val="000A00DE"/>
    <w:rsid w:val="000A0756"/>
    <w:rsid w:val="000A0989"/>
    <w:rsid w:val="000A0AD4"/>
    <w:rsid w:val="000A0CF4"/>
    <w:rsid w:val="000A0DD9"/>
    <w:rsid w:val="000A0DDC"/>
    <w:rsid w:val="000A0E1B"/>
    <w:rsid w:val="000A0E33"/>
    <w:rsid w:val="000A1077"/>
    <w:rsid w:val="000A1099"/>
    <w:rsid w:val="000A12DF"/>
    <w:rsid w:val="000A1DF2"/>
    <w:rsid w:val="000A1E04"/>
    <w:rsid w:val="000A1E6B"/>
    <w:rsid w:val="000A1FD7"/>
    <w:rsid w:val="000A2066"/>
    <w:rsid w:val="000A20C2"/>
    <w:rsid w:val="000A2240"/>
    <w:rsid w:val="000A2373"/>
    <w:rsid w:val="000A25FC"/>
    <w:rsid w:val="000A26B1"/>
    <w:rsid w:val="000A2AD5"/>
    <w:rsid w:val="000A33E7"/>
    <w:rsid w:val="000A3676"/>
    <w:rsid w:val="000A370B"/>
    <w:rsid w:val="000A3741"/>
    <w:rsid w:val="000A3AE7"/>
    <w:rsid w:val="000A4002"/>
    <w:rsid w:val="000A426B"/>
    <w:rsid w:val="000A43F0"/>
    <w:rsid w:val="000A4487"/>
    <w:rsid w:val="000A4684"/>
    <w:rsid w:val="000A495D"/>
    <w:rsid w:val="000A4CD9"/>
    <w:rsid w:val="000A50D1"/>
    <w:rsid w:val="000A5284"/>
    <w:rsid w:val="000A534A"/>
    <w:rsid w:val="000A5A36"/>
    <w:rsid w:val="000A5A78"/>
    <w:rsid w:val="000A62C1"/>
    <w:rsid w:val="000A6566"/>
    <w:rsid w:val="000A6B57"/>
    <w:rsid w:val="000A6D66"/>
    <w:rsid w:val="000A70A7"/>
    <w:rsid w:val="000A73A5"/>
    <w:rsid w:val="000A7731"/>
    <w:rsid w:val="000A79E9"/>
    <w:rsid w:val="000A7B78"/>
    <w:rsid w:val="000A7C8A"/>
    <w:rsid w:val="000A7F23"/>
    <w:rsid w:val="000A7F27"/>
    <w:rsid w:val="000B0246"/>
    <w:rsid w:val="000B04E5"/>
    <w:rsid w:val="000B06C1"/>
    <w:rsid w:val="000B0923"/>
    <w:rsid w:val="000B09C8"/>
    <w:rsid w:val="000B0D16"/>
    <w:rsid w:val="000B1597"/>
    <w:rsid w:val="000B15C3"/>
    <w:rsid w:val="000B1B74"/>
    <w:rsid w:val="000B1DA7"/>
    <w:rsid w:val="000B1FF7"/>
    <w:rsid w:val="000B2037"/>
    <w:rsid w:val="000B205E"/>
    <w:rsid w:val="000B20F0"/>
    <w:rsid w:val="000B216C"/>
    <w:rsid w:val="000B22B8"/>
    <w:rsid w:val="000B237D"/>
    <w:rsid w:val="000B253D"/>
    <w:rsid w:val="000B28B3"/>
    <w:rsid w:val="000B2F5A"/>
    <w:rsid w:val="000B367A"/>
    <w:rsid w:val="000B3878"/>
    <w:rsid w:val="000B39D0"/>
    <w:rsid w:val="000B3B6B"/>
    <w:rsid w:val="000B3BB4"/>
    <w:rsid w:val="000B3FCE"/>
    <w:rsid w:val="000B407E"/>
    <w:rsid w:val="000B4081"/>
    <w:rsid w:val="000B46BE"/>
    <w:rsid w:val="000B48F5"/>
    <w:rsid w:val="000B4BA7"/>
    <w:rsid w:val="000B4FD3"/>
    <w:rsid w:val="000B503E"/>
    <w:rsid w:val="000B539F"/>
    <w:rsid w:val="000B545B"/>
    <w:rsid w:val="000B556A"/>
    <w:rsid w:val="000B574E"/>
    <w:rsid w:val="000B5782"/>
    <w:rsid w:val="000B5DAB"/>
    <w:rsid w:val="000B5DBB"/>
    <w:rsid w:val="000B5DC8"/>
    <w:rsid w:val="000B60A6"/>
    <w:rsid w:val="000B6252"/>
    <w:rsid w:val="000B62FC"/>
    <w:rsid w:val="000B636B"/>
    <w:rsid w:val="000B6A6A"/>
    <w:rsid w:val="000B6C62"/>
    <w:rsid w:val="000B6D05"/>
    <w:rsid w:val="000B6FE8"/>
    <w:rsid w:val="000B7677"/>
    <w:rsid w:val="000B7A42"/>
    <w:rsid w:val="000B7F1E"/>
    <w:rsid w:val="000C01D4"/>
    <w:rsid w:val="000C01DD"/>
    <w:rsid w:val="000C02FA"/>
    <w:rsid w:val="000C06A6"/>
    <w:rsid w:val="000C09B5"/>
    <w:rsid w:val="000C0C66"/>
    <w:rsid w:val="000C0D08"/>
    <w:rsid w:val="000C16CA"/>
    <w:rsid w:val="000C18FE"/>
    <w:rsid w:val="000C1BA1"/>
    <w:rsid w:val="000C2617"/>
    <w:rsid w:val="000C2AF1"/>
    <w:rsid w:val="000C2DFC"/>
    <w:rsid w:val="000C2EE2"/>
    <w:rsid w:val="000C351D"/>
    <w:rsid w:val="000C3746"/>
    <w:rsid w:val="000C38FB"/>
    <w:rsid w:val="000C3B7F"/>
    <w:rsid w:val="000C3C2C"/>
    <w:rsid w:val="000C44EE"/>
    <w:rsid w:val="000C477D"/>
    <w:rsid w:val="000C483B"/>
    <w:rsid w:val="000C4A00"/>
    <w:rsid w:val="000C4BCB"/>
    <w:rsid w:val="000C4E72"/>
    <w:rsid w:val="000C4FF4"/>
    <w:rsid w:val="000C5021"/>
    <w:rsid w:val="000C552E"/>
    <w:rsid w:val="000C55DE"/>
    <w:rsid w:val="000C567C"/>
    <w:rsid w:val="000C56C6"/>
    <w:rsid w:val="000C5720"/>
    <w:rsid w:val="000C5862"/>
    <w:rsid w:val="000C5D66"/>
    <w:rsid w:val="000C5EC4"/>
    <w:rsid w:val="000C5F3B"/>
    <w:rsid w:val="000C6171"/>
    <w:rsid w:val="000C62B3"/>
    <w:rsid w:val="000C6326"/>
    <w:rsid w:val="000C6344"/>
    <w:rsid w:val="000C6AF6"/>
    <w:rsid w:val="000C6BB6"/>
    <w:rsid w:val="000C6F28"/>
    <w:rsid w:val="000C6F70"/>
    <w:rsid w:val="000C6FA3"/>
    <w:rsid w:val="000C716D"/>
    <w:rsid w:val="000C75C5"/>
    <w:rsid w:val="000C786B"/>
    <w:rsid w:val="000C7A2E"/>
    <w:rsid w:val="000C7A4F"/>
    <w:rsid w:val="000C7DAB"/>
    <w:rsid w:val="000C7E63"/>
    <w:rsid w:val="000C7E9C"/>
    <w:rsid w:val="000D0256"/>
    <w:rsid w:val="000D05E8"/>
    <w:rsid w:val="000D09DC"/>
    <w:rsid w:val="000D0ADC"/>
    <w:rsid w:val="000D0F67"/>
    <w:rsid w:val="000D14E9"/>
    <w:rsid w:val="000D16A2"/>
    <w:rsid w:val="000D1B1F"/>
    <w:rsid w:val="000D1CF7"/>
    <w:rsid w:val="000D210C"/>
    <w:rsid w:val="000D2216"/>
    <w:rsid w:val="000D24FE"/>
    <w:rsid w:val="000D26F4"/>
    <w:rsid w:val="000D274B"/>
    <w:rsid w:val="000D27E5"/>
    <w:rsid w:val="000D28EF"/>
    <w:rsid w:val="000D2953"/>
    <w:rsid w:val="000D2A4A"/>
    <w:rsid w:val="000D2B66"/>
    <w:rsid w:val="000D300E"/>
    <w:rsid w:val="000D3167"/>
    <w:rsid w:val="000D3A67"/>
    <w:rsid w:val="000D3F3B"/>
    <w:rsid w:val="000D46E8"/>
    <w:rsid w:val="000D4DE6"/>
    <w:rsid w:val="000D4F25"/>
    <w:rsid w:val="000D4FEF"/>
    <w:rsid w:val="000D5601"/>
    <w:rsid w:val="000D565F"/>
    <w:rsid w:val="000D588B"/>
    <w:rsid w:val="000D5A92"/>
    <w:rsid w:val="000D60ED"/>
    <w:rsid w:val="000D62A6"/>
    <w:rsid w:val="000D63E6"/>
    <w:rsid w:val="000D6538"/>
    <w:rsid w:val="000D6645"/>
    <w:rsid w:val="000D677A"/>
    <w:rsid w:val="000D6880"/>
    <w:rsid w:val="000D6C64"/>
    <w:rsid w:val="000D6F23"/>
    <w:rsid w:val="000D7370"/>
    <w:rsid w:val="000D7559"/>
    <w:rsid w:val="000D75D1"/>
    <w:rsid w:val="000D763F"/>
    <w:rsid w:val="000D7696"/>
    <w:rsid w:val="000D77C1"/>
    <w:rsid w:val="000D77D5"/>
    <w:rsid w:val="000D7914"/>
    <w:rsid w:val="000D7D1B"/>
    <w:rsid w:val="000D7FBC"/>
    <w:rsid w:val="000E007B"/>
    <w:rsid w:val="000E0667"/>
    <w:rsid w:val="000E0696"/>
    <w:rsid w:val="000E10BF"/>
    <w:rsid w:val="000E1208"/>
    <w:rsid w:val="000E1565"/>
    <w:rsid w:val="000E201B"/>
    <w:rsid w:val="000E2606"/>
    <w:rsid w:val="000E2A78"/>
    <w:rsid w:val="000E2BC6"/>
    <w:rsid w:val="000E321F"/>
    <w:rsid w:val="000E3282"/>
    <w:rsid w:val="000E339A"/>
    <w:rsid w:val="000E3408"/>
    <w:rsid w:val="000E3636"/>
    <w:rsid w:val="000E3672"/>
    <w:rsid w:val="000E375B"/>
    <w:rsid w:val="000E386C"/>
    <w:rsid w:val="000E3969"/>
    <w:rsid w:val="000E3C4D"/>
    <w:rsid w:val="000E3CD8"/>
    <w:rsid w:val="000E3D9E"/>
    <w:rsid w:val="000E3F8A"/>
    <w:rsid w:val="000E4068"/>
    <w:rsid w:val="000E412F"/>
    <w:rsid w:val="000E4153"/>
    <w:rsid w:val="000E476D"/>
    <w:rsid w:val="000E4CA0"/>
    <w:rsid w:val="000E53B2"/>
    <w:rsid w:val="000E54D4"/>
    <w:rsid w:val="000E5510"/>
    <w:rsid w:val="000E55DA"/>
    <w:rsid w:val="000E598C"/>
    <w:rsid w:val="000E59AA"/>
    <w:rsid w:val="000E5AD1"/>
    <w:rsid w:val="000E5C65"/>
    <w:rsid w:val="000E5E29"/>
    <w:rsid w:val="000E600D"/>
    <w:rsid w:val="000E6080"/>
    <w:rsid w:val="000E6426"/>
    <w:rsid w:val="000E68F0"/>
    <w:rsid w:val="000E6BDC"/>
    <w:rsid w:val="000E6CD9"/>
    <w:rsid w:val="000E6E2F"/>
    <w:rsid w:val="000E7262"/>
    <w:rsid w:val="000E7281"/>
    <w:rsid w:val="000E7805"/>
    <w:rsid w:val="000E78F1"/>
    <w:rsid w:val="000E7EE1"/>
    <w:rsid w:val="000F02DE"/>
    <w:rsid w:val="000F0685"/>
    <w:rsid w:val="000F077D"/>
    <w:rsid w:val="000F07B9"/>
    <w:rsid w:val="000F0AED"/>
    <w:rsid w:val="000F0D9D"/>
    <w:rsid w:val="000F0EAF"/>
    <w:rsid w:val="000F0FA1"/>
    <w:rsid w:val="000F0FAB"/>
    <w:rsid w:val="000F10AE"/>
    <w:rsid w:val="000F115F"/>
    <w:rsid w:val="000F16DB"/>
    <w:rsid w:val="000F1979"/>
    <w:rsid w:val="000F1AAF"/>
    <w:rsid w:val="000F1B74"/>
    <w:rsid w:val="000F1D0C"/>
    <w:rsid w:val="000F2158"/>
    <w:rsid w:val="000F21E0"/>
    <w:rsid w:val="000F2292"/>
    <w:rsid w:val="000F24F4"/>
    <w:rsid w:val="000F2502"/>
    <w:rsid w:val="000F2589"/>
    <w:rsid w:val="000F25BC"/>
    <w:rsid w:val="000F2765"/>
    <w:rsid w:val="000F29D5"/>
    <w:rsid w:val="000F2B55"/>
    <w:rsid w:val="000F2DF6"/>
    <w:rsid w:val="000F2E38"/>
    <w:rsid w:val="000F32B8"/>
    <w:rsid w:val="000F3905"/>
    <w:rsid w:val="000F3973"/>
    <w:rsid w:val="000F4155"/>
    <w:rsid w:val="000F4254"/>
    <w:rsid w:val="000F42D1"/>
    <w:rsid w:val="000F448E"/>
    <w:rsid w:val="000F4524"/>
    <w:rsid w:val="000F4967"/>
    <w:rsid w:val="000F49BE"/>
    <w:rsid w:val="000F4BE6"/>
    <w:rsid w:val="000F4C7C"/>
    <w:rsid w:val="000F5219"/>
    <w:rsid w:val="000F526F"/>
    <w:rsid w:val="000F5284"/>
    <w:rsid w:val="000F5435"/>
    <w:rsid w:val="000F54A1"/>
    <w:rsid w:val="000F5560"/>
    <w:rsid w:val="000F5950"/>
    <w:rsid w:val="000F5B58"/>
    <w:rsid w:val="000F5C18"/>
    <w:rsid w:val="000F6186"/>
    <w:rsid w:val="000F63D0"/>
    <w:rsid w:val="000F66F7"/>
    <w:rsid w:val="000F68DA"/>
    <w:rsid w:val="000F6FC4"/>
    <w:rsid w:val="000F752E"/>
    <w:rsid w:val="000F75B2"/>
    <w:rsid w:val="000F75CD"/>
    <w:rsid w:val="000F7AB7"/>
    <w:rsid w:val="000F7EE6"/>
    <w:rsid w:val="000F7F00"/>
    <w:rsid w:val="001002BD"/>
    <w:rsid w:val="001004FD"/>
    <w:rsid w:val="00100514"/>
    <w:rsid w:val="00100682"/>
    <w:rsid w:val="001007AF"/>
    <w:rsid w:val="00100B26"/>
    <w:rsid w:val="00100BAF"/>
    <w:rsid w:val="0010112C"/>
    <w:rsid w:val="001012BA"/>
    <w:rsid w:val="00101591"/>
    <w:rsid w:val="001016B1"/>
    <w:rsid w:val="00101838"/>
    <w:rsid w:val="001018FE"/>
    <w:rsid w:val="00101C22"/>
    <w:rsid w:val="00101C65"/>
    <w:rsid w:val="0010209C"/>
    <w:rsid w:val="00102378"/>
    <w:rsid w:val="00102A67"/>
    <w:rsid w:val="00102E7A"/>
    <w:rsid w:val="00102F0D"/>
    <w:rsid w:val="00102FD2"/>
    <w:rsid w:val="00103143"/>
    <w:rsid w:val="001031F3"/>
    <w:rsid w:val="00103205"/>
    <w:rsid w:val="001032E0"/>
    <w:rsid w:val="001033DF"/>
    <w:rsid w:val="00103852"/>
    <w:rsid w:val="0010399D"/>
    <w:rsid w:val="0010465A"/>
    <w:rsid w:val="0010491E"/>
    <w:rsid w:val="00104ABC"/>
    <w:rsid w:val="00104AFC"/>
    <w:rsid w:val="00104B86"/>
    <w:rsid w:val="00104DFA"/>
    <w:rsid w:val="001054BD"/>
    <w:rsid w:val="001054CC"/>
    <w:rsid w:val="001058C4"/>
    <w:rsid w:val="00105A95"/>
    <w:rsid w:val="00105D82"/>
    <w:rsid w:val="00105D9E"/>
    <w:rsid w:val="001062B9"/>
    <w:rsid w:val="00106A43"/>
    <w:rsid w:val="00106D2C"/>
    <w:rsid w:val="00106F4D"/>
    <w:rsid w:val="001075A5"/>
    <w:rsid w:val="001075E9"/>
    <w:rsid w:val="00107AF9"/>
    <w:rsid w:val="001101B1"/>
    <w:rsid w:val="0011025E"/>
    <w:rsid w:val="001102EA"/>
    <w:rsid w:val="00110738"/>
    <w:rsid w:val="00110F79"/>
    <w:rsid w:val="001110ED"/>
    <w:rsid w:val="001111EF"/>
    <w:rsid w:val="00111291"/>
    <w:rsid w:val="001115BE"/>
    <w:rsid w:val="0011167F"/>
    <w:rsid w:val="00111696"/>
    <w:rsid w:val="00111C77"/>
    <w:rsid w:val="0011211E"/>
    <w:rsid w:val="001121C0"/>
    <w:rsid w:val="001122AC"/>
    <w:rsid w:val="001124C4"/>
    <w:rsid w:val="001124F6"/>
    <w:rsid w:val="00112626"/>
    <w:rsid w:val="00112659"/>
    <w:rsid w:val="00112A6F"/>
    <w:rsid w:val="00112AD3"/>
    <w:rsid w:val="00113106"/>
    <w:rsid w:val="0011324A"/>
    <w:rsid w:val="00113E50"/>
    <w:rsid w:val="00113ED2"/>
    <w:rsid w:val="00114076"/>
    <w:rsid w:val="00114868"/>
    <w:rsid w:val="00114DE8"/>
    <w:rsid w:val="00114F63"/>
    <w:rsid w:val="00115090"/>
    <w:rsid w:val="0011559A"/>
    <w:rsid w:val="00115623"/>
    <w:rsid w:val="0011562E"/>
    <w:rsid w:val="00115734"/>
    <w:rsid w:val="001159D9"/>
    <w:rsid w:val="00115B70"/>
    <w:rsid w:val="00115F7D"/>
    <w:rsid w:val="001160CC"/>
    <w:rsid w:val="001169F9"/>
    <w:rsid w:val="00116AC5"/>
    <w:rsid w:val="00116AE5"/>
    <w:rsid w:val="00116BF6"/>
    <w:rsid w:val="00117090"/>
    <w:rsid w:val="0011711F"/>
    <w:rsid w:val="001172F8"/>
    <w:rsid w:val="001173AC"/>
    <w:rsid w:val="001176A5"/>
    <w:rsid w:val="001179FA"/>
    <w:rsid w:val="00117A6C"/>
    <w:rsid w:val="00117AE2"/>
    <w:rsid w:val="00117D57"/>
    <w:rsid w:val="00117D6D"/>
    <w:rsid w:val="00117FF0"/>
    <w:rsid w:val="00120283"/>
    <w:rsid w:val="00120CE1"/>
    <w:rsid w:val="00121428"/>
    <w:rsid w:val="00121470"/>
    <w:rsid w:val="00121707"/>
    <w:rsid w:val="00121804"/>
    <w:rsid w:val="00121948"/>
    <w:rsid w:val="00121E00"/>
    <w:rsid w:val="001221C8"/>
    <w:rsid w:val="0012226B"/>
    <w:rsid w:val="00122432"/>
    <w:rsid w:val="001225D0"/>
    <w:rsid w:val="0012283E"/>
    <w:rsid w:val="00122910"/>
    <w:rsid w:val="00122A1C"/>
    <w:rsid w:val="00122C21"/>
    <w:rsid w:val="00122DAA"/>
    <w:rsid w:val="0012308C"/>
    <w:rsid w:val="00123200"/>
    <w:rsid w:val="0012328A"/>
    <w:rsid w:val="00123304"/>
    <w:rsid w:val="00123794"/>
    <w:rsid w:val="0012396F"/>
    <w:rsid w:val="001239A2"/>
    <w:rsid w:val="00124440"/>
    <w:rsid w:val="001246F7"/>
    <w:rsid w:val="00124C6A"/>
    <w:rsid w:val="001250C4"/>
    <w:rsid w:val="00125132"/>
    <w:rsid w:val="001251B1"/>
    <w:rsid w:val="00125849"/>
    <w:rsid w:val="00125982"/>
    <w:rsid w:val="00126054"/>
    <w:rsid w:val="00126277"/>
    <w:rsid w:val="001262EF"/>
    <w:rsid w:val="001262F9"/>
    <w:rsid w:val="0012636C"/>
    <w:rsid w:val="0012657D"/>
    <w:rsid w:val="00126627"/>
    <w:rsid w:val="00126759"/>
    <w:rsid w:val="00126CBE"/>
    <w:rsid w:val="00126D9B"/>
    <w:rsid w:val="001272A3"/>
    <w:rsid w:val="0012732E"/>
    <w:rsid w:val="0012753B"/>
    <w:rsid w:val="00127557"/>
    <w:rsid w:val="00127624"/>
    <w:rsid w:val="001277B6"/>
    <w:rsid w:val="001278BA"/>
    <w:rsid w:val="00127C86"/>
    <w:rsid w:val="00127DE3"/>
    <w:rsid w:val="0013008F"/>
    <w:rsid w:val="0013034E"/>
    <w:rsid w:val="0013035B"/>
    <w:rsid w:val="00130794"/>
    <w:rsid w:val="001308E2"/>
    <w:rsid w:val="00130A61"/>
    <w:rsid w:val="00130A9E"/>
    <w:rsid w:val="00131186"/>
    <w:rsid w:val="001311E3"/>
    <w:rsid w:val="0013136E"/>
    <w:rsid w:val="00131373"/>
    <w:rsid w:val="001315C7"/>
    <w:rsid w:val="00131C21"/>
    <w:rsid w:val="00132CA1"/>
    <w:rsid w:val="00133394"/>
    <w:rsid w:val="00133979"/>
    <w:rsid w:val="001339EB"/>
    <w:rsid w:val="00133A4C"/>
    <w:rsid w:val="00133A5C"/>
    <w:rsid w:val="00133A66"/>
    <w:rsid w:val="00133B1E"/>
    <w:rsid w:val="00133EA6"/>
    <w:rsid w:val="001343A9"/>
    <w:rsid w:val="00134438"/>
    <w:rsid w:val="00134619"/>
    <w:rsid w:val="00134837"/>
    <w:rsid w:val="00134871"/>
    <w:rsid w:val="0013488B"/>
    <w:rsid w:val="00134918"/>
    <w:rsid w:val="001349A1"/>
    <w:rsid w:val="00134A36"/>
    <w:rsid w:val="00134B17"/>
    <w:rsid w:val="00134EFD"/>
    <w:rsid w:val="001350BF"/>
    <w:rsid w:val="00135218"/>
    <w:rsid w:val="001353E5"/>
    <w:rsid w:val="001354DF"/>
    <w:rsid w:val="0013557C"/>
    <w:rsid w:val="00135A4E"/>
    <w:rsid w:val="00135B81"/>
    <w:rsid w:val="00135BF5"/>
    <w:rsid w:val="00135DD3"/>
    <w:rsid w:val="001360EB"/>
    <w:rsid w:val="00136303"/>
    <w:rsid w:val="00136779"/>
    <w:rsid w:val="00136B3E"/>
    <w:rsid w:val="0013722A"/>
    <w:rsid w:val="001373BA"/>
    <w:rsid w:val="001374C7"/>
    <w:rsid w:val="0013799F"/>
    <w:rsid w:val="00137CFE"/>
    <w:rsid w:val="00137D83"/>
    <w:rsid w:val="00140104"/>
    <w:rsid w:val="001401A3"/>
    <w:rsid w:val="00140376"/>
    <w:rsid w:val="0014049B"/>
    <w:rsid w:val="00140540"/>
    <w:rsid w:val="00140700"/>
    <w:rsid w:val="00140843"/>
    <w:rsid w:val="00140AD0"/>
    <w:rsid w:val="00140B59"/>
    <w:rsid w:val="00140C13"/>
    <w:rsid w:val="00140DB8"/>
    <w:rsid w:val="00141016"/>
    <w:rsid w:val="001415EC"/>
    <w:rsid w:val="00141741"/>
    <w:rsid w:val="001418F9"/>
    <w:rsid w:val="00141BA4"/>
    <w:rsid w:val="00142E94"/>
    <w:rsid w:val="001431CD"/>
    <w:rsid w:val="0014326E"/>
    <w:rsid w:val="0014327B"/>
    <w:rsid w:val="00143448"/>
    <w:rsid w:val="001436B4"/>
    <w:rsid w:val="0014396C"/>
    <w:rsid w:val="00143F1C"/>
    <w:rsid w:val="00144426"/>
    <w:rsid w:val="00144746"/>
    <w:rsid w:val="001447F8"/>
    <w:rsid w:val="0014481C"/>
    <w:rsid w:val="00144CD5"/>
    <w:rsid w:val="00144DD6"/>
    <w:rsid w:val="0014517A"/>
    <w:rsid w:val="001454A4"/>
    <w:rsid w:val="001456FB"/>
    <w:rsid w:val="001457CC"/>
    <w:rsid w:val="00145885"/>
    <w:rsid w:val="00146173"/>
    <w:rsid w:val="0014638A"/>
    <w:rsid w:val="00146515"/>
    <w:rsid w:val="00146534"/>
    <w:rsid w:val="00146659"/>
    <w:rsid w:val="00146BFE"/>
    <w:rsid w:val="00146E71"/>
    <w:rsid w:val="00147371"/>
    <w:rsid w:val="00147481"/>
    <w:rsid w:val="001474DA"/>
    <w:rsid w:val="001474DB"/>
    <w:rsid w:val="00147532"/>
    <w:rsid w:val="00147DE6"/>
    <w:rsid w:val="00147E2C"/>
    <w:rsid w:val="00150362"/>
    <w:rsid w:val="001507E5"/>
    <w:rsid w:val="001508C8"/>
    <w:rsid w:val="00150A53"/>
    <w:rsid w:val="0015148F"/>
    <w:rsid w:val="00151621"/>
    <w:rsid w:val="0015180A"/>
    <w:rsid w:val="00151AD1"/>
    <w:rsid w:val="00151B02"/>
    <w:rsid w:val="00151B77"/>
    <w:rsid w:val="00151F76"/>
    <w:rsid w:val="0015240E"/>
    <w:rsid w:val="001524F5"/>
    <w:rsid w:val="001525AB"/>
    <w:rsid w:val="00152700"/>
    <w:rsid w:val="00152AE6"/>
    <w:rsid w:val="00152C94"/>
    <w:rsid w:val="00152D62"/>
    <w:rsid w:val="001536F3"/>
    <w:rsid w:val="0015375D"/>
    <w:rsid w:val="00153805"/>
    <w:rsid w:val="00153832"/>
    <w:rsid w:val="0015399A"/>
    <w:rsid w:val="0015417C"/>
    <w:rsid w:val="00154188"/>
    <w:rsid w:val="00154370"/>
    <w:rsid w:val="0015440B"/>
    <w:rsid w:val="00154BF7"/>
    <w:rsid w:val="00154CAD"/>
    <w:rsid w:val="00154EC0"/>
    <w:rsid w:val="001550B3"/>
    <w:rsid w:val="00155536"/>
    <w:rsid w:val="00155882"/>
    <w:rsid w:val="0015597B"/>
    <w:rsid w:val="00155D44"/>
    <w:rsid w:val="001560B7"/>
    <w:rsid w:val="00156156"/>
    <w:rsid w:val="001561BA"/>
    <w:rsid w:val="001566DC"/>
    <w:rsid w:val="00156C59"/>
    <w:rsid w:val="00156D39"/>
    <w:rsid w:val="00156D5F"/>
    <w:rsid w:val="00156E84"/>
    <w:rsid w:val="001579E9"/>
    <w:rsid w:val="00157B8C"/>
    <w:rsid w:val="00157E8A"/>
    <w:rsid w:val="00160529"/>
    <w:rsid w:val="00160689"/>
    <w:rsid w:val="0016078C"/>
    <w:rsid w:val="00160905"/>
    <w:rsid w:val="001609A7"/>
    <w:rsid w:val="00160A6F"/>
    <w:rsid w:val="00160CF3"/>
    <w:rsid w:val="00160D1B"/>
    <w:rsid w:val="00160FFE"/>
    <w:rsid w:val="00161044"/>
    <w:rsid w:val="001610D0"/>
    <w:rsid w:val="001615B5"/>
    <w:rsid w:val="0016173D"/>
    <w:rsid w:val="0016183F"/>
    <w:rsid w:val="0016191B"/>
    <w:rsid w:val="00161E1B"/>
    <w:rsid w:val="0016297E"/>
    <w:rsid w:val="00162B5D"/>
    <w:rsid w:val="00162C18"/>
    <w:rsid w:val="00162C93"/>
    <w:rsid w:val="00162EC4"/>
    <w:rsid w:val="00163012"/>
    <w:rsid w:val="00163054"/>
    <w:rsid w:val="0016327A"/>
    <w:rsid w:val="001632E8"/>
    <w:rsid w:val="001635AD"/>
    <w:rsid w:val="00163670"/>
    <w:rsid w:val="00163C52"/>
    <w:rsid w:val="00163CF3"/>
    <w:rsid w:val="00163F8D"/>
    <w:rsid w:val="001642C1"/>
    <w:rsid w:val="00164401"/>
    <w:rsid w:val="0016456E"/>
    <w:rsid w:val="00164922"/>
    <w:rsid w:val="00164C33"/>
    <w:rsid w:val="00164F47"/>
    <w:rsid w:val="00164FE6"/>
    <w:rsid w:val="001651EE"/>
    <w:rsid w:val="0016525F"/>
    <w:rsid w:val="001655C6"/>
    <w:rsid w:val="0016565C"/>
    <w:rsid w:val="0016580B"/>
    <w:rsid w:val="00165957"/>
    <w:rsid w:val="00165961"/>
    <w:rsid w:val="00165C5F"/>
    <w:rsid w:val="00165CFA"/>
    <w:rsid w:val="00165F4E"/>
    <w:rsid w:val="00166097"/>
    <w:rsid w:val="00166174"/>
    <w:rsid w:val="001663C8"/>
    <w:rsid w:val="00166A5A"/>
    <w:rsid w:val="00166A6F"/>
    <w:rsid w:val="00166B18"/>
    <w:rsid w:val="00167090"/>
    <w:rsid w:val="001670D1"/>
    <w:rsid w:val="0016716D"/>
    <w:rsid w:val="00167334"/>
    <w:rsid w:val="0016741E"/>
    <w:rsid w:val="001674BA"/>
    <w:rsid w:val="001677AC"/>
    <w:rsid w:val="00167CB6"/>
    <w:rsid w:val="00167DE3"/>
    <w:rsid w:val="0017006A"/>
    <w:rsid w:val="0017037F"/>
    <w:rsid w:val="001705D5"/>
    <w:rsid w:val="00170680"/>
    <w:rsid w:val="00170BCB"/>
    <w:rsid w:val="00170C63"/>
    <w:rsid w:val="00170DEF"/>
    <w:rsid w:val="001711B3"/>
    <w:rsid w:val="0017125D"/>
    <w:rsid w:val="00171649"/>
    <w:rsid w:val="001716B3"/>
    <w:rsid w:val="0017179A"/>
    <w:rsid w:val="001720EF"/>
    <w:rsid w:val="001728DD"/>
    <w:rsid w:val="00172A7F"/>
    <w:rsid w:val="00172C33"/>
    <w:rsid w:val="00172F99"/>
    <w:rsid w:val="001733E2"/>
    <w:rsid w:val="001739F5"/>
    <w:rsid w:val="00173AE9"/>
    <w:rsid w:val="00173DA8"/>
    <w:rsid w:val="00173EE4"/>
    <w:rsid w:val="00173F54"/>
    <w:rsid w:val="00174E44"/>
    <w:rsid w:val="00174F8F"/>
    <w:rsid w:val="0017581B"/>
    <w:rsid w:val="0017584D"/>
    <w:rsid w:val="001758B1"/>
    <w:rsid w:val="00175EF9"/>
    <w:rsid w:val="0017610B"/>
    <w:rsid w:val="00176662"/>
    <w:rsid w:val="001766AE"/>
    <w:rsid w:val="001767DC"/>
    <w:rsid w:val="001769C8"/>
    <w:rsid w:val="00176BAD"/>
    <w:rsid w:val="00176D4D"/>
    <w:rsid w:val="00176FB5"/>
    <w:rsid w:val="001773DD"/>
    <w:rsid w:val="001774C4"/>
    <w:rsid w:val="001775DA"/>
    <w:rsid w:val="0017786C"/>
    <w:rsid w:val="00177904"/>
    <w:rsid w:val="0017796E"/>
    <w:rsid w:val="00177A14"/>
    <w:rsid w:val="00177BD9"/>
    <w:rsid w:val="001806BF"/>
    <w:rsid w:val="00180735"/>
    <w:rsid w:val="0018091C"/>
    <w:rsid w:val="00180B53"/>
    <w:rsid w:val="001813EE"/>
    <w:rsid w:val="0018149F"/>
    <w:rsid w:val="0018155C"/>
    <w:rsid w:val="00181A61"/>
    <w:rsid w:val="00182020"/>
    <w:rsid w:val="00182062"/>
    <w:rsid w:val="00182076"/>
    <w:rsid w:val="00182500"/>
    <w:rsid w:val="00182507"/>
    <w:rsid w:val="001825E8"/>
    <w:rsid w:val="0018265E"/>
    <w:rsid w:val="00182BE3"/>
    <w:rsid w:val="00182CE6"/>
    <w:rsid w:val="00182FE0"/>
    <w:rsid w:val="00183749"/>
    <w:rsid w:val="00183854"/>
    <w:rsid w:val="001838BD"/>
    <w:rsid w:val="001839D4"/>
    <w:rsid w:val="00183B34"/>
    <w:rsid w:val="00183BB6"/>
    <w:rsid w:val="00183ED0"/>
    <w:rsid w:val="00184186"/>
    <w:rsid w:val="0018419D"/>
    <w:rsid w:val="0018481A"/>
    <w:rsid w:val="00184CE8"/>
    <w:rsid w:val="00184DED"/>
    <w:rsid w:val="00184E92"/>
    <w:rsid w:val="00184ECF"/>
    <w:rsid w:val="00184F77"/>
    <w:rsid w:val="001851B2"/>
    <w:rsid w:val="001852AC"/>
    <w:rsid w:val="0018573D"/>
    <w:rsid w:val="00185B42"/>
    <w:rsid w:val="00185F65"/>
    <w:rsid w:val="0018652F"/>
    <w:rsid w:val="001865A4"/>
    <w:rsid w:val="001865B5"/>
    <w:rsid w:val="00186886"/>
    <w:rsid w:val="00186B29"/>
    <w:rsid w:val="00186B94"/>
    <w:rsid w:val="00186CB9"/>
    <w:rsid w:val="0018705F"/>
    <w:rsid w:val="0018718D"/>
    <w:rsid w:val="0018738F"/>
    <w:rsid w:val="0018740C"/>
    <w:rsid w:val="00187439"/>
    <w:rsid w:val="001876DD"/>
    <w:rsid w:val="00187B7D"/>
    <w:rsid w:val="00187DF2"/>
    <w:rsid w:val="00190214"/>
    <w:rsid w:val="0019055C"/>
    <w:rsid w:val="001908B2"/>
    <w:rsid w:val="00190ACE"/>
    <w:rsid w:val="00190C29"/>
    <w:rsid w:val="00190C56"/>
    <w:rsid w:val="00191513"/>
    <w:rsid w:val="00191933"/>
    <w:rsid w:val="00191D48"/>
    <w:rsid w:val="00191F09"/>
    <w:rsid w:val="00191F14"/>
    <w:rsid w:val="00192DE1"/>
    <w:rsid w:val="00193094"/>
    <w:rsid w:val="001934DB"/>
    <w:rsid w:val="0019365E"/>
    <w:rsid w:val="00193A35"/>
    <w:rsid w:val="00193BA4"/>
    <w:rsid w:val="00193C0F"/>
    <w:rsid w:val="00193E7F"/>
    <w:rsid w:val="00194A40"/>
    <w:rsid w:val="00194CD6"/>
    <w:rsid w:val="001950D2"/>
    <w:rsid w:val="00195534"/>
    <w:rsid w:val="00195B0F"/>
    <w:rsid w:val="00195C3F"/>
    <w:rsid w:val="00195D83"/>
    <w:rsid w:val="00195EF2"/>
    <w:rsid w:val="00195F5E"/>
    <w:rsid w:val="0019607D"/>
    <w:rsid w:val="001960B0"/>
    <w:rsid w:val="001960ED"/>
    <w:rsid w:val="00196847"/>
    <w:rsid w:val="001968B1"/>
    <w:rsid w:val="001968EB"/>
    <w:rsid w:val="00196CAA"/>
    <w:rsid w:val="00196F47"/>
    <w:rsid w:val="00196FD5"/>
    <w:rsid w:val="0019710E"/>
    <w:rsid w:val="00197223"/>
    <w:rsid w:val="00197227"/>
    <w:rsid w:val="001972C8"/>
    <w:rsid w:val="0019757A"/>
    <w:rsid w:val="00197982"/>
    <w:rsid w:val="00197C4E"/>
    <w:rsid w:val="00197D5A"/>
    <w:rsid w:val="00197DAE"/>
    <w:rsid w:val="001A0075"/>
    <w:rsid w:val="001A0090"/>
    <w:rsid w:val="001A00A5"/>
    <w:rsid w:val="001A012B"/>
    <w:rsid w:val="001A042A"/>
    <w:rsid w:val="001A0BD1"/>
    <w:rsid w:val="001A0E03"/>
    <w:rsid w:val="001A0E4F"/>
    <w:rsid w:val="001A100C"/>
    <w:rsid w:val="001A10A0"/>
    <w:rsid w:val="001A1198"/>
    <w:rsid w:val="001A1269"/>
    <w:rsid w:val="001A16D7"/>
    <w:rsid w:val="001A16FE"/>
    <w:rsid w:val="001A1A2A"/>
    <w:rsid w:val="001A259C"/>
    <w:rsid w:val="001A2637"/>
    <w:rsid w:val="001A2684"/>
    <w:rsid w:val="001A28A8"/>
    <w:rsid w:val="001A3542"/>
    <w:rsid w:val="001A3860"/>
    <w:rsid w:val="001A3881"/>
    <w:rsid w:val="001A38FF"/>
    <w:rsid w:val="001A3C53"/>
    <w:rsid w:val="001A3E23"/>
    <w:rsid w:val="001A4434"/>
    <w:rsid w:val="001A4450"/>
    <w:rsid w:val="001A44BA"/>
    <w:rsid w:val="001A4538"/>
    <w:rsid w:val="001A45E8"/>
    <w:rsid w:val="001A4697"/>
    <w:rsid w:val="001A4B4E"/>
    <w:rsid w:val="001A4FFD"/>
    <w:rsid w:val="001A500B"/>
    <w:rsid w:val="001A5167"/>
    <w:rsid w:val="001A51E7"/>
    <w:rsid w:val="001A53CC"/>
    <w:rsid w:val="001A54EB"/>
    <w:rsid w:val="001A5C27"/>
    <w:rsid w:val="001A5C4A"/>
    <w:rsid w:val="001A5FDB"/>
    <w:rsid w:val="001A6054"/>
    <w:rsid w:val="001A6599"/>
    <w:rsid w:val="001A67E4"/>
    <w:rsid w:val="001A6D44"/>
    <w:rsid w:val="001A6DF2"/>
    <w:rsid w:val="001A6E1D"/>
    <w:rsid w:val="001A6E2E"/>
    <w:rsid w:val="001A6EFA"/>
    <w:rsid w:val="001A76AB"/>
    <w:rsid w:val="001A784E"/>
    <w:rsid w:val="001A7B7C"/>
    <w:rsid w:val="001A7E4A"/>
    <w:rsid w:val="001A7EA3"/>
    <w:rsid w:val="001A7F95"/>
    <w:rsid w:val="001B0233"/>
    <w:rsid w:val="001B05FC"/>
    <w:rsid w:val="001B0819"/>
    <w:rsid w:val="001B0A96"/>
    <w:rsid w:val="001B0CC5"/>
    <w:rsid w:val="001B0DBC"/>
    <w:rsid w:val="001B0E8C"/>
    <w:rsid w:val="001B0FDF"/>
    <w:rsid w:val="001B1943"/>
    <w:rsid w:val="001B19F0"/>
    <w:rsid w:val="001B1AFE"/>
    <w:rsid w:val="001B1C13"/>
    <w:rsid w:val="001B1D33"/>
    <w:rsid w:val="001B1E81"/>
    <w:rsid w:val="001B1EE6"/>
    <w:rsid w:val="001B1EEB"/>
    <w:rsid w:val="001B1F4D"/>
    <w:rsid w:val="001B21DB"/>
    <w:rsid w:val="001B22BA"/>
    <w:rsid w:val="001B2302"/>
    <w:rsid w:val="001B2458"/>
    <w:rsid w:val="001B2839"/>
    <w:rsid w:val="001B29F6"/>
    <w:rsid w:val="001B2ABC"/>
    <w:rsid w:val="001B31CC"/>
    <w:rsid w:val="001B330E"/>
    <w:rsid w:val="001B3469"/>
    <w:rsid w:val="001B373A"/>
    <w:rsid w:val="001B3D2A"/>
    <w:rsid w:val="001B4295"/>
    <w:rsid w:val="001B42FE"/>
    <w:rsid w:val="001B4621"/>
    <w:rsid w:val="001B487A"/>
    <w:rsid w:val="001B4B93"/>
    <w:rsid w:val="001B4B94"/>
    <w:rsid w:val="001B4D14"/>
    <w:rsid w:val="001B4EBA"/>
    <w:rsid w:val="001B4FF4"/>
    <w:rsid w:val="001B50B8"/>
    <w:rsid w:val="001B50D9"/>
    <w:rsid w:val="001B532E"/>
    <w:rsid w:val="001B53AD"/>
    <w:rsid w:val="001B5595"/>
    <w:rsid w:val="001B56D5"/>
    <w:rsid w:val="001B5755"/>
    <w:rsid w:val="001B5852"/>
    <w:rsid w:val="001B5960"/>
    <w:rsid w:val="001B5964"/>
    <w:rsid w:val="001B5B0B"/>
    <w:rsid w:val="001B6330"/>
    <w:rsid w:val="001B6417"/>
    <w:rsid w:val="001B66E0"/>
    <w:rsid w:val="001B6820"/>
    <w:rsid w:val="001B6918"/>
    <w:rsid w:val="001B6B4D"/>
    <w:rsid w:val="001B6B65"/>
    <w:rsid w:val="001B6E91"/>
    <w:rsid w:val="001B7303"/>
    <w:rsid w:val="001B73C4"/>
    <w:rsid w:val="001B76D4"/>
    <w:rsid w:val="001B7BC0"/>
    <w:rsid w:val="001B7E9D"/>
    <w:rsid w:val="001B7F2E"/>
    <w:rsid w:val="001C0093"/>
    <w:rsid w:val="001C00C8"/>
    <w:rsid w:val="001C017C"/>
    <w:rsid w:val="001C01B3"/>
    <w:rsid w:val="001C0325"/>
    <w:rsid w:val="001C067D"/>
    <w:rsid w:val="001C08EA"/>
    <w:rsid w:val="001C09DF"/>
    <w:rsid w:val="001C0CB4"/>
    <w:rsid w:val="001C1197"/>
    <w:rsid w:val="001C163D"/>
    <w:rsid w:val="001C1A8F"/>
    <w:rsid w:val="001C1CBE"/>
    <w:rsid w:val="001C1CDD"/>
    <w:rsid w:val="001C26C1"/>
    <w:rsid w:val="001C29D2"/>
    <w:rsid w:val="001C2A8B"/>
    <w:rsid w:val="001C2B34"/>
    <w:rsid w:val="001C2B6C"/>
    <w:rsid w:val="001C2D8B"/>
    <w:rsid w:val="001C3520"/>
    <w:rsid w:val="001C3804"/>
    <w:rsid w:val="001C3866"/>
    <w:rsid w:val="001C392C"/>
    <w:rsid w:val="001C3B25"/>
    <w:rsid w:val="001C3D65"/>
    <w:rsid w:val="001C3F22"/>
    <w:rsid w:val="001C4101"/>
    <w:rsid w:val="001C4394"/>
    <w:rsid w:val="001C4477"/>
    <w:rsid w:val="001C466C"/>
    <w:rsid w:val="001C47BF"/>
    <w:rsid w:val="001C4A3B"/>
    <w:rsid w:val="001C4EC6"/>
    <w:rsid w:val="001C4ED3"/>
    <w:rsid w:val="001C53A0"/>
    <w:rsid w:val="001C5509"/>
    <w:rsid w:val="001C5790"/>
    <w:rsid w:val="001C5B4E"/>
    <w:rsid w:val="001C5BAE"/>
    <w:rsid w:val="001C5D3F"/>
    <w:rsid w:val="001C5DC5"/>
    <w:rsid w:val="001C620E"/>
    <w:rsid w:val="001C6331"/>
    <w:rsid w:val="001C6837"/>
    <w:rsid w:val="001C6BA1"/>
    <w:rsid w:val="001C6EAB"/>
    <w:rsid w:val="001C737B"/>
    <w:rsid w:val="001C73CD"/>
    <w:rsid w:val="001C7AB7"/>
    <w:rsid w:val="001C7CB0"/>
    <w:rsid w:val="001C7E9E"/>
    <w:rsid w:val="001C7F64"/>
    <w:rsid w:val="001D01FB"/>
    <w:rsid w:val="001D0334"/>
    <w:rsid w:val="001D0870"/>
    <w:rsid w:val="001D08E5"/>
    <w:rsid w:val="001D0A2E"/>
    <w:rsid w:val="001D0D47"/>
    <w:rsid w:val="001D0FE7"/>
    <w:rsid w:val="001D1212"/>
    <w:rsid w:val="001D1231"/>
    <w:rsid w:val="001D1364"/>
    <w:rsid w:val="001D1497"/>
    <w:rsid w:val="001D16D8"/>
    <w:rsid w:val="001D16FD"/>
    <w:rsid w:val="001D1A91"/>
    <w:rsid w:val="001D1EE3"/>
    <w:rsid w:val="001D2351"/>
    <w:rsid w:val="001D23BC"/>
    <w:rsid w:val="001D2BA0"/>
    <w:rsid w:val="001D2C6B"/>
    <w:rsid w:val="001D2E41"/>
    <w:rsid w:val="001D302A"/>
    <w:rsid w:val="001D3030"/>
    <w:rsid w:val="001D3162"/>
    <w:rsid w:val="001D339D"/>
    <w:rsid w:val="001D3505"/>
    <w:rsid w:val="001D3928"/>
    <w:rsid w:val="001D39E5"/>
    <w:rsid w:val="001D3DDD"/>
    <w:rsid w:val="001D3FE2"/>
    <w:rsid w:val="001D405D"/>
    <w:rsid w:val="001D430E"/>
    <w:rsid w:val="001D521B"/>
    <w:rsid w:val="001D53B3"/>
    <w:rsid w:val="001D54BE"/>
    <w:rsid w:val="001D58BE"/>
    <w:rsid w:val="001D5AA6"/>
    <w:rsid w:val="001D6223"/>
    <w:rsid w:val="001D62CF"/>
    <w:rsid w:val="001D65FA"/>
    <w:rsid w:val="001D67E2"/>
    <w:rsid w:val="001D69A7"/>
    <w:rsid w:val="001D6A1A"/>
    <w:rsid w:val="001D6ACD"/>
    <w:rsid w:val="001D6EC7"/>
    <w:rsid w:val="001D6ED9"/>
    <w:rsid w:val="001D6F18"/>
    <w:rsid w:val="001D736C"/>
    <w:rsid w:val="001D758E"/>
    <w:rsid w:val="001D7B21"/>
    <w:rsid w:val="001E0067"/>
    <w:rsid w:val="001E00DD"/>
    <w:rsid w:val="001E0169"/>
    <w:rsid w:val="001E049F"/>
    <w:rsid w:val="001E04FF"/>
    <w:rsid w:val="001E062E"/>
    <w:rsid w:val="001E081A"/>
    <w:rsid w:val="001E0834"/>
    <w:rsid w:val="001E0B27"/>
    <w:rsid w:val="001E0B3F"/>
    <w:rsid w:val="001E0E69"/>
    <w:rsid w:val="001E131B"/>
    <w:rsid w:val="001E1D0C"/>
    <w:rsid w:val="001E1D54"/>
    <w:rsid w:val="001E1F60"/>
    <w:rsid w:val="001E234D"/>
    <w:rsid w:val="001E29C5"/>
    <w:rsid w:val="001E2FE6"/>
    <w:rsid w:val="001E31BB"/>
    <w:rsid w:val="001E33F6"/>
    <w:rsid w:val="001E3477"/>
    <w:rsid w:val="001E3A67"/>
    <w:rsid w:val="001E3ABB"/>
    <w:rsid w:val="001E3B41"/>
    <w:rsid w:val="001E40A7"/>
    <w:rsid w:val="001E4355"/>
    <w:rsid w:val="001E4379"/>
    <w:rsid w:val="001E4670"/>
    <w:rsid w:val="001E4B22"/>
    <w:rsid w:val="001E4E9F"/>
    <w:rsid w:val="001E53DD"/>
    <w:rsid w:val="001E59EF"/>
    <w:rsid w:val="001E5EBC"/>
    <w:rsid w:val="001E65B1"/>
    <w:rsid w:val="001E66B6"/>
    <w:rsid w:val="001E6781"/>
    <w:rsid w:val="001E686C"/>
    <w:rsid w:val="001E6930"/>
    <w:rsid w:val="001E6CA4"/>
    <w:rsid w:val="001E71D0"/>
    <w:rsid w:val="001E742A"/>
    <w:rsid w:val="001E7488"/>
    <w:rsid w:val="001E781E"/>
    <w:rsid w:val="001E7863"/>
    <w:rsid w:val="001E7941"/>
    <w:rsid w:val="001E7BDB"/>
    <w:rsid w:val="001E7C35"/>
    <w:rsid w:val="001E7D91"/>
    <w:rsid w:val="001E7DB3"/>
    <w:rsid w:val="001E7DBB"/>
    <w:rsid w:val="001E7ED7"/>
    <w:rsid w:val="001E7F0C"/>
    <w:rsid w:val="001F00A0"/>
    <w:rsid w:val="001F0201"/>
    <w:rsid w:val="001F0418"/>
    <w:rsid w:val="001F0499"/>
    <w:rsid w:val="001F0803"/>
    <w:rsid w:val="001F0999"/>
    <w:rsid w:val="001F0C16"/>
    <w:rsid w:val="001F0E82"/>
    <w:rsid w:val="001F0FEB"/>
    <w:rsid w:val="001F1162"/>
    <w:rsid w:val="001F123A"/>
    <w:rsid w:val="001F13F0"/>
    <w:rsid w:val="001F14D2"/>
    <w:rsid w:val="001F17B0"/>
    <w:rsid w:val="001F1C2C"/>
    <w:rsid w:val="001F1D1E"/>
    <w:rsid w:val="001F2063"/>
    <w:rsid w:val="001F2522"/>
    <w:rsid w:val="001F27CC"/>
    <w:rsid w:val="001F2AAC"/>
    <w:rsid w:val="001F3036"/>
    <w:rsid w:val="001F31E8"/>
    <w:rsid w:val="001F33F9"/>
    <w:rsid w:val="001F3430"/>
    <w:rsid w:val="001F3660"/>
    <w:rsid w:val="001F3BD7"/>
    <w:rsid w:val="001F3CC4"/>
    <w:rsid w:val="001F3CEB"/>
    <w:rsid w:val="001F3D5F"/>
    <w:rsid w:val="001F3E23"/>
    <w:rsid w:val="001F41AF"/>
    <w:rsid w:val="001F4887"/>
    <w:rsid w:val="001F4A02"/>
    <w:rsid w:val="001F4EF5"/>
    <w:rsid w:val="001F4F79"/>
    <w:rsid w:val="001F5051"/>
    <w:rsid w:val="001F5091"/>
    <w:rsid w:val="001F5295"/>
    <w:rsid w:val="001F5334"/>
    <w:rsid w:val="001F5412"/>
    <w:rsid w:val="001F5696"/>
    <w:rsid w:val="001F5B36"/>
    <w:rsid w:val="001F5BEA"/>
    <w:rsid w:val="001F5CF8"/>
    <w:rsid w:val="001F5DE0"/>
    <w:rsid w:val="001F6126"/>
    <w:rsid w:val="001F612B"/>
    <w:rsid w:val="001F61DB"/>
    <w:rsid w:val="001F6211"/>
    <w:rsid w:val="001F682C"/>
    <w:rsid w:val="001F6B17"/>
    <w:rsid w:val="001F6E79"/>
    <w:rsid w:val="001F6E80"/>
    <w:rsid w:val="001F7102"/>
    <w:rsid w:val="001F7142"/>
    <w:rsid w:val="001F718B"/>
    <w:rsid w:val="001F71E2"/>
    <w:rsid w:val="001F720D"/>
    <w:rsid w:val="001F7407"/>
    <w:rsid w:val="001F7624"/>
    <w:rsid w:val="001F766F"/>
    <w:rsid w:val="001F7977"/>
    <w:rsid w:val="001F79E8"/>
    <w:rsid w:val="001F7B6E"/>
    <w:rsid w:val="001F7F5A"/>
    <w:rsid w:val="0020037E"/>
    <w:rsid w:val="00200505"/>
    <w:rsid w:val="0020055E"/>
    <w:rsid w:val="00200756"/>
    <w:rsid w:val="0020086A"/>
    <w:rsid w:val="0020099F"/>
    <w:rsid w:val="00200BCE"/>
    <w:rsid w:val="00200DA9"/>
    <w:rsid w:val="00201499"/>
    <w:rsid w:val="002015BE"/>
    <w:rsid w:val="00201B0C"/>
    <w:rsid w:val="00201B99"/>
    <w:rsid w:val="00201FB8"/>
    <w:rsid w:val="0020226B"/>
    <w:rsid w:val="00202442"/>
    <w:rsid w:val="002024A2"/>
    <w:rsid w:val="0020267A"/>
    <w:rsid w:val="002028D5"/>
    <w:rsid w:val="0020294C"/>
    <w:rsid w:val="00202A39"/>
    <w:rsid w:val="00202A43"/>
    <w:rsid w:val="00202A59"/>
    <w:rsid w:val="00202C19"/>
    <w:rsid w:val="00202CAB"/>
    <w:rsid w:val="00202F3F"/>
    <w:rsid w:val="00202F75"/>
    <w:rsid w:val="002030C8"/>
    <w:rsid w:val="002034E5"/>
    <w:rsid w:val="002037A2"/>
    <w:rsid w:val="002039D9"/>
    <w:rsid w:val="00203A85"/>
    <w:rsid w:val="00203D8A"/>
    <w:rsid w:val="00203FEC"/>
    <w:rsid w:val="0020402C"/>
    <w:rsid w:val="002041DE"/>
    <w:rsid w:val="0020453B"/>
    <w:rsid w:val="0020494B"/>
    <w:rsid w:val="00204B64"/>
    <w:rsid w:val="00204FBF"/>
    <w:rsid w:val="00205255"/>
    <w:rsid w:val="00205531"/>
    <w:rsid w:val="0020584C"/>
    <w:rsid w:val="002059DD"/>
    <w:rsid w:val="00205C5E"/>
    <w:rsid w:val="00205C7E"/>
    <w:rsid w:val="00206034"/>
    <w:rsid w:val="0020618A"/>
    <w:rsid w:val="002061D7"/>
    <w:rsid w:val="002062E7"/>
    <w:rsid w:val="00206440"/>
    <w:rsid w:val="00206575"/>
    <w:rsid w:val="00206710"/>
    <w:rsid w:val="002069A0"/>
    <w:rsid w:val="002069CF"/>
    <w:rsid w:val="00206A6D"/>
    <w:rsid w:val="00206A8F"/>
    <w:rsid w:val="00206B20"/>
    <w:rsid w:val="0020768E"/>
    <w:rsid w:val="0020772A"/>
    <w:rsid w:val="0020773D"/>
    <w:rsid w:val="00207768"/>
    <w:rsid w:val="002078BE"/>
    <w:rsid w:val="00207A32"/>
    <w:rsid w:val="00207C1E"/>
    <w:rsid w:val="00207F04"/>
    <w:rsid w:val="00210132"/>
    <w:rsid w:val="00210721"/>
    <w:rsid w:val="00210827"/>
    <w:rsid w:val="00210BB3"/>
    <w:rsid w:val="00210C75"/>
    <w:rsid w:val="00210EFC"/>
    <w:rsid w:val="0021101D"/>
    <w:rsid w:val="002114A1"/>
    <w:rsid w:val="00211593"/>
    <w:rsid w:val="00211F29"/>
    <w:rsid w:val="00212480"/>
    <w:rsid w:val="002125E3"/>
    <w:rsid w:val="0021278C"/>
    <w:rsid w:val="00212A40"/>
    <w:rsid w:val="00212B0B"/>
    <w:rsid w:val="00212B70"/>
    <w:rsid w:val="00212C36"/>
    <w:rsid w:val="002131BC"/>
    <w:rsid w:val="0021357D"/>
    <w:rsid w:val="002137DE"/>
    <w:rsid w:val="00213C16"/>
    <w:rsid w:val="0021414C"/>
    <w:rsid w:val="002141B8"/>
    <w:rsid w:val="002142D3"/>
    <w:rsid w:val="002145D0"/>
    <w:rsid w:val="00214953"/>
    <w:rsid w:val="00214A55"/>
    <w:rsid w:val="00214C52"/>
    <w:rsid w:val="00214C98"/>
    <w:rsid w:val="00214D96"/>
    <w:rsid w:val="00214DE4"/>
    <w:rsid w:val="00214FAD"/>
    <w:rsid w:val="0021535B"/>
    <w:rsid w:val="002157D4"/>
    <w:rsid w:val="00215FB3"/>
    <w:rsid w:val="00215FB4"/>
    <w:rsid w:val="00216303"/>
    <w:rsid w:val="00216836"/>
    <w:rsid w:val="00216862"/>
    <w:rsid w:val="00216A39"/>
    <w:rsid w:val="00216D83"/>
    <w:rsid w:val="00216FC8"/>
    <w:rsid w:val="0021709B"/>
    <w:rsid w:val="0021736C"/>
    <w:rsid w:val="0021743C"/>
    <w:rsid w:val="002174BD"/>
    <w:rsid w:val="0021765A"/>
    <w:rsid w:val="00217864"/>
    <w:rsid w:val="002178F3"/>
    <w:rsid w:val="002204FB"/>
    <w:rsid w:val="0022054F"/>
    <w:rsid w:val="002206CB"/>
    <w:rsid w:val="00220CFF"/>
    <w:rsid w:val="00220ECB"/>
    <w:rsid w:val="002210E1"/>
    <w:rsid w:val="0022118D"/>
    <w:rsid w:val="00221266"/>
    <w:rsid w:val="002214F0"/>
    <w:rsid w:val="00221765"/>
    <w:rsid w:val="00221A26"/>
    <w:rsid w:val="00221CA6"/>
    <w:rsid w:val="00221CBE"/>
    <w:rsid w:val="00221D8A"/>
    <w:rsid w:val="00221E54"/>
    <w:rsid w:val="0022235E"/>
    <w:rsid w:val="00222714"/>
    <w:rsid w:val="00222725"/>
    <w:rsid w:val="0022282A"/>
    <w:rsid w:val="00222874"/>
    <w:rsid w:val="00222916"/>
    <w:rsid w:val="002232D7"/>
    <w:rsid w:val="00223319"/>
    <w:rsid w:val="002234A4"/>
    <w:rsid w:val="00223740"/>
    <w:rsid w:val="0022382C"/>
    <w:rsid w:val="002238B9"/>
    <w:rsid w:val="0022398A"/>
    <w:rsid w:val="00223A00"/>
    <w:rsid w:val="00223B20"/>
    <w:rsid w:val="00223C11"/>
    <w:rsid w:val="00223CF4"/>
    <w:rsid w:val="00223D26"/>
    <w:rsid w:val="00223D7D"/>
    <w:rsid w:val="002247FF"/>
    <w:rsid w:val="00224C2F"/>
    <w:rsid w:val="00224CFA"/>
    <w:rsid w:val="00224D3F"/>
    <w:rsid w:val="00224E23"/>
    <w:rsid w:val="00224FA0"/>
    <w:rsid w:val="0022523F"/>
    <w:rsid w:val="00225A29"/>
    <w:rsid w:val="00225AB7"/>
    <w:rsid w:val="00225B3D"/>
    <w:rsid w:val="0022614F"/>
    <w:rsid w:val="002262DC"/>
    <w:rsid w:val="002262F0"/>
    <w:rsid w:val="0022667D"/>
    <w:rsid w:val="00226AE3"/>
    <w:rsid w:val="00226B87"/>
    <w:rsid w:val="00226BC3"/>
    <w:rsid w:val="00227063"/>
    <w:rsid w:val="00227283"/>
    <w:rsid w:val="002272AD"/>
    <w:rsid w:val="00227676"/>
    <w:rsid w:val="00230528"/>
    <w:rsid w:val="00230830"/>
    <w:rsid w:val="0023090B"/>
    <w:rsid w:val="00230C14"/>
    <w:rsid w:val="00230EC7"/>
    <w:rsid w:val="002313DF"/>
    <w:rsid w:val="00231BDF"/>
    <w:rsid w:val="00231CB8"/>
    <w:rsid w:val="00231E31"/>
    <w:rsid w:val="002321CF"/>
    <w:rsid w:val="0023262A"/>
    <w:rsid w:val="00232988"/>
    <w:rsid w:val="00232BAA"/>
    <w:rsid w:val="00232FEF"/>
    <w:rsid w:val="002330EF"/>
    <w:rsid w:val="00233397"/>
    <w:rsid w:val="00233997"/>
    <w:rsid w:val="00233BF0"/>
    <w:rsid w:val="00233CE0"/>
    <w:rsid w:val="00234401"/>
    <w:rsid w:val="00234527"/>
    <w:rsid w:val="0023453B"/>
    <w:rsid w:val="002348BB"/>
    <w:rsid w:val="00234DFB"/>
    <w:rsid w:val="00234EA3"/>
    <w:rsid w:val="00234F02"/>
    <w:rsid w:val="00235075"/>
    <w:rsid w:val="00235128"/>
    <w:rsid w:val="0023534C"/>
    <w:rsid w:val="002353E8"/>
    <w:rsid w:val="002354A1"/>
    <w:rsid w:val="002354BF"/>
    <w:rsid w:val="00235527"/>
    <w:rsid w:val="0023565E"/>
    <w:rsid w:val="00235EBE"/>
    <w:rsid w:val="0023605E"/>
    <w:rsid w:val="00236334"/>
    <w:rsid w:val="00236706"/>
    <w:rsid w:val="00236840"/>
    <w:rsid w:val="00236922"/>
    <w:rsid w:val="002369C4"/>
    <w:rsid w:val="00236D6F"/>
    <w:rsid w:val="00236EA7"/>
    <w:rsid w:val="00237033"/>
    <w:rsid w:val="0023731E"/>
    <w:rsid w:val="00237489"/>
    <w:rsid w:val="00237650"/>
    <w:rsid w:val="0023780D"/>
    <w:rsid w:val="002378C7"/>
    <w:rsid w:val="00237ADA"/>
    <w:rsid w:val="00237D8C"/>
    <w:rsid w:val="00237FCF"/>
    <w:rsid w:val="0024033E"/>
    <w:rsid w:val="0024068F"/>
    <w:rsid w:val="00240AB7"/>
    <w:rsid w:val="00240C7B"/>
    <w:rsid w:val="00241024"/>
    <w:rsid w:val="002410A4"/>
    <w:rsid w:val="002411D3"/>
    <w:rsid w:val="00241336"/>
    <w:rsid w:val="0024143A"/>
    <w:rsid w:val="00241466"/>
    <w:rsid w:val="0024164C"/>
    <w:rsid w:val="0024187A"/>
    <w:rsid w:val="002418FD"/>
    <w:rsid w:val="00241972"/>
    <w:rsid w:val="00241F25"/>
    <w:rsid w:val="0024203C"/>
    <w:rsid w:val="00242170"/>
    <w:rsid w:val="0024242D"/>
    <w:rsid w:val="00242B57"/>
    <w:rsid w:val="00242DA3"/>
    <w:rsid w:val="00242FE3"/>
    <w:rsid w:val="00243063"/>
    <w:rsid w:val="002433FC"/>
    <w:rsid w:val="002434B8"/>
    <w:rsid w:val="00243899"/>
    <w:rsid w:val="00243D00"/>
    <w:rsid w:val="00243E01"/>
    <w:rsid w:val="00243F05"/>
    <w:rsid w:val="002441E0"/>
    <w:rsid w:val="00244359"/>
    <w:rsid w:val="002445C1"/>
    <w:rsid w:val="00244A06"/>
    <w:rsid w:val="00244A79"/>
    <w:rsid w:val="002451A7"/>
    <w:rsid w:val="0024521B"/>
    <w:rsid w:val="0024535E"/>
    <w:rsid w:val="0024572A"/>
    <w:rsid w:val="002458C6"/>
    <w:rsid w:val="002459C2"/>
    <w:rsid w:val="00245C09"/>
    <w:rsid w:val="00245FB5"/>
    <w:rsid w:val="002463B1"/>
    <w:rsid w:val="002466CB"/>
    <w:rsid w:val="002467C1"/>
    <w:rsid w:val="002468CD"/>
    <w:rsid w:val="0024694A"/>
    <w:rsid w:val="00246FAF"/>
    <w:rsid w:val="00247099"/>
    <w:rsid w:val="0024717A"/>
    <w:rsid w:val="0024717D"/>
    <w:rsid w:val="002476E2"/>
    <w:rsid w:val="0024779B"/>
    <w:rsid w:val="0024781F"/>
    <w:rsid w:val="00247B07"/>
    <w:rsid w:val="00247FD0"/>
    <w:rsid w:val="00250468"/>
    <w:rsid w:val="002504BA"/>
    <w:rsid w:val="00250DB8"/>
    <w:rsid w:val="00250EB7"/>
    <w:rsid w:val="00251192"/>
    <w:rsid w:val="002511E8"/>
    <w:rsid w:val="00251214"/>
    <w:rsid w:val="00251872"/>
    <w:rsid w:val="0025188F"/>
    <w:rsid w:val="002519A9"/>
    <w:rsid w:val="00251AC9"/>
    <w:rsid w:val="00251B42"/>
    <w:rsid w:val="00251C9E"/>
    <w:rsid w:val="00252230"/>
    <w:rsid w:val="002522A4"/>
    <w:rsid w:val="002522F0"/>
    <w:rsid w:val="002525F0"/>
    <w:rsid w:val="0025279D"/>
    <w:rsid w:val="002527E6"/>
    <w:rsid w:val="00252A9B"/>
    <w:rsid w:val="00252DA4"/>
    <w:rsid w:val="00252E32"/>
    <w:rsid w:val="00253253"/>
    <w:rsid w:val="002533B0"/>
    <w:rsid w:val="00253576"/>
    <w:rsid w:val="002536AF"/>
    <w:rsid w:val="00253C60"/>
    <w:rsid w:val="0025403C"/>
    <w:rsid w:val="002543D1"/>
    <w:rsid w:val="00254734"/>
    <w:rsid w:val="00254820"/>
    <w:rsid w:val="002548B3"/>
    <w:rsid w:val="00254CFF"/>
    <w:rsid w:val="00254D33"/>
    <w:rsid w:val="00254D74"/>
    <w:rsid w:val="00254DBD"/>
    <w:rsid w:val="00254F6A"/>
    <w:rsid w:val="0025539C"/>
    <w:rsid w:val="002556A6"/>
    <w:rsid w:val="00255880"/>
    <w:rsid w:val="002558FA"/>
    <w:rsid w:val="00255967"/>
    <w:rsid w:val="00255D73"/>
    <w:rsid w:val="00255E2C"/>
    <w:rsid w:val="00255EB6"/>
    <w:rsid w:val="00255F4E"/>
    <w:rsid w:val="0025605D"/>
    <w:rsid w:val="002565B7"/>
    <w:rsid w:val="002567D0"/>
    <w:rsid w:val="002568ED"/>
    <w:rsid w:val="00257335"/>
    <w:rsid w:val="002574EA"/>
    <w:rsid w:val="0025753C"/>
    <w:rsid w:val="002575EA"/>
    <w:rsid w:val="002577F3"/>
    <w:rsid w:val="00257BF1"/>
    <w:rsid w:val="00257C79"/>
    <w:rsid w:val="00257E8B"/>
    <w:rsid w:val="00257F22"/>
    <w:rsid w:val="00257F6F"/>
    <w:rsid w:val="00260374"/>
    <w:rsid w:val="00260406"/>
    <w:rsid w:val="00260544"/>
    <w:rsid w:val="0026062D"/>
    <w:rsid w:val="0026068D"/>
    <w:rsid w:val="00260B9E"/>
    <w:rsid w:val="00260E73"/>
    <w:rsid w:val="00260FB3"/>
    <w:rsid w:val="002619D8"/>
    <w:rsid w:val="00261B35"/>
    <w:rsid w:val="00261C5D"/>
    <w:rsid w:val="002621CF"/>
    <w:rsid w:val="00262563"/>
    <w:rsid w:val="0026263F"/>
    <w:rsid w:val="002629AC"/>
    <w:rsid w:val="00262A3F"/>
    <w:rsid w:val="00262C6D"/>
    <w:rsid w:val="00262E2A"/>
    <w:rsid w:val="00262E2D"/>
    <w:rsid w:val="00263111"/>
    <w:rsid w:val="002632A9"/>
    <w:rsid w:val="002632AD"/>
    <w:rsid w:val="002633E5"/>
    <w:rsid w:val="0026348B"/>
    <w:rsid w:val="002634BA"/>
    <w:rsid w:val="00263744"/>
    <w:rsid w:val="002638FC"/>
    <w:rsid w:val="00263A76"/>
    <w:rsid w:val="00263CB2"/>
    <w:rsid w:val="00263E58"/>
    <w:rsid w:val="00263EB1"/>
    <w:rsid w:val="00264690"/>
    <w:rsid w:val="00264938"/>
    <w:rsid w:val="00264D76"/>
    <w:rsid w:val="00264E6B"/>
    <w:rsid w:val="00264EE1"/>
    <w:rsid w:val="002651BE"/>
    <w:rsid w:val="002653ED"/>
    <w:rsid w:val="00265BA0"/>
    <w:rsid w:val="00265CC6"/>
    <w:rsid w:val="00265E61"/>
    <w:rsid w:val="00265E9C"/>
    <w:rsid w:val="002667A6"/>
    <w:rsid w:val="00266B18"/>
    <w:rsid w:val="00266F4F"/>
    <w:rsid w:val="002674B7"/>
    <w:rsid w:val="00267B4E"/>
    <w:rsid w:val="00267DC1"/>
    <w:rsid w:val="00267DE7"/>
    <w:rsid w:val="00267F17"/>
    <w:rsid w:val="00270180"/>
    <w:rsid w:val="00270253"/>
    <w:rsid w:val="0027025E"/>
    <w:rsid w:val="00270421"/>
    <w:rsid w:val="00270C71"/>
    <w:rsid w:val="00270C86"/>
    <w:rsid w:val="002717AE"/>
    <w:rsid w:val="00271A57"/>
    <w:rsid w:val="00271E77"/>
    <w:rsid w:val="002723F7"/>
    <w:rsid w:val="002729E8"/>
    <w:rsid w:val="00272D70"/>
    <w:rsid w:val="00273100"/>
    <w:rsid w:val="0027321C"/>
    <w:rsid w:val="002732DC"/>
    <w:rsid w:val="002737AA"/>
    <w:rsid w:val="00273E86"/>
    <w:rsid w:val="002744F2"/>
    <w:rsid w:val="0027454F"/>
    <w:rsid w:val="0027477B"/>
    <w:rsid w:val="00274867"/>
    <w:rsid w:val="00274990"/>
    <w:rsid w:val="00274ADF"/>
    <w:rsid w:val="00274D92"/>
    <w:rsid w:val="00274DFE"/>
    <w:rsid w:val="002750E0"/>
    <w:rsid w:val="002751BB"/>
    <w:rsid w:val="00275293"/>
    <w:rsid w:val="00275374"/>
    <w:rsid w:val="002759D7"/>
    <w:rsid w:val="00275C52"/>
    <w:rsid w:val="00275CFC"/>
    <w:rsid w:val="00275D16"/>
    <w:rsid w:val="00276677"/>
    <w:rsid w:val="00276798"/>
    <w:rsid w:val="002768DA"/>
    <w:rsid w:val="002769A0"/>
    <w:rsid w:val="00276A25"/>
    <w:rsid w:val="00276C00"/>
    <w:rsid w:val="00276E76"/>
    <w:rsid w:val="00276F62"/>
    <w:rsid w:val="00277420"/>
    <w:rsid w:val="00277818"/>
    <w:rsid w:val="00277DDA"/>
    <w:rsid w:val="00277E10"/>
    <w:rsid w:val="002803AE"/>
    <w:rsid w:val="00280594"/>
    <w:rsid w:val="0028071F"/>
    <w:rsid w:val="00280CFD"/>
    <w:rsid w:val="00280D91"/>
    <w:rsid w:val="00280F47"/>
    <w:rsid w:val="00281240"/>
    <w:rsid w:val="002812EA"/>
    <w:rsid w:val="00281634"/>
    <w:rsid w:val="002817B8"/>
    <w:rsid w:val="0028190D"/>
    <w:rsid w:val="00282261"/>
    <w:rsid w:val="002822D6"/>
    <w:rsid w:val="00282611"/>
    <w:rsid w:val="0028282B"/>
    <w:rsid w:val="00282853"/>
    <w:rsid w:val="0028289F"/>
    <w:rsid w:val="002828A0"/>
    <w:rsid w:val="0028294C"/>
    <w:rsid w:val="00282A52"/>
    <w:rsid w:val="00282DE5"/>
    <w:rsid w:val="00283074"/>
    <w:rsid w:val="00283194"/>
    <w:rsid w:val="0028335A"/>
    <w:rsid w:val="0028384C"/>
    <w:rsid w:val="00283B6E"/>
    <w:rsid w:val="00283C7D"/>
    <w:rsid w:val="00284270"/>
    <w:rsid w:val="00284302"/>
    <w:rsid w:val="002843ED"/>
    <w:rsid w:val="00284756"/>
    <w:rsid w:val="0028475D"/>
    <w:rsid w:val="00284C40"/>
    <w:rsid w:val="00284E40"/>
    <w:rsid w:val="00284FE2"/>
    <w:rsid w:val="002850EB"/>
    <w:rsid w:val="0028512F"/>
    <w:rsid w:val="00285137"/>
    <w:rsid w:val="002852F7"/>
    <w:rsid w:val="00285632"/>
    <w:rsid w:val="00285A34"/>
    <w:rsid w:val="00285A4F"/>
    <w:rsid w:val="00285CF0"/>
    <w:rsid w:val="0028603C"/>
    <w:rsid w:val="002864DC"/>
    <w:rsid w:val="002865C2"/>
    <w:rsid w:val="00286938"/>
    <w:rsid w:val="00286B13"/>
    <w:rsid w:val="00286D09"/>
    <w:rsid w:val="00286D7D"/>
    <w:rsid w:val="00286DCC"/>
    <w:rsid w:val="00287054"/>
    <w:rsid w:val="0028715C"/>
    <w:rsid w:val="0028730F"/>
    <w:rsid w:val="00287397"/>
    <w:rsid w:val="0028761B"/>
    <w:rsid w:val="002877BB"/>
    <w:rsid w:val="00287A53"/>
    <w:rsid w:val="00287ABA"/>
    <w:rsid w:val="00287F6B"/>
    <w:rsid w:val="00290432"/>
    <w:rsid w:val="00290515"/>
    <w:rsid w:val="002907B7"/>
    <w:rsid w:val="00290BE2"/>
    <w:rsid w:val="00290D5E"/>
    <w:rsid w:val="00290FD7"/>
    <w:rsid w:val="00291043"/>
    <w:rsid w:val="002910D8"/>
    <w:rsid w:val="002910F4"/>
    <w:rsid w:val="00291341"/>
    <w:rsid w:val="002913B5"/>
    <w:rsid w:val="002914FC"/>
    <w:rsid w:val="0029155B"/>
    <w:rsid w:val="00291570"/>
    <w:rsid w:val="0029163E"/>
    <w:rsid w:val="002918B8"/>
    <w:rsid w:val="00291CB4"/>
    <w:rsid w:val="00291D6D"/>
    <w:rsid w:val="002921A6"/>
    <w:rsid w:val="002921D5"/>
    <w:rsid w:val="002925BA"/>
    <w:rsid w:val="00292611"/>
    <w:rsid w:val="00292940"/>
    <w:rsid w:val="00292BE4"/>
    <w:rsid w:val="00292F3E"/>
    <w:rsid w:val="00293297"/>
    <w:rsid w:val="002938D2"/>
    <w:rsid w:val="002939B0"/>
    <w:rsid w:val="00293B56"/>
    <w:rsid w:val="00293E7E"/>
    <w:rsid w:val="002940BE"/>
    <w:rsid w:val="00294140"/>
    <w:rsid w:val="0029414A"/>
    <w:rsid w:val="0029425E"/>
    <w:rsid w:val="002947E3"/>
    <w:rsid w:val="00294823"/>
    <w:rsid w:val="00294852"/>
    <w:rsid w:val="002949E7"/>
    <w:rsid w:val="00294BB0"/>
    <w:rsid w:val="00294CBA"/>
    <w:rsid w:val="00294F44"/>
    <w:rsid w:val="00295324"/>
    <w:rsid w:val="00295330"/>
    <w:rsid w:val="0029536E"/>
    <w:rsid w:val="00295520"/>
    <w:rsid w:val="002955DA"/>
    <w:rsid w:val="002958F9"/>
    <w:rsid w:val="00295BA1"/>
    <w:rsid w:val="00295C0D"/>
    <w:rsid w:val="00295C97"/>
    <w:rsid w:val="002960D3"/>
    <w:rsid w:val="0029623D"/>
    <w:rsid w:val="00296562"/>
    <w:rsid w:val="00296579"/>
    <w:rsid w:val="002969BD"/>
    <w:rsid w:val="00296AA2"/>
    <w:rsid w:val="00296D61"/>
    <w:rsid w:val="00296E3D"/>
    <w:rsid w:val="00296EA9"/>
    <w:rsid w:val="0029718B"/>
    <w:rsid w:val="00297248"/>
    <w:rsid w:val="0029726B"/>
    <w:rsid w:val="0029754D"/>
    <w:rsid w:val="00297B01"/>
    <w:rsid w:val="00297B77"/>
    <w:rsid w:val="00297D61"/>
    <w:rsid w:val="00297FD7"/>
    <w:rsid w:val="002A06E6"/>
    <w:rsid w:val="002A09EA"/>
    <w:rsid w:val="002A0A6D"/>
    <w:rsid w:val="002A0FE5"/>
    <w:rsid w:val="002A10F4"/>
    <w:rsid w:val="002A143C"/>
    <w:rsid w:val="002A1907"/>
    <w:rsid w:val="002A1E6C"/>
    <w:rsid w:val="002A2053"/>
    <w:rsid w:val="002A21BF"/>
    <w:rsid w:val="002A23CF"/>
    <w:rsid w:val="002A2529"/>
    <w:rsid w:val="002A26E0"/>
    <w:rsid w:val="002A2954"/>
    <w:rsid w:val="002A2A8C"/>
    <w:rsid w:val="002A2C9E"/>
    <w:rsid w:val="002A2C9F"/>
    <w:rsid w:val="002A2D8B"/>
    <w:rsid w:val="002A392B"/>
    <w:rsid w:val="002A3EB7"/>
    <w:rsid w:val="002A457B"/>
    <w:rsid w:val="002A45F6"/>
    <w:rsid w:val="002A4D63"/>
    <w:rsid w:val="002A4DD1"/>
    <w:rsid w:val="002A5378"/>
    <w:rsid w:val="002A54FA"/>
    <w:rsid w:val="002A583A"/>
    <w:rsid w:val="002A5C1B"/>
    <w:rsid w:val="002A609B"/>
    <w:rsid w:val="002A6269"/>
    <w:rsid w:val="002A628E"/>
    <w:rsid w:val="002A654C"/>
    <w:rsid w:val="002A661E"/>
    <w:rsid w:val="002A66C6"/>
    <w:rsid w:val="002A6B70"/>
    <w:rsid w:val="002A6F5A"/>
    <w:rsid w:val="002A7A36"/>
    <w:rsid w:val="002A7A3F"/>
    <w:rsid w:val="002A7B71"/>
    <w:rsid w:val="002A7BD6"/>
    <w:rsid w:val="002A7CC8"/>
    <w:rsid w:val="002B009A"/>
    <w:rsid w:val="002B00C2"/>
    <w:rsid w:val="002B03BB"/>
    <w:rsid w:val="002B0680"/>
    <w:rsid w:val="002B0746"/>
    <w:rsid w:val="002B075C"/>
    <w:rsid w:val="002B09F9"/>
    <w:rsid w:val="002B0B38"/>
    <w:rsid w:val="002B0B91"/>
    <w:rsid w:val="002B0C70"/>
    <w:rsid w:val="002B0CF1"/>
    <w:rsid w:val="002B111C"/>
    <w:rsid w:val="002B1137"/>
    <w:rsid w:val="002B164E"/>
    <w:rsid w:val="002B1677"/>
    <w:rsid w:val="002B1C05"/>
    <w:rsid w:val="002B1F4B"/>
    <w:rsid w:val="002B2491"/>
    <w:rsid w:val="002B260E"/>
    <w:rsid w:val="002B260F"/>
    <w:rsid w:val="002B26C1"/>
    <w:rsid w:val="002B27D7"/>
    <w:rsid w:val="002B2900"/>
    <w:rsid w:val="002B2BD9"/>
    <w:rsid w:val="002B2D1C"/>
    <w:rsid w:val="002B3300"/>
    <w:rsid w:val="002B3438"/>
    <w:rsid w:val="002B385A"/>
    <w:rsid w:val="002B3A1F"/>
    <w:rsid w:val="002B3B7E"/>
    <w:rsid w:val="002B3F2E"/>
    <w:rsid w:val="002B400C"/>
    <w:rsid w:val="002B4245"/>
    <w:rsid w:val="002B4881"/>
    <w:rsid w:val="002B493B"/>
    <w:rsid w:val="002B524E"/>
    <w:rsid w:val="002B5A39"/>
    <w:rsid w:val="002B615E"/>
    <w:rsid w:val="002B61F7"/>
    <w:rsid w:val="002B642F"/>
    <w:rsid w:val="002B6624"/>
    <w:rsid w:val="002B663E"/>
    <w:rsid w:val="002B68FA"/>
    <w:rsid w:val="002B6A97"/>
    <w:rsid w:val="002B6AC3"/>
    <w:rsid w:val="002B6BA4"/>
    <w:rsid w:val="002B6DB0"/>
    <w:rsid w:val="002B7832"/>
    <w:rsid w:val="002B78CB"/>
    <w:rsid w:val="002B7DB6"/>
    <w:rsid w:val="002C0329"/>
    <w:rsid w:val="002C0333"/>
    <w:rsid w:val="002C0434"/>
    <w:rsid w:val="002C0566"/>
    <w:rsid w:val="002C0A6A"/>
    <w:rsid w:val="002C0A99"/>
    <w:rsid w:val="002C0B2D"/>
    <w:rsid w:val="002C0E08"/>
    <w:rsid w:val="002C0F22"/>
    <w:rsid w:val="002C1335"/>
    <w:rsid w:val="002C1537"/>
    <w:rsid w:val="002C157C"/>
    <w:rsid w:val="002C1C50"/>
    <w:rsid w:val="002C1C5D"/>
    <w:rsid w:val="002C1C8F"/>
    <w:rsid w:val="002C1F08"/>
    <w:rsid w:val="002C1FB9"/>
    <w:rsid w:val="002C20B0"/>
    <w:rsid w:val="002C2515"/>
    <w:rsid w:val="002C2530"/>
    <w:rsid w:val="002C28B6"/>
    <w:rsid w:val="002C2ACF"/>
    <w:rsid w:val="002C3063"/>
    <w:rsid w:val="002C309F"/>
    <w:rsid w:val="002C356C"/>
    <w:rsid w:val="002C3644"/>
    <w:rsid w:val="002C3C4C"/>
    <w:rsid w:val="002C41D6"/>
    <w:rsid w:val="002C4201"/>
    <w:rsid w:val="002C4302"/>
    <w:rsid w:val="002C4717"/>
    <w:rsid w:val="002C4BF9"/>
    <w:rsid w:val="002C4DDF"/>
    <w:rsid w:val="002C4DF7"/>
    <w:rsid w:val="002C5305"/>
    <w:rsid w:val="002C5309"/>
    <w:rsid w:val="002C58E2"/>
    <w:rsid w:val="002C5B46"/>
    <w:rsid w:val="002C5DE9"/>
    <w:rsid w:val="002C6348"/>
    <w:rsid w:val="002C6651"/>
    <w:rsid w:val="002C6705"/>
    <w:rsid w:val="002C6894"/>
    <w:rsid w:val="002C68E1"/>
    <w:rsid w:val="002C6B0C"/>
    <w:rsid w:val="002C6BF8"/>
    <w:rsid w:val="002C6CB4"/>
    <w:rsid w:val="002C6CB9"/>
    <w:rsid w:val="002C6ED5"/>
    <w:rsid w:val="002C73E1"/>
    <w:rsid w:val="002C76AA"/>
    <w:rsid w:val="002C799B"/>
    <w:rsid w:val="002C79E7"/>
    <w:rsid w:val="002C7B05"/>
    <w:rsid w:val="002C7F68"/>
    <w:rsid w:val="002D009C"/>
    <w:rsid w:val="002D0334"/>
    <w:rsid w:val="002D039B"/>
    <w:rsid w:val="002D03D0"/>
    <w:rsid w:val="002D096C"/>
    <w:rsid w:val="002D09DB"/>
    <w:rsid w:val="002D0B95"/>
    <w:rsid w:val="002D0CE6"/>
    <w:rsid w:val="002D12C9"/>
    <w:rsid w:val="002D1B23"/>
    <w:rsid w:val="002D2319"/>
    <w:rsid w:val="002D2441"/>
    <w:rsid w:val="002D2CD5"/>
    <w:rsid w:val="002D341E"/>
    <w:rsid w:val="002D35ED"/>
    <w:rsid w:val="002D3D9F"/>
    <w:rsid w:val="002D44EF"/>
    <w:rsid w:val="002D454E"/>
    <w:rsid w:val="002D46EA"/>
    <w:rsid w:val="002D4A98"/>
    <w:rsid w:val="002D4C40"/>
    <w:rsid w:val="002D542A"/>
    <w:rsid w:val="002D55B8"/>
    <w:rsid w:val="002D55FC"/>
    <w:rsid w:val="002D5A76"/>
    <w:rsid w:val="002D5D36"/>
    <w:rsid w:val="002D5DE7"/>
    <w:rsid w:val="002D5E92"/>
    <w:rsid w:val="002D5F15"/>
    <w:rsid w:val="002D679F"/>
    <w:rsid w:val="002D6EA5"/>
    <w:rsid w:val="002D70C6"/>
    <w:rsid w:val="002D70C9"/>
    <w:rsid w:val="002D721B"/>
    <w:rsid w:val="002D7290"/>
    <w:rsid w:val="002D7729"/>
    <w:rsid w:val="002D77F8"/>
    <w:rsid w:val="002D7977"/>
    <w:rsid w:val="002D7B42"/>
    <w:rsid w:val="002D7F44"/>
    <w:rsid w:val="002E037E"/>
    <w:rsid w:val="002E0401"/>
    <w:rsid w:val="002E0557"/>
    <w:rsid w:val="002E0CFD"/>
    <w:rsid w:val="002E0EBD"/>
    <w:rsid w:val="002E0F21"/>
    <w:rsid w:val="002E0FBF"/>
    <w:rsid w:val="002E11F9"/>
    <w:rsid w:val="002E148B"/>
    <w:rsid w:val="002E156F"/>
    <w:rsid w:val="002E1B99"/>
    <w:rsid w:val="002E2265"/>
    <w:rsid w:val="002E2404"/>
    <w:rsid w:val="002E2706"/>
    <w:rsid w:val="002E2747"/>
    <w:rsid w:val="002E2894"/>
    <w:rsid w:val="002E2A45"/>
    <w:rsid w:val="002E2DF3"/>
    <w:rsid w:val="002E35D2"/>
    <w:rsid w:val="002E3680"/>
    <w:rsid w:val="002E39D7"/>
    <w:rsid w:val="002E3BB5"/>
    <w:rsid w:val="002E3CC3"/>
    <w:rsid w:val="002E3D56"/>
    <w:rsid w:val="002E3EC5"/>
    <w:rsid w:val="002E413D"/>
    <w:rsid w:val="002E437D"/>
    <w:rsid w:val="002E4417"/>
    <w:rsid w:val="002E44EA"/>
    <w:rsid w:val="002E45FE"/>
    <w:rsid w:val="002E4821"/>
    <w:rsid w:val="002E495D"/>
    <w:rsid w:val="002E4D71"/>
    <w:rsid w:val="002E4E26"/>
    <w:rsid w:val="002E5252"/>
    <w:rsid w:val="002E6193"/>
    <w:rsid w:val="002E61AB"/>
    <w:rsid w:val="002E6327"/>
    <w:rsid w:val="002E6774"/>
    <w:rsid w:val="002E6921"/>
    <w:rsid w:val="002E6A28"/>
    <w:rsid w:val="002E6A4C"/>
    <w:rsid w:val="002E6C45"/>
    <w:rsid w:val="002E6F1B"/>
    <w:rsid w:val="002E6F58"/>
    <w:rsid w:val="002E71D2"/>
    <w:rsid w:val="002E731C"/>
    <w:rsid w:val="002E733E"/>
    <w:rsid w:val="002E74DE"/>
    <w:rsid w:val="002E7756"/>
    <w:rsid w:val="002E779B"/>
    <w:rsid w:val="002E7A41"/>
    <w:rsid w:val="002E7C2E"/>
    <w:rsid w:val="002F001D"/>
    <w:rsid w:val="002F0602"/>
    <w:rsid w:val="002F076A"/>
    <w:rsid w:val="002F09AD"/>
    <w:rsid w:val="002F0F7D"/>
    <w:rsid w:val="002F113F"/>
    <w:rsid w:val="002F1550"/>
    <w:rsid w:val="002F1682"/>
    <w:rsid w:val="002F1811"/>
    <w:rsid w:val="002F1ACA"/>
    <w:rsid w:val="002F1D98"/>
    <w:rsid w:val="002F21A8"/>
    <w:rsid w:val="002F237E"/>
    <w:rsid w:val="002F2707"/>
    <w:rsid w:val="002F2785"/>
    <w:rsid w:val="002F291A"/>
    <w:rsid w:val="002F2AB3"/>
    <w:rsid w:val="002F309F"/>
    <w:rsid w:val="002F33A3"/>
    <w:rsid w:val="002F38DD"/>
    <w:rsid w:val="002F3A93"/>
    <w:rsid w:val="002F424F"/>
    <w:rsid w:val="002F4305"/>
    <w:rsid w:val="002F468C"/>
    <w:rsid w:val="002F487E"/>
    <w:rsid w:val="002F4FC9"/>
    <w:rsid w:val="002F50F8"/>
    <w:rsid w:val="002F5661"/>
    <w:rsid w:val="002F5B05"/>
    <w:rsid w:val="002F6286"/>
    <w:rsid w:val="002F63BF"/>
    <w:rsid w:val="002F6413"/>
    <w:rsid w:val="002F6514"/>
    <w:rsid w:val="002F670E"/>
    <w:rsid w:val="002F686D"/>
    <w:rsid w:val="002F6980"/>
    <w:rsid w:val="002F6CED"/>
    <w:rsid w:val="002F6FBC"/>
    <w:rsid w:val="002F7072"/>
    <w:rsid w:val="002F7FA7"/>
    <w:rsid w:val="00300349"/>
    <w:rsid w:val="00300754"/>
    <w:rsid w:val="0030083B"/>
    <w:rsid w:val="00300858"/>
    <w:rsid w:val="00300C65"/>
    <w:rsid w:val="00300C91"/>
    <w:rsid w:val="00300D26"/>
    <w:rsid w:val="00300DB9"/>
    <w:rsid w:val="00301315"/>
    <w:rsid w:val="0030159D"/>
    <w:rsid w:val="003018B8"/>
    <w:rsid w:val="00301AC1"/>
    <w:rsid w:val="00301F25"/>
    <w:rsid w:val="00301F3F"/>
    <w:rsid w:val="0030231F"/>
    <w:rsid w:val="0030237A"/>
    <w:rsid w:val="003023BD"/>
    <w:rsid w:val="003024E8"/>
    <w:rsid w:val="00302B30"/>
    <w:rsid w:val="00302F86"/>
    <w:rsid w:val="003032F2"/>
    <w:rsid w:val="00303314"/>
    <w:rsid w:val="00303377"/>
    <w:rsid w:val="003036F0"/>
    <w:rsid w:val="0030370E"/>
    <w:rsid w:val="0030373F"/>
    <w:rsid w:val="00303AA0"/>
    <w:rsid w:val="00303BBE"/>
    <w:rsid w:val="0030417C"/>
    <w:rsid w:val="0030442E"/>
    <w:rsid w:val="003044B8"/>
    <w:rsid w:val="00304715"/>
    <w:rsid w:val="00305182"/>
    <w:rsid w:val="0030541F"/>
    <w:rsid w:val="0030556F"/>
    <w:rsid w:val="0030590A"/>
    <w:rsid w:val="003059F8"/>
    <w:rsid w:val="00305B44"/>
    <w:rsid w:val="00305CE9"/>
    <w:rsid w:val="00305DE8"/>
    <w:rsid w:val="00305FCF"/>
    <w:rsid w:val="003068F5"/>
    <w:rsid w:val="003069E7"/>
    <w:rsid w:val="00306A2F"/>
    <w:rsid w:val="00306BEB"/>
    <w:rsid w:val="00306E3E"/>
    <w:rsid w:val="0030711C"/>
    <w:rsid w:val="003072EA"/>
    <w:rsid w:val="003073DC"/>
    <w:rsid w:val="00307C69"/>
    <w:rsid w:val="00307CB9"/>
    <w:rsid w:val="00307ED7"/>
    <w:rsid w:val="00307EF7"/>
    <w:rsid w:val="00307F97"/>
    <w:rsid w:val="0031009C"/>
    <w:rsid w:val="003100F2"/>
    <w:rsid w:val="00310117"/>
    <w:rsid w:val="00310137"/>
    <w:rsid w:val="0031016B"/>
    <w:rsid w:val="00310284"/>
    <w:rsid w:val="00310549"/>
    <w:rsid w:val="003106BF"/>
    <w:rsid w:val="0031075A"/>
    <w:rsid w:val="00310819"/>
    <w:rsid w:val="0031083C"/>
    <w:rsid w:val="0031095D"/>
    <w:rsid w:val="00310980"/>
    <w:rsid w:val="00310C5A"/>
    <w:rsid w:val="00310E29"/>
    <w:rsid w:val="00310F8E"/>
    <w:rsid w:val="00311594"/>
    <w:rsid w:val="00311683"/>
    <w:rsid w:val="003116FC"/>
    <w:rsid w:val="003119EB"/>
    <w:rsid w:val="003123C9"/>
    <w:rsid w:val="00312582"/>
    <w:rsid w:val="003127C9"/>
    <w:rsid w:val="003127D7"/>
    <w:rsid w:val="00312C87"/>
    <w:rsid w:val="00312DBC"/>
    <w:rsid w:val="00312F72"/>
    <w:rsid w:val="00313689"/>
    <w:rsid w:val="0031380B"/>
    <w:rsid w:val="00313F09"/>
    <w:rsid w:val="003143CF"/>
    <w:rsid w:val="0031487D"/>
    <w:rsid w:val="003148AD"/>
    <w:rsid w:val="00314D8D"/>
    <w:rsid w:val="003150B7"/>
    <w:rsid w:val="003153CB"/>
    <w:rsid w:val="00315413"/>
    <w:rsid w:val="0031589B"/>
    <w:rsid w:val="003158CB"/>
    <w:rsid w:val="00315BA8"/>
    <w:rsid w:val="003162EF"/>
    <w:rsid w:val="003163C9"/>
    <w:rsid w:val="003168B0"/>
    <w:rsid w:val="00316AF4"/>
    <w:rsid w:val="00316C09"/>
    <w:rsid w:val="00316E45"/>
    <w:rsid w:val="00316FE2"/>
    <w:rsid w:val="0031718D"/>
    <w:rsid w:val="0031727D"/>
    <w:rsid w:val="00317290"/>
    <w:rsid w:val="003173F7"/>
    <w:rsid w:val="0031757C"/>
    <w:rsid w:val="00317600"/>
    <w:rsid w:val="00317A61"/>
    <w:rsid w:val="00317B08"/>
    <w:rsid w:val="00317BC7"/>
    <w:rsid w:val="00317C65"/>
    <w:rsid w:val="00320054"/>
    <w:rsid w:val="00320494"/>
    <w:rsid w:val="003206EB"/>
    <w:rsid w:val="003207B2"/>
    <w:rsid w:val="00320840"/>
    <w:rsid w:val="0032110B"/>
    <w:rsid w:val="0032123F"/>
    <w:rsid w:val="0032149F"/>
    <w:rsid w:val="00321816"/>
    <w:rsid w:val="00321CB5"/>
    <w:rsid w:val="00321CEA"/>
    <w:rsid w:val="003221BF"/>
    <w:rsid w:val="00322443"/>
    <w:rsid w:val="00322684"/>
    <w:rsid w:val="003226FA"/>
    <w:rsid w:val="003227E6"/>
    <w:rsid w:val="00322838"/>
    <w:rsid w:val="0032286C"/>
    <w:rsid w:val="0032297D"/>
    <w:rsid w:val="003229DD"/>
    <w:rsid w:val="00322E0D"/>
    <w:rsid w:val="00322F6B"/>
    <w:rsid w:val="0032330B"/>
    <w:rsid w:val="0032355A"/>
    <w:rsid w:val="003235E7"/>
    <w:rsid w:val="00323680"/>
    <w:rsid w:val="00323828"/>
    <w:rsid w:val="003238AA"/>
    <w:rsid w:val="00323A70"/>
    <w:rsid w:val="00323C25"/>
    <w:rsid w:val="00324292"/>
    <w:rsid w:val="003246F2"/>
    <w:rsid w:val="00324824"/>
    <w:rsid w:val="0032483A"/>
    <w:rsid w:val="003248CB"/>
    <w:rsid w:val="003249CD"/>
    <w:rsid w:val="00324B72"/>
    <w:rsid w:val="00324C12"/>
    <w:rsid w:val="00324E55"/>
    <w:rsid w:val="00324F5A"/>
    <w:rsid w:val="0032505A"/>
    <w:rsid w:val="003252F2"/>
    <w:rsid w:val="0032535A"/>
    <w:rsid w:val="0032574C"/>
    <w:rsid w:val="00325AA9"/>
    <w:rsid w:val="00325FD4"/>
    <w:rsid w:val="0032638D"/>
    <w:rsid w:val="0032643C"/>
    <w:rsid w:val="00326475"/>
    <w:rsid w:val="0032683D"/>
    <w:rsid w:val="003268E9"/>
    <w:rsid w:val="00326939"/>
    <w:rsid w:val="00326BE5"/>
    <w:rsid w:val="00326C44"/>
    <w:rsid w:val="00326C9B"/>
    <w:rsid w:val="00326E79"/>
    <w:rsid w:val="003274D2"/>
    <w:rsid w:val="003275F5"/>
    <w:rsid w:val="00327712"/>
    <w:rsid w:val="003303F6"/>
    <w:rsid w:val="00330485"/>
    <w:rsid w:val="003304CE"/>
    <w:rsid w:val="0033086E"/>
    <w:rsid w:val="00330938"/>
    <w:rsid w:val="00330BB2"/>
    <w:rsid w:val="00330D42"/>
    <w:rsid w:val="00330D5E"/>
    <w:rsid w:val="00330DD4"/>
    <w:rsid w:val="00330F7C"/>
    <w:rsid w:val="00330FD0"/>
    <w:rsid w:val="0033118A"/>
    <w:rsid w:val="003316E2"/>
    <w:rsid w:val="00331743"/>
    <w:rsid w:val="0033187C"/>
    <w:rsid w:val="00331991"/>
    <w:rsid w:val="00332112"/>
    <w:rsid w:val="003321FD"/>
    <w:rsid w:val="00332707"/>
    <w:rsid w:val="003327F9"/>
    <w:rsid w:val="003328C5"/>
    <w:rsid w:val="003329C7"/>
    <w:rsid w:val="00332DAA"/>
    <w:rsid w:val="00332DEC"/>
    <w:rsid w:val="00332FF3"/>
    <w:rsid w:val="0033306D"/>
    <w:rsid w:val="003330AF"/>
    <w:rsid w:val="0033385D"/>
    <w:rsid w:val="003338BB"/>
    <w:rsid w:val="003338E9"/>
    <w:rsid w:val="00333926"/>
    <w:rsid w:val="00333DA4"/>
    <w:rsid w:val="00333DDC"/>
    <w:rsid w:val="0033448C"/>
    <w:rsid w:val="00334681"/>
    <w:rsid w:val="00334BAA"/>
    <w:rsid w:val="00334C49"/>
    <w:rsid w:val="00334E2C"/>
    <w:rsid w:val="00335102"/>
    <w:rsid w:val="003355EC"/>
    <w:rsid w:val="00335A66"/>
    <w:rsid w:val="00335ACB"/>
    <w:rsid w:val="00335B2B"/>
    <w:rsid w:val="00335B4F"/>
    <w:rsid w:val="00335E45"/>
    <w:rsid w:val="00335F63"/>
    <w:rsid w:val="003360CA"/>
    <w:rsid w:val="00336792"/>
    <w:rsid w:val="00336996"/>
    <w:rsid w:val="00336A35"/>
    <w:rsid w:val="00336B66"/>
    <w:rsid w:val="00336BC0"/>
    <w:rsid w:val="00336C43"/>
    <w:rsid w:val="00336C4A"/>
    <w:rsid w:val="00337119"/>
    <w:rsid w:val="003373BE"/>
    <w:rsid w:val="003376B6"/>
    <w:rsid w:val="00337740"/>
    <w:rsid w:val="00337776"/>
    <w:rsid w:val="00337847"/>
    <w:rsid w:val="0033793D"/>
    <w:rsid w:val="00340011"/>
    <w:rsid w:val="0034047A"/>
    <w:rsid w:val="00340FDC"/>
    <w:rsid w:val="0034121E"/>
    <w:rsid w:val="00341277"/>
    <w:rsid w:val="003412AC"/>
    <w:rsid w:val="003414D4"/>
    <w:rsid w:val="0034187C"/>
    <w:rsid w:val="00341BDE"/>
    <w:rsid w:val="00341DF4"/>
    <w:rsid w:val="00342046"/>
    <w:rsid w:val="0034220B"/>
    <w:rsid w:val="003422C6"/>
    <w:rsid w:val="0034270F"/>
    <w:rsid w:val="003428E3"/>
    <w:rsid w:val="00342BE6"/>
    <w:rsid w:val="00342D13"/>
    <w:rsid w:val="00342E07"/>
    <w:rsid w:val="003431A0"/>
    <w:rsid w:val="0034323E"/>
    <w:rsid w:val="00343383"/>
    <w:rsid w:val="00343521"/>
    <w:rsid w:val="00343656"/>
    <w:rsid w:val="00343A60"/>
    <w:rsid w:val="00343B4B"/>
    <w:rsid w:val="00343B9A"/>
    <w:rsid w:val="00343D78"/>
    <w:rsid w:val="00343DCD"/>
    <w:rsid w:val="00343E3E"/>
    <w:rsid w:val="003445AD"/>
    <w:rsid w:val="00344602"/>
    <w:rsid w:val="0034464E"/>
    <w:rsid w:val="00344728"/>
    <w:rsid w:val="00344789"/>
    <w:rsid w:val="00344883"/>
    <w:rsid w:val="00344B5A"/>
    <w:rsid w:val="00344BCC"/>
    <w:rsid w:val="003450D4"/>
    <w:rsid w:val="0034580E"/>
    <w:rsid w:val="003459B1"/>
    <w:rsid w:val="00345BBB"/>
    <w:rsid w:val="00345BF6"/>
    <w:rsid w:val="00346374"/>
    <w:rsid w:val="00346796"/>
    <w:rsid w:val="003469BE"/>
    <w:rsid w:val="00346D04"/>
    <w:rsid w:val="00346D3B"/>
    <w:rsid w:val="00346D7B"/>
    <w:rsid w:val="00346EE6"/>
    <w:rsid w:val="003472D6"/>
    <w:rsid w:val="0034737D"/>
    <w:rsid w:val="00347485"/>
    <w:rsid w:val="00347520"/>
    <w:rsid w:val="00347D6F"/>
    <w:rsid w:val="00347EA1"/>
    <w:rsid w:val="00347FB3"/>
    <w:rsid w:val="0035014F"/>
    <w:rsid w:val="0035020A"/>
    <w:rsid w:val="003502D1"/>
    <w:rsid w:val="0035062A"/>
    <w:rsid w:val="003507AA"/>
    <w:rsid w:val="0035082A"/>
    <w:rsid w:val="0035097D"/>
    <w:rsid w:val="00350A24"/>
    <w:rsid w:val="00350D61"/>
    <w:rsid w:val="00350F3B"/>
    <w:rsid w:val="00351169"/>
    <w:rsid w:val="0035138A"/>
    <w:rsid w:val="003518BA"/>
    <w:rsid w:val="00351BFB"/>
    <w:rsid w:val="0035219C"/>
    <w:rsid w:val="00352462"/>
    <w:rsid w:val="003524D8"/>
    <w:rsid w:val="00352529"/>
    <w:rsid w:val="00352671"/>
    <w:rsid w:val="00352689"/>
    <w:rsid w:val="00352AE6"/>
    <w:rsid w:val="00352B13"/>
    <w:rsid w:val="00352C0C"/>
    <w:rsid w:val="00352C5B"/>
    <w:rsid w:val="00352ED6"/>
    <w:rsid w:val="0035311E"/>
    <w:rsid w:val="00353701"/>
    <w:rsid w:val="00353734"/>
    <w:rsid w:val="003538BD"/>
    <w:rsid w:val="003538D0"/>
    <w:rsid w:val="00353D52"/>
    <w:rsid w:val="00353D91"/>
    <w:rsid w:val="00353E3F"/>
    <w:rsid w:val="00353F24"/>
    <w:rsid w:val="00353FF0"/>
    <w:rsid w:val="00354014"/>
    <w:rsid w:val="003540BE"/>
    <w:rsid w:val="00354282"/>
    <w:rsid w:val="0035475F"/>
    <w:rsid w:val="003547CA"/>
    <w:rsid w:val="00354A62"/>
    <w:rsid w:val="00354D66"/>
    <w:rsid w:val="00354EB2"/>
    <w:rsid w:val="00355057"/>
    <w:rsid w:val="003554E0"/>
    <w:rsid w:val="00355960"/>
    <w:rsid w:val="00355BDE"/>
    <w:rsid w:val="003565BD"/>
    <w:rsid w:val="0035677A"/>
    <w:rsid w:val="00356A69"/>
    <w:rsid w:val="00356AB2"/>
    <w:rsid w:val="00356B23"/>
    <w:rsid w:val="00356BEB"/>
    <w:rsid w:val="00357127"/>
    <w:rsid w:val="003572D3"/>
    <w:rsid w:val="003574CA"/>
    <w:rsid w:val="00357D5E"/>
    <w:rsid w:val="003601A6"/>
    <w:rsid w:val="00360317"/>
    <w:rsid w:val="003603C1"/>
    <w:rsid w:val="00360654"/>
    <w:rsid w:val="00360893"/>
    <w:rsid w:val="00360FB4"/>
    <w:rsid w:val="003612D1"/>
    <w:rsid w:val="0036143B"/>
    <w:rsid w:val="003615C0"/>
    <w:rsid w:val="003616D0"/>
    <w:rsid w:val="003618CD"/>
    <w:rsid w:val="003618DB"/>
    <w:rsid w:val="00361965"/>
    <w:rsid w:val="00361E9A"/>
    <w:rsid w:val="003624A7"/>
    <w:rsid w:val="0036278E"/>
    <w:rsid w:val="003628E8"/>
    <w:rsid w:val="00362E28"/>
    <w:rsid w:val="003631F3"/>
    <w:rsid w:val="00363510"/>
    <w:rsid w:val="0036384C"/>
    <w:rsid w:val="00363BE0"/>
    <w:rsid w:val="00363CD4"/>
    <w:rsid w:val="00363CEA"/>
    <w:rsid w:val="00363D48"/>
    <w:rsid w:val="00363FD5"/>
    <w:rsid w:val="0036431B"/>
    <w:rsid w:val="00364435"/>
    <w:rsid w:val="00364461"/>
    <w:rsid w:val="0036474C"/>
    <w:rsid w:val="003649C9"/>
    <w:rsid w:val="00364CAF"/>
    <w:rsid w:val="00365241"/>
    <w:rsid w:val="00365517"/>
    <w:rsid w:val="003655D0"/>
    <w:rsid w:val="0036574A"/>
    <w:rsid w:val="00365754"/>
    <w:rsid w:val="00365763"/>
    <w:rsid w:val="0036589F"/>
    <w:rsid w:val="00365C4A"/>
    <w:rsid w:val="003660EE"/>
    <w:rsid w:val="00366343"/>
    <w:rsid w:val="00366585"/>
    <w:rsid w:val="0036688E"/>
    <w:rsid w:val="0036689E"/>
    <w:rsid w:val="003668B7"/>
    <w:rsid w:val="003669F8"/>
    <w:rsid w:val="00366E9E"/>
    <w:rsid w:val="003672EF"/>
    <w:rsid w:val="00367542"/>
    <w:rsid w:val="003676D1"/>
    <w:rsid w:val="003678D2"/>
    <w:rsid w:val="00367966"/>
    <w:rsid w:val="00367A1E"/>
    <w:rsid w:val="00367B83"/>
    <w:rsid w:val="00367CB3"/>
    <w:rsid w:val="0037013B"/>
    <w:rsid w:val="0037052B"/>
    <w:rsid w:val="00370B0C"/>
    <w:rsid w:val="00371455"/>
    <w:rsid w:val="00371511"/>
    <w:rsid w:val="00371DEB"/>
    <w:rsid w:val="00371E61"/>
    <w:rsid w:val="00371F66"/>
    <w:rsid w:val="00372182"/>
    <w:rsid w:val="00372275"/>
    <w:rsid w:val="0037273B"/>
    <w:rsid w:val="00372EA3"/>
    <w:rsid w:val="003733AD"/>
    <w:rsid w:val="003733BA"/>
    <w:rsid w:val="00373558"/>
    <w:rsid w:val="00373718"/>
    <w:rsid w:val="00373AC6"/>
    <w:rsid w:val="003745C4"/>
    <w:rsid w:val="0037465C"/>
    <w:rsid w:val="00374792"/>
    <w:rsid w:val="003747A2"/>
    <w:rsid w:val="00374999"/>
    <w:rsid w:val="00374B79"/>
    <w:rsid w:val="00375A5B"/>
    <w:rsid w:val="003762A2"/>
    <w:rsid w:val="0037649D"/>
    <w:rsid w:val="00376758"/>
    <w:rsid w:val="003769CA"/>
    <w:rsid w:val="00376BF0"/>
    <w:rsid w:val="00376EE5"/>
    <w:rsid w:val="0037714B"/>
    <w:rsid w:val="003772B4"/>
    <w:rsid w:val="003772B6"/>
    <w:rsid w:val="003773BC"/>
    <w:rsid w:val="00377869"/>
    <w:rsid w:val="003778E8"/>
    <w:rsid w:val="003779F3"/>
    <w:rsid w:val="00377F9D"/>
    <w:rsid w:val="00377FC6"/>
    <w:rsid w:val="0037E3AF"/>
    <w:rsid w:val="003802E0"/>
    <w:rsid w:val="003803D1"/>
    <w:rsid w:val="003804E3"/>
    <w:rsid w:val="00380A35"/>
    <w:rsid w:val="00380B29"/>
    <w:rsid w:val="00380CCE"/>
    <w:rsid w:val="00380EBF"/>
    <w:rsid w:val="003810D7"/>
    <w:rsid w:val="0038167B"/>
    <w:rsid w:val="00381716"/>
    <w:rsid w:val="00381EFD"/>
    <w:rsid w:val="003826A5"/>
    <w:rsid w:val="00382A37"/>
    <w:rsid w:val="00382B5E"/>
    <w:rsid w:val="00383010"/>
    <w:rsid w:val="0038302D"/>
    <w:rsid w:val="00383148"/>
    <w:rsid w:val="003837A1"/>
    <w:rsid w:val="00383AFA"/>
    <w:rsid w:val="00383BC7"/>
    <w:rsid w:val="00383CCE"/>
    <w:rsid w:val="00383DDC"/>
    <w:rsid w:val="00383FAB"/>
    <w:rsid w:val="003841A3"/>
    <w:rsid w:val="00384473"/>
    <w:rsid w:val="00384698"/>
    <w:rsid w:val="00384764"/>
    <w:rsid w:val="00384862"/>
    <w:rsid w:val="003849C4"/>
    <w:rsid w:val="00384A38"/>
    <w:rsid w:val="00384F27"/>
    <w:rsid w:val="00384FC4"/>
    <w:rsid w:val="00384FF5"/>
    <w:rsid w:val="0038538E"/>
    <w:rsid w:val="003856A4"/>
    <w:rsid w:val="0038573C"/>
    <w:rsid w:val="00385771"/>
    <w:rsid w:val="00385798"/>
    <w:rsid w:val="003857CB"/>
    <w:rsid w:val="00385859"/>
    <w:rsid w:val="003858A6"/>
    <w:rsid w:val="00385936"/>
    <w:rsid w:val="00385AA0"/>
    <w:rsid w:val="00385B7B"/>
    <w:rsid w:val="00385DCF"/>
    <w:rsid w:val="00385F45"/>
    <w:rsid w:val="00385FC2"/>
    <w:rsid w:val="00385FFB"/>
    <w:rsid w:val="00386038"/>
    <w:rsid w:val="00386296"/>
    <w:rsid w:val="003863B1"/>
    <w:rsid w:val="00386648"/>
    <w:rsid w:val="00386823"/>
    <w:rsid w:val="00386961"/>
    <w:rsid w:val="00386ACB"/>
    <w:rsid w:val="00386E56"/>
    <w:rsid w:val="00386F0A"/>
    <w:rsid w:val="00386F88"/>
    <w:rsid w:val="003870B6"/>
    <w:rsid w:val="00387827"/>
    <w:rsid w:val="003878A7"/>
    <w:rsid w:val="00387B26"/>
    <w:rsid w:val="00387BC0"/>
    <w:rsid w:val="00387C0F"/>
    <w:rsid w:val="00387CE9"/>
    <w:rsid w:val="00387D1E"/>
    <w:rsid w:val="00387F06"/>
    <w:rsid w:val="00390128"/>
    <w:rsid w:val="003901F2"/>
    <w:rsid w:val="0039048A"/>
    <w:rsid w:val="003906E4"/>
    <w:rsid w:val="003909EB"/>
    <w:rsid w:val="00390F20"/>
    <w:rsid w:val="003910BD"/>
    <w:rsid w:val="0039155F"/>
    <w:rsid w:val="00391576"/>
    <w:rsid w:val="00391600"/>
    <w:rsid w:val="00391760"/>
    <w:rsid w:val="00391835"/>
    <w:rsid w:val="003919AF"/>
    <w:rsid w:val="00391A29"/>
    <w:rsid w:val="00391D80"/>
    <w:rsid w:val="003922DF"/>
    <w:rsid w:val="003923E3"/>
    <w:rsid w:val="00392639"/>
    <w:rsid w:val="0039289B"/>
    <w:rsid w:val="003929B6"/>
    <w:rsid w:val="00392D65"/>
    <w:rsid w:val="00392D94"/>
    <w:rsid w:val="00392E4B"/>
    <w:rsid w:val="00392F03"/>
    <w:rsid w:val="00392F28"/>
    <w:rsid w:val="0039320F"/>
    <w:rsid w:val="003935ED"/>
    <w:rsid w:val="00393730"/>
    <w:rsid w:val="00393A1D"/>
    <w:rsid w:val="00394022"/>
    <w:rsid w:val="003942C3"/>
    <w:rsid w:val="003946E4"/>
    <w:rsid w:val="00394789"/>
    <w:rsid w:val="003949D6"/>
    <w:rsid w:val="003949DB"/>
    <w:rsid w:val="00394B2C"/>
    <w:rsid w:val="00395607"/>
    <w:rsid w:val="00395AF4"/>
    <w:rsid w:val="00395DCF"/>
    <w:rsid w:val="00395FAB"/>
    <w:rsid w:val="003961DA"/>
    <w:rsid w:val="003962CE"/>
    <w:rsid w:val="00396966"/>
    <w:rsid w:val="00396DB1"/>
    <w:rsid w:val="00396F29"/>
    <w:rsid w:val="00396FA0"/>
    <w:rsid w:val="00397602"/>
    <w:rsid w:val="003A0092"/>
    <w:rsid w:val="003A0617"/>
    <w:rsid w:val="003A09CA"/>
    <w:rsid w:val="003A0B9C"/>
    <w:rsid w:val="003A0C27"/>
    <w:rsid w:val="003A0C92"/>
    <w:rsid w:val="003A103E"/>
    <w:rsid w:val="003A139D"/>
    <w:rsid w:val="003A1A7E"/>
    <w:rsid w:val="003A1AC0"/>
    <w:rsid w:val="003A1BB2"/>
    <w:rsid w:val="003A21A4"/>
    <w:rsid w:val="003A271F"/>
    <w:rsid w:val="003A2819"/>
    <w:rsid w:val="003A2899"/>
    <w:rsid w:val="003A2A7E"/>
    <w:rsid w:val="003A2E55"/>
    <w:rsid w:val="003A2FA7"/>
    <w:rsid w:val="003A32A2"/>
    <w:rsid w:val="003A333D"/>
    <w:rsid w:val="003A3963"/>
    <w:rsid w:val="003A39B3"/>
    <w:rsid w:val="003A39BE"/>
    <w:rsid w:val="003A47AB"/>
    <w:rsid w:val="003A49D5"/>
    <w:rsid w:val="003A4A93"/>
    <w:rsid w:val="003A4FD1"/>
    <w:rsid w:val="003A54F3"/>
    <w:rsid w:val="003A5734"/>
    <w:rsid w:val="003A5B58"/>
    <w:rsid w:val="003A5E82"/>
    <w:rsid w:val="003A6046"/>
    <w:rsid w:val="003A605E"/>
    <w:rsid w:val="003A6145"/>
    <w:rsid w:val="003A6171"/>
    <w:rsid w:val="003A680A"/>
    <w:rsid w:val="003A683A"/>
    <w:rsid w:val="003A6CF3"/>
    <w:rsid w:val="003A6D48"/>
    <w:rsid w:val="003A73A8"/>
    <w:rsid w:val="003A757A"/>
    <w:rsid w:val="003A79C3"/>
    <w:rsid w:val="003A7D24"/>
    <w:rsid w:val="003A7F3A"/>
    <w:rsid w:val="003A7F86"/>
    <w:rsid w:val="003B02A5"/>
    <w:rsid w:val="003B0657"/>
    <w:rsid w:val="003B07D3"/>
    <w:rsid w:val="003B08E5"/>
    <w:rsid w:val="003B0E9B"/>
    <w:rsid w:val="003B0F32"/>
    <w:rsid w:val="003B102C"/>
    <w:rsid w:val="003B11A0"/>
    <w:rsid w:val="003B1563"/>
    <w:rsid w:val="003B16B3"/>
    <w:rsid w:val="003B16C2"/>
    <w:rsid w:val="003B1765"/>
    <w:rsid w:val="003B1893"/>
    <w:rsid w:val="003B1970"/>
    <w:rsid w:val="003B1F31"/>
    <w:rsid w:val="003B24D3"/>
    <w:rsid w:val="003B25DD"/>
    <w:rsid w:val="003B2E15"/>
    <w:rsid w:val="003B2F6C"/>
    <w:rsid w:val="003B30EC"/>
    <w:rsid w:val="003B3415"/>
    <w:rsid w:val="003B380D"/>
    <w:rsid w:val="003B3A4C"/>
    <w:rsid w:val="003B3B0A"/>
    <w:rsid w:val="003B402B"/>
    <w:rsid w:val="003B40A8"/>
    <w:rsid w:val="003B44C5"/>
    <w:rsid w:val="003B44F2"/>
    <w:rsid w:val="003B4549"/>
    <w:rsid w:val="003B4AA5"/>
    <w:rsid w:val="003B4B84"/>
    <w:rsid w:val="003B5068"/>
    <w:rsid w:val="003B538F"/>
    <w:rsid w:val="003B5D08"/>
    <w:rsid w:val="003B5EC7"/>
    <w:rsid w:val="003B5FCF"/>
    <w:rsid w:val="003B5FF8"/>
    <w:rsid w:val="003B603E"/>
    <w:rsid w:val="003B6180"/>
    <w:rsid w:val="003B63E1"/>
    <w:rsid w:val="003B6428"/>
    <w:rsid w:val="003B64B1"/>
    <w:rsid w:val="003B6741"/>
    <w:rsid w:val="003B6C96"/>
    <w:rsid w:val="003B6D14"/>
    <w:rsid w:val="003B7084"/>
    <w:rsid w:val="003B74D7"/>
    <w:rsid w:val="003B7AE9"/>
    <w:rsid w:val="003B7F98"/>
    <w:rsid w:val="003C034E"/>
    <w:rsid w:val="003C03A0"/>
    <w:rsid w:val="003C03DF"/>
    <w:rsid w:val="003C05C9"/>
    <w:rsid w:val="003C08DB"/>
    <w:rsid w:val="003C0A3F"/>
    <w:rsid w:val="003C0B8B"/>
    <w:rsid w:val="003C0BF0"/>
    <w:rsid w:val="003C0C7F"/>
    <w:rsid w:val="003C0DCD"/>
    <w:rsid w:val="003C0E17"/>
    <w:rsid w:val="003C1059"/>
    <w:rsid w:val="003C1063"/>
    <w:rsid w:val="003C14E0"/>
    <w:rsid w:val="003C1921"/>
    <w:rsid w:val="003C1B75"/>
    <w:rsid w:val="003C211C"/>
    <w:rsid w:val="003C22C1"/>
    <w:rsid w:val="003C2555"/>
    <w:rsid w:val="003C27A1"/>
    <w:rsid w:val="003C288D"/>
    <w:rsid w:val="003C2D44"/>
    <w:rsid w:val="003C2DA2"/>
    <w:rsid w:val="003C3146"/>
    <w:rsid w:val="003C35A3"/>
    <w:rsid w:val="003C3608"/>
    <w:rsid w:val="003C381E"/>
    <w:rsid w:val="003C40A9"/>
    <w:rsid w:val="003C42F4"/>
    <w:rsid w:val="003C4462"/>
    <w:rsid w:val="003C4B34"/>
    <w:rsid w:val="003C4C1E"/>
    <w:rsid w:val="003C4F7F"/>
    <w:rsid w:val="003C50BD"/>
    <w:rsid w:val="003C523A"/>
    <w:rsid w:val="003C59A1"/>
    <w:rsid w:val="003C59CB"/>
    <w:rsid w:val="003C5B0C"/>
    <w:rsid w:val="003C649B"/>
    <w:rsid w:val="003C679C"/>
    <w:rsid w:val="003C6830"/>
    <w:rsid w:val="003C6845"/>
    <w:rsid w:val="003C6905"/>
    <w:rsid w:val="003C6A1C"/>
    <w:rsid w:val="003C6C1C"/>
    <w:rsid w:val="003C6D64"/>
    <w:rsid w:val="003C6E87"/>
    <w:rsid w:val="003C732D"/>
    <w:rsid w:val="003C73AA"/>
    <w:rsid w:val="003C74F0"/>
    <w:rsid w:val="003C7AD1"/>
    <w:rsid w:val="003C7E87"/>
    <w:rsid w:val="003C7F37"/>
    <w:rsid w:val="003D003A"/>
    <w:rsid w:val="003D0B74"/>
    <w:rsid w:val="003D0C23"/>
    <w:rsid w:val="003D0DCE"/>
    <w:rsid w:val="003D0E4D"/>
    <w:rsid w:val="003D0EF8"/>
    <w:rsid w:val="003D13DA"/>
    <w:rsid w:val="003D19B9"/>
    <w:rsid w:val="003D1A61"/>
    <w:rsid w:val="003D1C39"/>
    <w:rsid w:val="003D1EE8"/>
    <w:rsid w:val="003D1F09"/>
    <w:rsid w:val="003D2586"/>
    <w:rsid w:val="003D2AB6"/>
    <w:rsid w:val="003D2D68"/>
    <w:rsid w:val="003D2FA4"/>
    <w:rsid w:val="003D2FDE"/>
    <w:rsid w:val="003D3229"/>
    <w:rsid w:val="003D3373"/>
    <w:rsid w:val="003D33F8"/>
    <w:rsid w:val="003D362F"/>
    <w:rsid w:val="003D39A0"/>
    <w:rsid w:val="003D3A81"/>
    <w:rsid w:val="003D3C6C"/>
    <w:rsid w:val="003D3EA7"/>
    <w:rsid w:val="003D4010"/>
    <w:rsid w:val="003D460A"/>
    <w:rsid w:val="003D49A7"/>
    <w:rsid w:val="003D4DC0"/>
    <w:rsid w:val="003D4FDA"/>
    <w:rsid w:val="003D5067"/>
    <w:rsid w:val="003D5073"/>
    <w:rsid w:val="003D51B6"/>
    <w:rsid w:val="003D51FD"/>
    <w:rsid w:val="003D57DE"/>
    <w:rsid w:val="003D59CF"/>
    <w:rsid w:val="003D5E71"/>
    <w:rsid w:val="003D5ED3"/>
    <w:rsid w:val="003D60CC"/>
    <w:rsid w:val="003D6157"/>
    <w:rsid w:val="003D6244"/>
    <w:rsid w:val="003D6291"/>
    <w:rsid w:val="003D656C"/>
    <w:rsid w:val="003D667F"/>
    <w:rsid w:val="003D6698"/>
    <w:rsid w:val="003D688F"/>
    <w:rsid w:val="003D6963"/>
    <w:rsid w:val="003D6C7D"/>
    <w:rsid w:val="003D6C9F"/>
    <w:rsid w:val="003D6EA6"/>
    <w:rsid w:val="003D6F87"/>
    <w:rsid w:val="003D70C6"/>
    <w:rsid w:val="003D7625"/>
    <w:rsid w:val="003D7643"/>
    <w:rsid w:val="003D79D3"/>
    <w:rsid w:val="003D7E75"/>
    <w:rsid w:val="003D7ED6"/>
    <w:rsid w:val="003E0110"/>
    <w:rsid w:val="003E01A4"/>
    <w:rsid w:val="003E0522"/>
    <w:rsid w:val="003E05B1"/>
    <w:rsid w:val="003E05F1"/>
    <w:rsid w:val="003E06FF"/>
    <w:rsid w:val="003E0A0E"/>
    <w:rsid w:val="003E0B11"/>
    <w:rsid w:val="003E0BEA"/>
    <w:rsid w:val="003E1B67"/>
    <w:rsid w:val="003E1C9E"/>
    <w:rsid w:val="003E2111"/>
    <w:rsid w:val="003E2122"/>
    <w:rsid w:val="003E2175"/>
    <w:rsid w:val="003E2323"/>
    <w:rsid w:val="003E25A4"/>
    <w:rsid w:val="003E28D7"/>
    <w:rsid w:val="003E292F"/>
    <w:rsid w:val="003E2A87"/>
    <w:rsid w:val="003E2CE8"/>
    <w:rsid w:val="003E2EC4"/>
    <w:rsid w:val="003E3529"/>
    <w:rsid w:val="003E3579"/>
    <w:rsid w:val="003E3701"/>
    <w:rsid w:val="003E3D60"/>
    <w:rsid w:val="003E3DAD"/>
    <w:rsid w:val="003E4295"/>
    <w:rsid w:val="003E443C"/>
    <w:rsid w:val="003E48CC"/>
    <w:rsid w:val="003E49F4"/>
    <w:rsid w:val="003E4EE4"/>
    <w:rsid w:val="003E5109"/>
    <w:rsid w:val="003E56A8"/>
    <w:rsid w:val="003E586F"/>
    <w:rsid w:val="003E588F"/>
    <w:rsid w:val="003E59A4"/>
    <w:rsid w:val="003E5A48"/>
    <w:rsid w:val="003E5C51"/>
    <w:rsid w:val="003E6089"/>
    <w:rsid w:val="003E69C6"/>
    <w:rsid w:val="003E6B9B"/>
    <w:rsid w:val="003E6C84"/>
    <w:rsid w:val="003E7293"/>
    <w:rsid w:val="003E7315"/>
    <w:rsid w:val="003E75A7"/>
    <w:rsid w:val="003E7977"/>
    <w:rsid w:val="003E7FCB"/>
    <w:rsid w:val="003F00FD"/>
    <w:rsid w:val="003F01D3"/>
    <w:rsid w:val="003F0339"/>
    <w:rsid w:val="003F0EF6"/>
    <w:rsid w:val="003F13D3"/>
    <w:rsid w:val="003F1B7F"/>
    <w:rsid w:val="003F1E1A"/>
    <w:rsid w:val="003F1EBD"/>
    <w:rsid w:val="003F206C"/>
    <w:rsid w:val="003F21CD"/>
    <w:rsid w:val="003F238D"/>
    <w:rsid w:val="003F270E"/>
    <w:rsid w:val="003F272B"/>
    <w:rsid w:val="003F2974"/>
    <w:rsid w:val="003F2993"/>
    <w:rsid w:val="003F2D51"/>
    <w:rsid w:val="003F36DB"/>
    <w:rsid w:val="003F3C28"/>
    <w:rsid w:val="003F3C5C"/>
    <w:rsid w:val="003F3E20"/>
    <w:rsid w:val="003F4024"/>
    <w:rsid w:val="003F40FF"/>
    <w:rsid w:val="003F41F7"/>
    <w:rsid w:val="003F4D2A"/>
    <w:rsid w:val="003F544A"/>
    <w:rsid w:val="003F58AE"/>
    <w:rsid w:val="003F5CC2"/>
    <w:rsid w:val="003F68F4"/>
    <w:rsid w:val="003F6B12"/>
    <w:rsid w:val="003F724F"/>
    <w:rsid w:val="003F73C7"/>
    <w:rsid w:val="003F73F8"/>
    <w:rsid w:val="003F790F"/>
    <w:rsid w:val="003F7A4E"/>
    <w:rsid w:val="003F7B96"/>
    <w:rsid w:val="003F7E7C"/>
    <w:rsid w:val="003F7E86"/>
    <w:rsid w:val="004000BB"/>
    <w:rsid w:val="00400379"/>
    <w:rsid w:val="00400567"/>
    <w:rsid w:val="00400B28"/>
    <w:rsid w:val="00400C41"/>
    <w:rsid w:val="00400D31"/>
    <w:rsid w:val="004011EA"/>
    <w:rsid w:val="0040143B"/>
    <w:rsid w:val="0040155A"/>
    <w:rsid w:val="00401A5A"/>
    <w:rsid w:val="00401AD9"/>
    <w:rsid w:val="00401AE4"/>
    <w:rsid w:val="00401BF5"/>
    <w:rsid w:val="00401CD1"/>
    <w:rsid w:val="004020BB"/>
    <w:rsid w:val="0040215A"/>
    <w:rsid w:val="00402407"/>
    <w:rsid w:val="00402647"/>
    <w:rsid w:val="00402BD1"/>
    <w:rsid w:val="00402D91"/>
    <w:rsid w:val="00402E86"/>
    <w:rsid w:val="00402FC3"/>
    <w:rsid w:val="004032D1"/>
    <w:rsid w:val="0040332B"/>
    <w:rsid w:val="00403726"/>
    <w:rsid w:val="0040393D"/>
    <w:rsid w:val="004045AC"/>
    <w:rsid w:val="004048D5"/>
    <w:rsid w:val="00404AD1"/>
    <w:rsid w:val="004052AF"/>
    <w:rsid w:val="0040541E"/>
    <w:rsid w:val="004058D3"/>
    <w:rsid w:val="00405B11"/>
    <w:rsid w:val="00405CEF"/>
    <w:rsid w:val="004065D2"/>
    <w:rsid w:val="00406BC6"/>
    <w:rsid w:val="00406C8A"/>
    <w:rsid w:val="00406DC9"/>
    <w:rsid w:val="00406E34"/>
    <w:rsid w:val="00406E67"/>
    <w:rsid w:val="00406EE7"/>
    <w:rsid w:val="00407324"/>
    <w:rsid w:val="0040743B"/>
    <w:rsid w:val="004074F4"/>
    <w:rsid w:val="00407697"/>
    <w:rsid w:val="00407713"/>
    <w:rsid w:val="00407968"/>
    <w:rsid w:val="00407AE0"/>
    <w:rsid w:val="00407B18"/>
    <w:rsid w:val="00407D58"/>
    <w:rsid w:val="00407E87"/>
    <w:rsid w:val="004101E0"/>
    <w:rsid w:val="00410335"/>
    <w:rsid w:val="004103E7"/>
    <w:rsid w:val="004104D3"/>
    <w:rsid w:val="00410E5C"/>
    <w:rsid w:val="00410F38"/>
    <w:rsid w:val="00411173"/>
    <w:rsid w:val="00411354"/>
    <w:rsid w:val="004115F5"/>
    <w:rsid w:val="004117C5"/>
    <w:rsid w:val="00411B5E"/>
    <w:rsid w:val="00411BDD"/>
    <w:rsid w:val="00411DBF"/>
    <w:rsid w:val="0041220F"/>
    <w:rsid w:val="00412421"/>
    <w:rsid w:val="004125CE"/>
    <w:rsid w:val="00412A13"/>
    <w:rsid w:val="00412CCA"/>
    <w:rsid w:val="00412F4B"/>
    <w:rsid w:val="0041339C"/>
    <w:rsid w:val="004134A3"/>
    <w:rsid w:val="004134FD"/>
    <w:rsid w:val="004139AA"/>
    <w:rsid w:val="00413AD3"/>
    <w:rsid w:val="00413DE6"/>
    <w:rsid w:val="0041437B"/>
    <w:rsid w:val="004143CF"/>
    <w:rsid w:val="004143E5"/>
    <w:rsid w:val="00414440"/>
    <w:rsid w:val="004144D9"/>
    <w:rsid w:val="00414785"/>
    <w:rsid w:val="00414A20"/>
    <w:rsid w:val="00414BE3"/>
    <w:rsid w:val="00414F90"/>
    <w:rsid w:val="0041563B"/>
    <w:rsid w:val="00415760"/>
    <w:rsid w:val="00415857"/>
    <w:rsid w:val="00416000"/>
    <w:rsid w:val="0041640A"/>
    <w:rsid w:val="00416488"/>
    <w:rsid w:val="004164FA"/>
    <w:rsid w:val="004165F7"/>
    <w:rsid w:val="00416AA0"/>
    <w:rsid w:val="00416B91"/>
    <w:rsid w:val="00416D0B"/>
    <w:rsid w:val="00416D8F"/>
    <w:rsid w:val="00416E3C"/>
    <w:rsid w:val="00417137"/>
    <w:rsid w:val="004172CC"/>
    <w:rsid w:val="00417379"/>
    <w:rsid w:val="004175DE"/>
    <w:rsid w:val="00417721"/>
    <w:rsid w:val="0041784A"/>
    <w:rsid w:val="004178BB"/>
    <w:rsid w:val="00417B44"/>
    <w:rsid w:val="00417C10"/>
    <w:rsid w:val="00417D79"/>
    <w:rsid w:val="00417E89"/>
    <w:rsid w:val="00417EA6"/>
    <w:rsid w:val="00417EFC"/>
    <w:rsid w:val="004201B6"/>
    <w:rsid w:val="0042022F"/>
    <w:rsid w:val="00420847"/>
    <w:rsid w:val="00420C67"/>
    <w:rsid w:val="00420D6E"/>
    <w:rsid w:val="00420E3F"/>
    <w:rsid w:val="00421345"/>
    <w:rsid w:val="00421CD3"/>
    <w:rsid w:val="00421F45"/>
    <w:rsid w:val="00422115"/>
    <w:rsid w:val="004222B5"/>
    <w:rsid w:val="0042284F"/>
    <w:rsid w:val="00422A51"/>
    <w:rsid w:val="00422A6B"/>
    <w:rsid w:val="00422A79"/>
    <w:rsid w:val="00422D19"/>
    <w:rsid w:val="004230FB"/>
    <w:rsid w:val="004231E1"/>
    <w:rsid w:val="004231EC"/>
    <w:rsid w:val="00423348"/>
    <w:rsid w:val="004234C9"/>
    <w:rsid w:val="004234EA"/>
    <w:rsid w:val="004237EA"/>
    <w:rsid w:val="0042390C"/>
    <w:rsid w:val="00423A85"/>
    <w:rsid w:val="00423ABA"/>
    <w:rsid w:val="00423AD5"/>
    <w:rsid w:val="00423D8B"/>
    <w:rsid w:val="00424073"/>
    <w:rsid w:val="00424083"/>
    <w:rsid w:val="004240D9"/>
    <w:rsid w:val="004240E7"/>
    <w:rsid w:val="00424415"/>
    <w:rsid w:val="00424912"/>
    <w:rsid w:val="00424CDA"/>
    <w:rsid w:val="00424DB2"/>
    <w:rsid w:val="004250BA"/>
    <w:rsid w:val="0042557F"/>
    <w:rsid w:val="00425913"/>
    <w:rsid w:val="00426022"/>
    <w:rsid w:val="00426253"/>
    <w:rsid w:val="00426523"/>
    <w:rsid w:val="00426599"/>
    <w:rsid w:val="0042662F"/>
    <w:rsid w:val="004268F9"/>
    <w:rsid w:val="00426990"/>
    <w:rsid w:val="00426FEA"/>
    <w:rsid w:val="004277CE"/>
    <w:rsid w:val="00427A6A"/>
    <w:rsid w:val="00427C9C"/>
    <w:rsid w:val="00427E10"/>
    <w:rsid w:val="00427E88"/>
    <w:rsid w:val="004305AC"/>
    <w:rsid w:val="00430820"/>
    <w:rsid w:val="00430854"/>
    <w:rsid w:val="00430FD1"/>
    <w:rsid w:val="0043100D"/>
    <w:rsid w:val="0043159D"/>
    <w:rsid w:val="00431FD0"/>
    <w:rsid w:val="004321DC"/>
    <w:rsid w:val="0043229C"/>
    <w:rsid w:val="00432604"/>
    <w:rsid w:val="00432619"/>
    <w:rsid w:val="0043278E"/>
    <w:rsid w:val="004327C8"/>
    <w:rsid w:val="00432801"/>
    <w:rsid w:val="004328A1"/>
    <w:rsid w:val="004328A5"/>
    <w:rsid w:val="00432A1A"/>
    <w:rsid w:val="00432AFD"/>
    <w:rsid w:val="00433230"/>
    <w:rsid w:val="0043349F"/>
    <w:rsid w:val="00433596"/>
    <w:rsid w:val="0043390E"/>
    <w:rsid w:val="004339AE"/>
    <w:rsid w:val="00433CCD"/>
    <w:rsid w:val="00433F07"/>
    <w:rsid w:val="00433F16"/>
    <w:rsid w:val="0043400C"/>
    <w:rsid w:val="004341A0"/>
    <w:rsid w:val="004342CA"/>
    <w:rsid w:val="00434898"/>
    <w:rsid w:val="00434A35"/>
    <w:rsid w:val="00434B70"/>
    <w:rsid w:val="00434D44"/>
    <w:rsid w:val="00435030"/>
    <w:rsid w:val="0043537A"/>
    <w:rsid w:val="00435646"/>
    <w:rsid w:val="00435670"/>
    <w:rsid w:val="00435695"/>
    <w:rsid w:val="004356F4"/>
    <w:rsid w:val="00435722"/>
    <w:rsid w:val="00435760"/>
    <w:rsid w:val="004358FB"/>
    <w:rsid w:val="00435B4F"/>
    <w:rsid w:val="00435C72"/>
    <w:rsid w:val="00435CF1"/>
    <w:rsid w:val="00436316"/>
    <w:rsid w:val="004364FA"/>
    <w:rsid w:val="004365B8"/>
    <w:rsid w:val="00436737"/>
    <w:rsid w:val="0043679C"/>
    <w:rsid w:val="004367D4"/>
    <w:rsid w:val="0043685E"/>
    <w:rsid w:val="00436CBC"/>
    <w:rsid w:val="00436F38"/>
    <w:rsid w:val="0043727C"/>
    <w:rsid w:val="0043739E"/>
    <w:rsid w:val="00437557"/>
    <w:rsid w:val="004375C0"/>
    <w:rsid w:val="00437788"/>
    <w:rsid w:val="00437A2E"/>
    <w:rsid w:val="00437A92"/>
    <w:rsid w:val="00437C2B"/>
    <w:rsid w:val="00437F10"/>
    <w:rsid w:val="0044013E"/>
    <w:rsid w:val="0044014E"/>
    <w:rsid w:val="004404DF"/>
    <w:rsid w:val="004408C5"/>
    <w:rsid w:val="00440D91"/>
    <w:rsid w:val="00440EEC"/>
    <w:rsid w:val="00440F50"/>
    <w:rsid w:val="004414AD"/>
    <w:rsid w:val="00441A63"/>
    <w:rsid w:val="00441C38"/>
    <w:rsid w:val="00441C8F"/>
    <w:rsid w:val="00441F4B"/>
    <w:rsid w:val="00442DF7"/>
    <w:rsid w:val="00443051"/>
    <w:rsid w:val="004430E0"/>
    <w:rsid w:val="00443401"/>
    <w:rsid w:val="004434CB"/>
    <w:rsid w:val="00443951"/>
    <w:rsid w:val="00443ED3"/>
    <w:rsid w:val="00443EED"/>
    <w:rsid w:val="00443F0C"/>
    <w:rsid w:val="00443FAC"/>
    <w:rsid w:val="0044409C"/>
    <w:rsid w:val="00444160"/>
    <w:rsid w:val="004442A7"/>
    <w:rsid w:val="004446F0"/>
    <w:rsid w:val="004449C1"/>
    <w:rsid w:val="00444AC9"/>
    <w:rsid w:val="00444B7C"/>
    <w:rsid w:val="00444BA9"/>
    <w:rsid w:val="00444EE8"/>
    <w:rsid w:val="00444FA3"/>
    <w:rsid w:val="00445052"/>
    <w:rsid w:val="00445292"/>
    <w:rsid w:val="004452E4"/>
    <w:rsid w:val="004452EC"/>
    <w:rsid w:val="0044533B"/>
    <w:rsid w:val="004454C5"/>
    <w:rsid w:val="0044554F"/>
    <w:rsid w:val="00445574"/>
    <w:rsid w:val="004455B2"/>
    <w:rsid w:val="00445B54"/>
    <w:rsid w:val="00445FB8"/>
    <w:rsid w:val="00446038"/>
    <w:rsid w:val="0044615A"/>
    <w:rsid w:val="00446251"/>
    <w:rsid w:val="004463A5"/>
    <w:rsid w:val="00446464"/>
    <w:rsid w:val="004466F4"/>
    <w:rsid w:val="00446C2E"/>
    <w:rsid w:val="00446CB8"/>
    <w:rsid w:val="00446FA4"/>
    <w:rsid w:val="00447018"/>
    <w:rsid w:val="00447163"/>
    <w:rsid w:val="00447241"/>
    <w:rsid w:val="00447879"/>
    <w:rsid w:val="00447E87"/>
    <w:rsid w:val="00447F13"/>
    <w:rsid w:val="004500DD"/>
    <w:rsid w:val="004502E5"/>
    <w:rsid w:val="004504BC"/>
    <w:rsid w:val="00450E55"/>
    <w:rsid w:val="00450E69"/>
    <w:rsid w:val="00451294"/>
    <w:rsid w:val="00451458"/>
    <w:rsid w:val="0045177A"/>
    <w:rsid w:val="00451F3E"/>
    <w:rsid w:val="0045215A"/>
    <w:rsid w:val="0045242E"/>
    <w:rsid w:val="004524D0"/>
    <w:rsid w:val="00452C23"/>
    <w:rsid w:val="00452E56"/>
    <w:rsid w:val="00453450"/>
    <w:rsid w:val="004535A1"/>
    <w:rsid w:val="00453BAA"/>
    <w:rsid w:val="0045427F"/>
    <w:rsid w:val="0045436B"/>
    <w:rsid w:val="00454686"/>
    <w:rsid w:val="004547DE"/>
    <w:rsid w:val="004548F3"/>
    <w:rsid w:val="004549C7"/>
    <w:rsid w:val="00454C17"/>
    <w:rsid w:val="00455182"/>
    <w:rsid w:val="004551E5"/>
    <w:rsid w:val="0045535F"/>
    <w:rsid w:val="00455588"/>
    <w:rsid w:val="0045601A"/>
    <w:rsid w:val="004561B9"/>
    <w:rsid w:val="004561CF"/>
    <w:rsid w:val="00456295"/>
    <w:rsid w:val="00456439"/>
    <w:rsid w:val="004565DE"/>
    <w:rsid w:val="0045696D"/>
    <w:rsid w:val="00456AD6"/>
    <w:rsid w:val="00456B2E"/>
    <w:rsid w:val="00456BE9"/>
    <w:rsid w:val="00456F9B"/>
    <w:rsid w:val="00457252"/>
    <w:rsid w:val="004572BA"/>
    <w:rsid w:val="00457356"/>
    <w:rsid w:val="00457506"/>
    <w:rsid w:val="00457AAE"/>
    <w:rsid w:val="00457C69"/>
    <w:rsid w:val="00457CD2"/>
    <w:rsid w:val="00460419"/>
    <w:rsid w:val="0046045D"/>
    <w:rsid w:val="00460754"/>
    <w:rsid w:val="00460A2B"/>
    <w:rsid w:val="00460A81"/>
    <w:rsid w:val="00460A9C"/>
    <w:rsid w:val="00460CE2"/>
    <w:rsid w:val="00460D3D"/>
    <w:rsid w:val="00460E92"/>
    <w:rsid w:val="0046119F"/>
    <w:rsid w:val="0046125F"/>
    <w:rsid w:val="0046151D"/>
    <w:rsid w:val="004615F8"/>
    <w:rsid w:val="004618B2"/>
    <w:rsid w:val="00461A08"/>
    <w:rsid w:val="00461A91"/>
    <w:rsid w:val="00461D2E"/>
    <w:rsid w:val="00461DB7"/>
    <w:rsid w:val="00462194"/>
    <w:rsid w:val="004621AB"/>
    <w:rsid w:val="004623C3"/>
    <w:rsid w:val="004626B4"/>
    <w:rsid w:val="004627E6"/>
    <w:rsid w:val="00462B1C"/>
    <w:rsid w:val="00462C22"/>
    <w:rsid w:val="00462C3F"/>
    <w:rsid w:val="00462EA7"/>
    <w:rsid w:val="00462FC2"/>
    <w:rsid w:val="00462FF4"/>
    <w:rsid w:val="0046323E"/>
    <w:rsid w:val="0046333A"/>
    <w:rsid w:val="0046359B"/>
    <w:rsid w:val="00463970"/>
    <w:rsid w:val="004639C8"/>
    <w:rsid w:val="00463B12"/>
    <w:rsid w:val="00463BB6"/>
    <w:rsid w:val="00463D89"/>
    <w:rsid w:val="00463E77"/>
    <w:rsid w:val="00463ED2"/>
    <w:rsid w:val="004641D9"/>
    <w:rsid w:val="0046441F"/>
    <w:rsid w:val="00464463"/>
    <w:rsid w:val="004648EE"/>
    <w:rsid w:val="00465215"/>
    <w:rsid w:val="00465405"/>
    <w:rsid w:val="00465939"/>
    <w:rsid w:val="00465DCD"/>
    <w:rsid w:val="004664AC"/>
    <w:rsid w:val="00466708"/>
    <w:rsid w:val="00466872"/>
    <w:rsid w:val="0046706B"/>
    <w:rsid w:val="0046731B"/>
    <w:rsid w:val="0046778A"/>
    <w:rsid w:val="00467A3C"/>
    <w:rsid w:val="00467CAE"/>
    <w:rsid w:val="00467FF9"/>
    <w:rsid w:val="00470038"/>
    <w:rsid w:val="00470263"/>
    <w:rsid w:val="0047049F"/>
    <w:rsid w:val="0047052A"/>
    <w:rsid w:val="00470543"/>
    <w:rsid w:val="0047097E"/>
    <w:rsid w:val="00470C18"/>
    <w:rsid w:val="004710FB"/>
    <w:rsid w:val="0047133C"/>
    <w:rsid w:val="00471A9C"/>
    <w:rsid w:val="00471B2D"/>
    <w:rsid w:val="00471B7C"/>
    <w:rsid w:val="00471C67"/>
    <w:rsid w:val="00472146"/>
    <w:rsid w:val="004725D7"/>
    <w:rsid w:val="00472618"/>
    <w:rsid w:val="0047276C"/>
    <w:rsid w:val="00472ACA"/>
    <w:rsid w:val="00472BE4"/>
    <w:rsid w:val="00472F05"/>
    <w:rsid w:val="00472F60"/>
    <w:rsid w:val="00473019"/>
    <w:rsid w:val="00473033"/>
    <w:rsid w:val="00473195"/>
    <w:rsid w:val="004731A4"/>
    <w:rsid w:val="004731B7"/>
    <w:rsid w:val="00473465"/>
    <w:rsid w:val="00473537"/>
    <w:rsid w:val="00473901"/>
    <w:rsid w:val="00473B6F"/>
    <w:rsid w:val="00473D39"/>
    <w:rsid w:val="00473DFD"/>
    <w:rsid w:val="00473EB6"/>
    <w:rsid w:val="00473F07"/>
    <w:rsid w:val="00473F08"/>
    <w:rsid w:val="004741FA"/>
    <w:rsid w:val="00474344"/>
    <w:rsid w:val="0047445C"/>
    <w:rsid w:val="00474721"/>
    <w:rsid w:val="004747D4"/>
    <w:rsid w:val="0047491C"/>
    <w:rsid w:val="00474B25"/>
    <w:rsid w:val="00474B94"/>
    <w:rsid w:val="00474CFE"/>
    <w:rsid w:val="00474E6E"/>
    <w:rsid w:val="00475007"/>
    <w:rsid w:val="00475071"/>
    <w:rsid w:val="0047526D"/>
    <w:rsid w:val="0047535F"/>
    <w:rsid w:val="00475913"/>
    <w:rsid w:val="00475926"/>
    <w:rsid w:val="0047595A"/>
    <w:rsid w:val="00475ED7"/>
    <w:rsid w:val="004765E0"/>
    <w:rsid w:val="004765F4"/>
    <w:rsid w:val="00476D5E"/>
    <w:rsid w:val="00476F2E"/>
    <w:rsid w:val="0047737C"/>
    <w:rsid w:val="00477436"/>
    <w:rsid w:val="00477849"/>
    <w:rsid w:val="00477BAE"/>
    <w:rsid w:val="00477C1F"/>
    <w:rsid w:val="00477E5C"/>
    <w:rsid w:val="00477E84"/>
    <w:rsid w:val="00477EA3"/>
    <w:rsid w:val="004803B7"/>
    <w:rsid w:val="004804EC"/>
    <w:rsid w:val="00480631"/>
    <w:rsid w:val="00480875"/>
    <w:rsid w:val="00480E00"/>
    <w:rsid w:val="00480E58"/>
    <w:rsid w:val="00481056"/>
    <w:rsid w:val="004810E9"/>
    <w:rsid w:val="0048118C"/>
    <w:rsid w:val="0048176E"/>
    <w:rsid w:val="00481A77"/>
    <w:rsid w:val="00481CEB"/>
    <w:rsid w:val="00481E76"/>
    <w:rsid w:val="00481F6C"/>
    <w:rsid w:val="00482137"/>
    <w:rsid w:val="004822E5"/>
    <w:rsid w:val="004824EA"/>
    <w:rsid w:val="004825F3"/>
    <w:rsid w:val="004826C7"/>
    <w:rsid w:val="0048271A"/>
    <w:rsid w:val="0048294B"/>
    <w:rsid w:val="00482DB7"/>
    <w:rsid w:val="004832A4"/>
    <w:rsid w:val="0048348E"/>
    <w:rsid w:val="004834BA"/>
    <w:rsid w:val="0048366F"/>
    <w:rsid w:val="00483B6F"/>
    <w:rsid w:val="0048452A"/>
    <w:rsid w:val="00484740"/>
    <w:rsid w:val="0048478F"/>
    <w:rsid w:val="004849A2"/>
    <w:rsid w:val="004849B4"/>
    <w:rsid w:val="00484A00"/>
    <w:rsid w:val="00484A6C"/>
    <w:rsid w:val="00484BEF"/>
    <w:rsid w:val="00484E0C"/>
    <w:rsid w:val="0048503F"/>
    <w:rsid w:val="00485268"/>
    <w:rsid w:val="0048534F"/>
    <w:rsid w:val="00485501"/>
    <w:rsid w:val="004855C3"/>
    <w:rsid w:val="004857F6"/>
    <w:rsid w:val="0048595C"/>
    <w:rsid w:val="004859E1"/>
    <w:rsid w:val="00485AD9"/>
    <w:rsid w:val="00485D4C"/>
    <w:rsid w:val="00486530"/>
    <w:rsid w:val="004865CB"/>
    <w:rsid w:val="00486BB9"/>
    <w:rsid w:val="00486CF9"/>
    <w:rsid w:val="00486D2C"/>
    <w:rsid w:val="00487156"/>
    <w:rsid w:val="00487317"/>
    <w:rsid w:val="00487349"/>
    <w:rsid w:val="004876EA"/>
    <w:rsid w:val="00487A52"/>
    <w:rsid w:val="00487D5C"/>
    <w:rsid w:val="00487DEE"/>
    <w:rsid w:val="004901CF"/>
    <w:rsid w:val="0049032E"/>
    <w:rsid w:val="0049054C"/>
    <w:rsid w:val="00490683"/>
    <w:rsid w:val="0049089C"/>
    <w:rsid w:val="00490CF7"/>
    <w:rsid w:val="0049110C"/>
    <w:rsid w:val="00491376"/>
    <w:rsid w:val="004914B6"/>
    <w:rsid w:val="004915D5"/>
    <w:rsid w:val="0049160C"/>
    <w:rsid w:val="004917A1"/>
    <w:rsid w:val="004917D3"/>
    <w:rsid w:val="00491935"/>
    <w:rsid w:val="00491A59"/>
    <w:rsid w:val="00491C56"/>
    <w:rsid w:val="00492215"/>
    <w:rsid w:val="00492548"/>
    <w:rsid w:val="0049262E"/>
    <w:rsid w:val="00492957"/>
    <w:rsid w:val="00492A76"/>
    <w:rsid w:val="00492CEE"/>
    <w:rsid w:val="00492E1C"/>
    <w:rsid w:val="00492F8A"/>
    <w:rsid w:val="004931ED"/>
    <w:rsid w:val="0049369E"/>
    <w:rsid w:val="00493850"/>
    <w:rsid w:val="00493897"/>
    <w:rsid w:val="0049402B"/>
    <w:rsid w:val="00494112"/>
    <w:rsid w:val="00494305"/>
    <w:rsid w:val="00494339"/>
    <w:rsid w:val="0049464D"/>
    <w:rsid w:val="00494E33"/>
    <w:rsid w:val="0049505F"/>
    <w:rsid w:val="004953DC"/>
    <w:rsid w:val="004955C2"/>
    <w:rsid w:val="004955CF"/>
    <w:rsid w:val="00495678"/>
    <w:rsid w:val="00495BD6"/>
    <w:rsid w:val="004977E0"/>
    <w:rsid w:val="004977E5"/>
    <w:rsid w:val="004979CB"/>
    <w:rsid w:val="00497D3C"/>
    <w:rsid w:val="00497D98"/>
    <w:rsid w:val="004A00F4"/>
    <w:rsid w:val="004A05FB"/>
    <w:rsid w:val="004A0667"/>
    <w:rsid w:val="004A0684"/>
    <w:rsid w:val="004A0749"/>
    <w:rsid w:val="004A08E3"/>
    <w:rsid w:val="004A0968"/>
    <w:rsid w:val="004A09BD"/>
    <w:rsid w:val="004A0A26"/>
    <w:rsid w:val="004A0EA7"/>
    <w:rsid w:val="004A10CE"/>
    <w:rsid w:val="004A1CB8"/>
    <w:rsid w:val="004A1DD6"/>
    <w:rsid w:val="004A1DE2"/>
    <w:rsid w:val="004A2049"/>
    <w:rsid w:val="004A22ED"/>
    <w:rsid w:val="004A2393"/>
    <w:rsid w:val="004A247E"/>
    <w:rsid w:val="004A2595"/>
    <w:rsid w:val="004A28EA"/>
    <w:rsid w:val="004A2953"/>
    <w:rsid w:val="004A2957"/>
    <w:rsid w:val="004A295E"/>
    <w:rsid w:val="004A2C0A"/>
    <w:rsid w:val="004A2EBA"/>
    <w:rsid w:val="004A3189"/>
    <w:rsid w:val="004A33A2"/>
    <w:rsid w:val="004A344A"/>
    <w:rsid w:val="004A3610"/>
    <w:rsid w:val="004A3726"/>
    <w:rsid w:val="004A37AA"/>
    <w:rsid w:val="004A38A8"/>
    <w:rsid w:val="004A39E6"/>
    <w:rsid w:val="004A3BDE"/>
    <w:rsid w:val="004A3C29"/>
    <w:rsid w:val="004A3D74"/>
    <w:rsid w:val="004A47CA"/>
    <w:rsid w:val="004A4842"/>
    <w:rsid w:val="004A4B67"/>
    <w:rsid w:val="004A4C2D"/>
    <w:rsid w:val="004A5169"/>
    <w:rsid w:val="004A5B62"/>
    <w:rsid w:val="004A5EF4"/>
    <w:rsid w:val="004A6E64"/>
    <w:rsid w:val="004A705F"/>
    <w:rsid w:val="004A7078"/>
    <w:rsid w:val="004A71D9"/>
    <w:rsid w:val="004A76BC"/>
    <w:rsid w:val="004A7776"/>
    <w:rsid w:val="004A79C1"/>
    <w:rsid w:val="004A7AE1"/>
    <w:rsid w:val="004B0101"/>
    <w:rsid w:val="004B07DD"/>
    <w:rsid w:val="004B084C"/>
    <w:rsid w:val="004B0B6A"/>
    <w:rsid w:val="004B0CA4"/>
    <w:rsid w:val="004B0D7B"/>
    <w:rsid w:val="004B1093"/>
    <w:rsid w:val="004B1447"/>
    <w:rsid w:val="004B14A2"/>
    <w:rsid w:val="004B1525"/>
    <w:rsid w:val="004B1B40"/>
    <w:rsid w:val="004B1D12"/>
    <w:rsid w:val="004B1ECE"/>
    <w:rsid w:val="004B20AD"/>
    <w:rsid w:val="004B28CB"/>
    <w:rsid w:val="004B31EF"/>
    <w:rsid w:val="004B378C"/>
    <w:rsid w:val="004B378D"/>
    <w:rsid w:val="004B3D40"/>
    <w:rsid w:val="004B3D98"/>
    <w:rsid w:val="004B3DCC"/>
    <w:rsid w:val="004B421F"/>
    <w:rsid w:val="004B4414"/>
    <w:rsid w:val="004B44BB"/>
    <w:rsid w:val="004B4916"/>
    <w:rsid w:val="004B49E9"/>
    <w:rsid w:val="004B49F1"/>
    <w:rsid w:val="004B4A7E"/>
    <w:rsid w:val="004B4DB0"/>
    <w:rsid w:val="004B515B"/>
    <w:rsid w:val="004B55A4"/>
    <w:rsid w:val="004B5942"/>
    <w:rsid w:val="004B5A5F"/>
    <w:rsid w:val="004B5BD0"/>
    <w:rsid w:val="004B6505"/>
    <w:rsid w:val="004B661B"/>
    <w:rsid w:val="004B6669"/>
    <w:rsid w:val="004B66B6"/>
    <w:rsid w:val="004B680A"/>
    <w:rsid w:val="004B6817"/>
    <w:rsid w:val="004B6997"/>
    <w:rsid w:val="004B6A0A"/>
    <w:rsid w:val="004B6C85"/>
    <w:rsid w:val="004B7E33"/>
    <w:rsid w:val="004C02CF"/>
    <w:rsid w:val="004C091C"/>
    <w:rsid w:val="004C0E6C"/>
    <w:rsid w:val="004C1078"/>
    <w:rsid w:val="004C10BB"/>
    <w:rsid w:val="004C117F"/>
    <w:rsid w:val="004C170A"/>
    <w:rsid w:val="004C1989"/>
    <w:rsid w:val="004C1A73"/>
    <w:rsid w:val="004C1EB6"/>
    <w:rsid w:val="004C1FB8"/>
    <w:rsid w:val="004C239C"/>
    <w:rsid w:val="004C25EC"/>
    <w:rsid w:val="004C2B0A"/>
    <w:rsid w:val="004C31BA"/>
    <w:rsid w:val="004C3347"/>
    <w:rsid w:val="004C33E2"/>
    <w:rsid w:val="004C347E"/>
    <w:rsid w:val="004C3533"/>
    <w:rsid w:val="004C3569"/>
    <w:rsid w:val="004C375D"/>
    <w:rsid w:val="004C3802"/>
    <w:rsid w:val="004C38E9"/>
    <w:rsid w:val="004C39AF"/>
    <w:rsid w:val="004C3A42"/>
    <w:rsid w:val="004C3F50"/>
    <w:rsid w:val="004C3F6E"/>
    <w:rsid w:val="004C4255"/>
    <w:rsid w:val="004C4416"/>
    <w:rsid w:val="004C4489"/>
    <w:rsid w:val="004C470F"/>
    <w:rsid w:val="004C4C9C"/>
    <w:rsid w:val="004C4D9D"/>
    <w:rsid w:val="004C4E7D"/>
    <w:rsid w:val="004C52F3"/>
    <w:rsid w:val="004C5854"/>
    <w:rsid w:val="004C5992"/>
    <w:rsid w:val="004C5A3F"/>
    <w:rsid w:val="004C5A56"/>
    <w:rsid w:val="004C5B3B"/>
    <w:rsid w:val="004C60E9"/>
    <w:rsid w:val="004C6127"/>
    <w:rsid w:val="004C625E"/>
    <w:rsid w:val="004C628D"/>
    <w:rsid w:val="004C62A4"/>
    <w:rsid w:val="004C6352"/>
    <w:rsid w:val="004C7208"/>
    <w:rsid w:val="004C7258"/>
    <w:rsid w:val="004C734F"/>
    <w:rsid w:val="004C7551"/>
    <w:rsid w:val="004C75B5"/>
    <w:rsid w:val="004C7DFC"/>
    <w:rsid w:val="004C7EE6"/>
    <w:rsid w:val="004D0104"/>
    <w:rsid w:val="004D0284"/>
    <w:rsid w:val="004D030D"/>
    <w:rsid w:val="004D0592"/>
    <w:rsid w:val="004D0832"/>
    <w:rsid w:val="004D0C10"/>
    <w:rsid w:val="004D0E10"/>
    <w:rsid w:val="004D0E38"/>
    <w:rsid w:val="004D143E"/>
    <w:rsid w:val="004D16C0"/>
    <w:rsid w:val="004D17CE"/>
    <w:rsid w:val="004D1832"/>
    <w:rsid w:val="004D1B56"/>
    <w:rsid w:val="004D1C2A"/>
    <w:rsid w:val="004D1C2C"/>
    <w:rsid w:val="004D1E9A"/>
    <w:rsid w:val="004D240D"/>
    <w:rsid w:val="004D26E9"/>
    <w:rsid w:val="004D288D"/>
    <w:rsid w:val="004D28E2"/>
    <w:rsid w:val="004D2921"/>
    <w:rsid w:val="004D29DB"/>
    <w:rsid w:val="004D2B02"/>
    <w:rsid w:val="004D33B8"/>
    <w:rsid w:val="004D34DF"/>
    <w:rsid w:val="004D377D"/>
    <w:rsid w:val="004D3FB6"/>
    <w:rsid w:val="004D3FFB"/>
    <w:rsid w:val="004D4330"/>
    <w:rsid w:val="004D485A"/>
    <w:rsid w:val="004D49A0"/>
    <w:rsid w:val="004D4B31"/>
    <w:rsid w:val="004D4D62"/>
    <w:rsid w:val="004D50C4"/>
    <w:rsid w:val="004D568A"/>
    <w:rsid w:val="004D5747"/>
    <w:rsid w:val="004D5754"/>
    <w:rsid w:val="004D5845"/>
    <w:rsid w:val="004D591A"/>
    <w:rsid w:val="004D5C45"/>
    <w:rsid w:val="004D5F68"/>
    <w:rsid w:val="004D5FC6"/>
    <w:rsid w:val="004D5FFE"/>
    <w:rsid w:val="004D63CA"/>
    <w:rsid w:val="004D64FD"/>
    <w:rsid w:val="004D67CB"/>
    <w:rsid w:val="004D6925"/>
    <w:rsid w:val="004D6A15"/>
    <w:rsid w:val="004D6DEC"/>
    <w:rsid w:val="004D6E61"/>
    <w:rsid w:val="004D6FDF"/>
    <w:rsid w:val="004D7452"/>
    <w:rsid w:val="004D79F1"/>
    <w:rsid w:val="004D7C9F"/>
    <w:rsid w:val="004D7CA1"/>
    <w:rsid w:val="004D7D31"/>
    <w:rsid w:val="004E04E3"/>
    <w:rsid w:val="004E054C"/>
    <w:rsid w:val="004E05C0"/>
    <w:rsid w:val="004E06EA"/>
    <w:rsid w:val="004E0866"/>
    <w:rsid w:val="004E0951"/>
    <w:rsid w:val="004E0C69"/>
    <w:rsid w:val="004E0C98"/>
    <w:rsid w:val="004E10B5"/>
    <w:rsid w:val="004E1559"/>
    <w:rsid w:val="004E167A"/>
    <w:rsid w:val="004E17C8"/>
    <w:rsid w:val="004E1862"/>
    <w:rsid w:val="004E1B9C"/>
    <w:rsid w:val="004E1E24"/>
    <w:rsid w:val="004E22D7"/>
    <w:rsid w:val="004E24B4"/>
    <w:rsid w:val="004E28AC"/>
    <w:rsid w:val="004E28ED"/>
    <w:rsid w:val="004E2921"/>
    <w:rsid w:val="004E294A"/>
    <w:rsid w:val="004E2AF1"/>
    <w:rsid w:val="004E2B48"/>
    <w:rsid w:val="004E358D"/>
    <w:rsid w:val="004E3854"/>
    <w:rsid w:val="004E39AB"/>
    <w:rsid w:val="004E39C2"/>
    <w:rsid w:val="004E3B7B"/>
    <w:rsid w:val="004E3DD9"/>
    <w:rsid w:val="004E3FDF"/>
    <w:rsid w:val="004E45CB"/>
    <w:rsid w:val="004E4F97"/>
    <w:rsid w:val="004E4FB3"/>
    <w:rsid w:val="004E522D"/>
    <w:rsid w:val="004E5372"/>
    <w:rsid w:val="004E5772"/>
    <w:rsid w:val="004E5843"/>
    <w:rsid w:val="004E595F"/>
    <w:rsid w:val="004E5980"/>
    <w:rsid w:val="004E5ACB"/>
    <w:rsid w:val="004E5BB5"/>
    <w:rsid w:val="004E5E87"/>
    <w:rsid w:val="004E5EDD"/>
    <w:rsid w:val="004E6144"/>
    <w:rsid w:val="004E6399"/>
    <w:rsid w:val="004E64AF"/>
    <w:rsid w:val="004E64B6"/>
    <w:rsid w:val="004E6651"/>
    <w:rsid w:val="004E672E"/>
    <w:rsid w:val="004E677D"/>
    <w:rsid w:val="004E67A6"/>
    <w:rsid w:val="004E68B1"/>
    <w:rsid w:val="004E695F"/>
    <w:rsid w:val="004E6ACB"/>
    <w:rsid w:val="004E6EFA"/>
    <w:rsid w:val="004E6F1F"/>
    <w:rsid w:val="004E722D"/>
    <w:rsid w:val="004E73FD"/>
    <w:rsid w:val="004E78CB"/>
    <w:rsid w:val="004E7908"/>
    <w:rsid w:val="004E7F69"/>
    <w:rsid w:val="004F01C5"/>
    <w:rsid w:val="004F0244"/>
    <w:rsid w:val="004F050A"/>
    <w:rsid w:val="004F0B35"/>
    <w:rsid w:val="004F0D4E"/>
    <w:rsid w:val="004F11BD"/>
    <w:rsid w:val="004F16F9"/>
    <w:rsid w:val="004F178C"/>
    <w:rsid w:val="004F185D"/>
    <w:rsid w:val="004F1D15"/>
    <w:rsid w:val="004F1DF9"/>
    <w:rsid w:val="004F1FE5"/>
    <w:rsid w:val="004F2689"/>
    <w:rsid w:val="004F2718"/>
    <w:rsid w:val="004F271C"/>
    <w:rsid w:val="004F276C"/>
    <w:rsid w:val="004F27CA"/>
    <w:rsid w:val="004F2944"/>
    <w:rsid w:val="004F2A68"/>
    <w:rsid w:val="004F2D85"/>
    <w:rsid w:val="004F3153"/>
    <w:rsid w:val="004F31C5"/>
    <w:rsid w:val="004F31E1"/>
    <w:rsid w:val="004F369D"/>
    <w:rsid w:val="004F370C"/>
    <w:rsid w:val="004F3982"/>
    <w:rsid w:val="004F3BA8"/>
    <w:rsid w:val="004F4307"/>
    <w:rsid w:val="004F43A7"/>
    <w:rsid w:val="004F48DC"/>
    <w:rsid w:val="004F4C07"/>
    <w:rsid w:val="004F4FED"/>
    <w:rsid w:val="004F5311"/>
    <w:rsid w:val="004F5485"/>
    <w:rsid w:val="004F577A"/>
    <w:rsid w:val="004F5986"/>
    <w:rsid w:val="004F5B1A"/>
    <w:rsid w:val="004F5B37"/>
    <w:rsid w:val="004F5C05"/>
    <w:rsid w:val="004F609C"/>
    <w:rsid w:val="004F6105"/>
    <w:rsid w:val="004F637B"/>
    <w:rsid w:val="004F6410"/>
    <w:rsid w:val="004F6785"/>
    <w:rsid w:val="004F67A0"/>
    <w:rsid w:val="004F680E"/>
    <w:rsid w:val="004F6B25"/>
    <w:rsid w:val="004F6E71"/>
    <w:rsid w:val="004F716D"/>
    <w:rsid w:val="004F7185"/>
    <w:rsid w:val="004F73B4"/>
    <w:rsid w:val="004F73F5"/>
    <w:rsid w:val="004F75DD"/>
    <w:rsid w:val="004F7C4D"/>
    <w:rsid w:val="004F7C88"/>
    <w:rsid w:val="004F7D35"/>
    <w:rsid w:val="004F7E02"/>
    <w:rsid w:val="005008D9"/>
    <w:rsid w:val="0050098F"/>
    <w:rsid w:val="00500F21"/>
    <w:rsid w:val="0050132E"/>
    <w:rsid w:val="005016AB"/>
    <w:rsid w:val="005017A6"/>
    <w:rsid w:val="0050191D"/>
    <w:rsid w:val="00501BD4"/>
    <w:rsid w:val="00502000"/>
    <w:rsid w:val="005020A2"/>
    <w:rsid w:val="005025AC"/>
    <w:rsid w:val="0050282C"/>
    <w:rsid w:val="00502857"/>
    <w:rsid w:val="00502AAF"/>
    <w:rsid w:val="00502B3F"/>
    <w:rsid w:val="00502B42"/>
    <w:rsid w:val="00502CB4"/>
    <w:rsid w:val="00503937"/>
    <w:rsid w:val="00503A1D"/>
    <w:rsid w:val="00503C04"/>
    <w:rsid w:val="005042DF"/>
    <w:rsid w:val="00504550"/>
    <w:rsid w:val="00504573"/>
    <w:rsid w:val="00504909"/>
    <w:rsid w:val="00504923"/>
    <w:rsid w:val="0050497C"/>
    <w:rsid w:val="00505159"/>
    <w:rsid w:val="0050523B"/>
    <w:rsid w:val="00505747"/>
    <w:rsid w:val="00505773"/>
    <w:rsid w:val="00505B12"/>
    <w:rsid w:val="00505DAB"/>
    <w:rsid w:val="00505ED8"/>
    <w:rsid w:val="0050634E"/>
    <w:rsid w:val="0050637F"/>
    <w:rsid w:val="0050683F"/>
    <w:rsid w:val="00506CC9"/>
    <w:rsid w:val="005070A7"/>
    <w:rsid w:val="00507461"/>
    <w:rsid w:val="005074B4"/>
    <w:rsid w:val="00507755"/>
    <w:rsid w:val="0050783E"/>
    <w:rsid w:val="00507DDE"/>
    <w:rsid w:val="00507DEF"/>
    <w:rsid w:val="00507E21"/>
    <w:rsid w:val="0051002C"/>
    <w:rsid w:val="005103AC"/>
    <w:rsid w:val="0051055C"/>
    <w:rsid w:val="005108A0"/>
    <w:rsid w:val="005108B6"/>
    <w:rsid w:val="00510D40"/>
    <w:rsid w:val="00511431"/>
    <w:rsid w:val="00511474"/>
    <w:rsid w:val="005114D0"/>
    <w:rsid w:val="00511952"/>
    <w:rsid w:val="00511962"/>
    <w:rsid w:val="00511A34"/>
    <w:rsid w:val="00511FFD"/>
    <w:rsid w:val="0051217E"/>
    <w:rsid w:val="00512544"/>
    <w:rsid w:val="0051284F"/>
    <w:rsid w:val="005129C4"/>
    <w:rsid w:val="00512B54"/>
    <w:rsid w:val="0051303B"/>
    <w:rsid w:val="0051350C"/>
    <w:rsid w:val="00513789"/>
    <w:rsid w:val="005138D2"/>
    <w:rsid w:val="00513AA4"/>
    <w:rsid w:val="00513B54"/>
    <w:rsid w:val="00513D15"/>
    <w:rsid w:val="00513D17"/>
    <w:rsid w:val="00513E34"/>
    <w:rsid w:val="00513F10"/>
    <w:rsid w:val="00513FAE"/>
    <w:rsid w:val="0051416D"/>
    <w:rsid w:val="00514424"/>
    <w:rsid w:val="005147A1"/>
    <w:rsid w:val="005148DD"/>
    <w:rsid w:val="005149A6"/>
    <w:rsid w:val="00514A93"/>
    <w:rsid w:val="00514A96"/>
    <w:rsid w:val="00514AAC"/>
    <w:rsid w:val="00515328"/>
    <w:rsid w:val="005153F7"/>
    <w:rsid w:val="005155E3"/>
    <w:rsid w:val="005158E0"/>
    <w:rsid w:val="00515950"/>
    <w:rsid w:val="00515C50"/>
    <w:rsid w:val="00515DBC"/>
    <w:rsid w:val="00515DD4"/>
    <w:rsid w:val="00515F78"/>
    <w:rsid w:val="00516087"/>
    <w:rsid w:val="00516203"/>
    <w:rsid w:val="0051621D"/>
    <w:rsid w:val="005163CB"/>
    <w:rsid w:val="0051641C"/>
    <w:rsid w:val="005166A2"/>
    <w:rsid w:val="005167D5"/>
    <w:rsid w:val="00516936"/>
    <w:rsid w:val="00516A43"/>
    <w:rsid w:val="00516A50"/>
    <w:rsid w:val="00516A51"/>
    <w:rsid w:val="00516F2A"/>
    <w:rsid w:val="00516FC5"/>
    <w:rsid w:val="00517124"/>
    <w:rsid w:val="00517657"/>
    <w:rsid w:val="00517A01"/>
    <w:rsid w:val="00517CB5"/>
    <w:rsid w:val="00517D9B"/>
    <w:rsid w:val="00517DA8"/>
    <w:rsid w:val="005200E5"/>
    <w:rsid w:val="00520166"/>
    <w:rsid w:val="005201CA"/>
    <w:rsid w:val="005204A4"/>
    <w:rsid w:val="00520509"/>
    <w:rsid w:val="005206A9"/>
    <w:rsid w:val="00520753"/>
    <w:rsid w:val="0052078A"/>
    <w:rsid w:val="0052094A"/>
    <w:rsid w:val="00520B37"/>
    <w:rsid w:val="00520BDC"/>
    <w:rsid w:val="00520E46"/>
    <w:rsid w:val="00520FA2"/>
    <w:rsid w:val="0052103F"/>
    <w:rsid w:val="0052124A"/>
    <w:rsid w:val="00521419"/>
    <w:rsid w:val="0052185A"/>
    <w:rsid w:val="00521A19"/>
    <w:rsid w:val="00521CB5"/>
    <w:rsid w:val="00521D6E"/>
    <w:rsid w:val="00521EC1"/>
    <w:rsid w:val="00521F24"/>
    <w:rsid w:val="00521F33"/>
    <w:rsid w:val="0052212D"/>
    <w:rsid w:val="005221C1"/>
    <w:rsid w:val="0052239B"/>
    <w:rsid w:val="0052245A"/>
    <w:rsid w:val="005224DE"/>
    <w:rsid w:val="00522992"/>
    <w:rsid w:val="005229CF"/>
    <w:rsid w:val="00522A1E"/>
    <w:rsid w:val="00522ADC"/>
    <w:rsid w:val="00522EE7"/>
    <w:rsid w:val="00522FDA"/>
    <w:rsid w:val="005230D2"/>
    <w:rsid w:val="00523158"/>
    <w:rsid w:val="005232FB"/>
    <w:rsid w:val="00523340"/>
    <w:rsid w:val="005233A3"/>
    <w:rsid w:val="005235E9"/>
    <w:rsid w:val="0052369D"/>
    <w:rsid w:val="005236C2"/>
    <w:rsid w:val="0052380E"/>
    <w:rsid w:val="00523881"/>
    <w:rsid w:val="00523897"/>
    <w:rsid w:val="0052399B"/>
    <w:rsid w:val="00523B4E"/>
    <w:rsid w:val="00523BDA"/>
    <w:rsid w:val="00523C6B"/>
    <w:rsid w:val="00524391"/>
    <w:rsid w:val="0052439E"/>
    <w:rsid w:val="00524884"/>
    <w:rsid w:val="005249F9"/>
    <w:rsid w:val="00524A00"/>
    <w:rsid w:val="00524AB1"/>
    <w:rsid w:val="00524DB2"/>
    <w:rsid w:val="00524EB2"/>
    <w:rsid w:val="00524FF7"/>
    <w:rsid w:val="00525064"/>
    <w:rsid w:val="0052507A"/>
    <w:rsid w:val="005250DB"/>
    <w:rsid w:val="00525708"/>
    <w:rsid w:val="00525BDA"/>
    <w:rsid w:val="00525DA2"/>
    <w:rsid w:val="00525F66"/>
    <w:rsid w:val="00526027"/>
    <w:rsid w:val="00526114"/>
    <w:rsid w:val="005261AD"/>
    <w:rsid w:val="005264C1"/>
    <w:rsid w:val="00526985"/>
    <w:rsid w:val="00526CE4"/>
    <w:rsid w:val="00526E31"/>
    <w:rsid w:val="00526F1F"/>
    <w:rsid w:val="00527370"/>
    <w:rsid w:val="005273A0"/>
    <w:rsid w:val="0052794F"/>
    <w:rsid w:val="00527A56"/>
    <w:rsid w:val="00527D73"/>
    <w:rsid w:val="00527D86"/>
    <w:rsid w:val="00527D92"/>
    <w:rsid w:val="0053045C"/>
    <w:rsid w:val="0053099B"/>
    <w:rsid w:val="00530B46"/>
    <w:rsid w:val="00530BE9"/>
    <w:rsid w:val="00530E3A"/>
    <w:rsid w:val="005311AA"/>
    <w:rsid w:val="0053122C"/>
    <w:rsid w:val="005319B2"/>
    <w:rsid w:val="00531F5D"/>
    <w:rsid w:val="00532123"/>
    <w:rsid w:val="005323D6"/>
    <w:rsid w:val="00532457"/>
    <w:rsid w:val="005325F0"/>
    <w:rsid w:val="00532B92"/>
    <w:rsid w:val="00532C43"/>
    <w:rsid w:val="00532D67"/>
    <w:rsid w:val="00532F12"/>
    <w:rsid w:val="00533158"/>
    <w:rsid w:val="00533255"/>
    <w:rsid w:val="0053333F"/>
    <w:rsid w:val="00533496"/>
    <w:rsid w:val="0053360F"/>
    <w:rsid w:val="00533938"/>
    <w:rsid w:val="00533D11"/>
    <w:rsid w:val="0053411C"/>
    <w:rsid w:val="0053448F"/>
    <w:rsid w:val="005345B0"/>
    <w:rsid w:val="00534625"/>
    <w:rsid w:val="00534A42"/>
    <w:rsid w:val="00534AC2"/>
    <w:rsid w:val="00534E46"/>
    <w:rsid w:val="00535028"/>
    <w:rsid w:val="005350BE"/>
    <w:rsid w:val="00535149"/>
    <w:rsid w:val="00535266"/>
    <w:rsid w:val="00535B41"/>
    <w:rsid w:val="00535B57"/>
    <w:rsid w:val="00536059"/>
    <w:rsid w:val="005360F7"/>
    <w:rsid w:val="005364BB"/>
    <w:rsid w:val="005369EF"/>
    <w:rsid w:val="00536CA1"/>
    <w:rsid w:val="00536D1C"/>
    <w:rsid w:val="005370CF"/>
    <w:rsid w:val="005374DD"/>
    <w:rsid w:val="00537859"/>
    <w:rsid w:val="00537BBB"/>
    <w:rsid w:val="00537D42"/>
    <w:rsid w:val="00537ED4"/>
    <w:rsid w:val="0054002C"/>
    <w:rsid w:val="00540129"/>
    <w:rsid w:val="00540168"/>
    <w:rsid w:val="005402C5"/>
    <w:rsid w:val="00540655"/>
    <w:rsid w:val="0054085D"/>
    <w:rsid w:val="00540AAF"/>
    <w:rsid w:val="00540FF0"/>
    <w:rsid w:val="005414AE"/>
    <w:rsid w:val="00541565"/>
    <w:rsid w:val="00541825"/>
    <w:rsid w:val="00541897"/>
    <w:rsid w:val="005418EA"/>
    <w:rsid w:val="005419AB"/>
    <w:rsid w:val="00541B81"/>
    <w:rsid w:val="00541EF7"/>
    <w:rsid w:val="0054204C"/>
    <w:rsid w:val="00542102"/>
    <w:rsid w:val="00542474"/>
    <w:rsid w:val="00542CE2"/>
    <w:rsid w:val="00542DE6"/>
    <w:rsid w:val="00543413"/>
    <w:rsid w:val="0054347B"/>
    <w:rsid w:val="0054375D"/>
    <w:rsid w:val="00543805"/>
    <w:rsid w:val="00543986"/>
    <w:rsid w:val="00543A6F"/>
    <w:rsid w:val="00543B33"/>
    <w:rsid w:val="00543CE0"/>
    <w:rsid w:val="00543EFB"/>
    <w:rsid w:val="005442D1"/>
    <w:rsid w:val="0054455C"/>
    <w:rsid w:val="00544A57"/>
    <w:rsid w:val="00544EB9"/>
    <w:rsid w:val="005454AF"/>
    <w:rsid w:val="005455CE"/>
    <w:rsid w:val="005458CD"/>
    <w:rsid w:val="0054595C"/>
    <w:rsid w:val="005459D5"/>
    <w:rsid w:val="00545D8E"/>
    <w:rsid w:val="00545DF7"/>
    <w:rsid w:val="005463C2"/>
    <w:rsid w:val="0054640A"/>
    <w:rsid w:val="00546472"/>
    <w:rsid w:val="005464CF"/>
    <w:rsid w:val="0054658C"/>
    <w:rsid w:val="00546597"/>
    <w:rsid w:val="0054664E"/>
    <w:rsid w:val="00546715"/>
    <w:rsid w:val="00546DCB"/>
    <w:rsid w:val="00546F4E"/>
    <w:rsid w:val="005477DF"/>
    <w:rsid w:val="0054789D"/>
    <w:rsid w:val="00547CC6"/>
    <w:rsid w:val="00547E47"/>
    <w:rsid w:val="005500EA"/>
    <w:rsid w:val="005502D2"/>
    <w:rsid w:val="005502F6"/>
    <w:rsid w:val="00550737"/>
    <w:rsid w:val="00550A41"/>
    <w:rsid w:val="00550A7C"/>
    <w:rsid w:val="00550AE8"/>
    <w:rsid w:val="00550B1F"/>
    <w:rsid w:val="00550DB4"/>
    <w:rsid w:val="00550EAB"/>
    <w:rsid w:val="00551049"/>
    <w:rsid w:val="005513FD"/>
    <w:rsid w:val="005519F3"/>
    <w:rsid w:val="00552079"/>
    <w:rsid w:val="00552091"/>
    <w:rsid w:val="00552927"/>
    <w:rsid w:val="005529E4"/>
    <w:rsid w:val="005529EF"/>
    <w:rsid w:val="00552A29"/>
    <w:rsid w:val="00552D30"/>
    <w:rsid w:val="00552E6F"/>
    <w:rsid w:val="00553573"/>
    <w:rsid w:val="005536B3"/>
    <w:rsid w:val="0055401D"/>
    <w:rsid w:val="00554283"/>
    <w:rsid w:val="00554340"/>
    <w:rsid w:val="00554795"/>
    <w:rsid w:val="0055481F"/>
    <w:rsid w:val="0055485E"/>
    <w:rsid w:val="0055492B"/>
    <w:rsid w:val="00554A52"/>
    <w:rsid w:val="0055508D"/>
    <w:rsid w:val="00555237"/>
    <w:rsid w:val="00555624"/>
    <w:rsid w:val="00555D78"/>
    <w:rsid w:val="00555F59"/>
    <w:rsid w:val="00555FDD"/>
    <w:rsid w:val="00556447"/>
    <w:rsid w:val="0055650E"/>
    <w:rsid w:val="00556722"/>
    <w:rsid w:val="00556B38"/>
    <w:rsid w:val="0055711D"/>
    <w:rsid w:val="00557284"/>
    <w:rsid w:val="005572FA"/>
    <w:rsid w:val="005574AC"/>
    <w:rsid w:val="0055784A"/>
    <w:rsid w:val="00557994"/>
    <w:rsid w:val="00557AC2"/>
    <w:rsid w:val="00557D5A"/>
    <w:rsid w:val="00557DF8"/>
    <w:rsid w:val="00557E64"/>
    <w:rsid w:val="005600A4"/>
    <w:rsid w:val="00560142"/>
    <w:rsid w:val="00560342"/>
    <w:rsid w:val="005603DE"/>
    <w:rsid w:val="005603E2"/>
    <w:rsid w:val="005605C2"/>
    <w:rsid w:val="00560618"/>
    <w:rsid w:val="005607CA"/>
    <w:rsid w:val="0056092E"/>
    <w:rsid w:val="00560962"/>
    <w:rsid w:val="00560CC4"/>
    <w:rsid w:val="00560E4A"/>
    <w:rsid w:val="00560E69"/>
    <w:rsid w:val="00560F72"/>
    <w:rsid w:val="00561471"/>
    <w:rsid w:val="005614BE"/>
    <w:rsid w:val="005614DA"/>
    <w:rsid w:val="005616A7"/>
    <w:rsid w:val="00561834"/>
    <w:rsid w:val="005618B0"/>
    <w:rsid w:val="00561968"/>
    <w:rsid w:val="005619DC"/>
    <w:rsid w:val="00561E05"/>
    <w:rsid w:val="00561ED2"/>
    <w:rsid w:val="0056285D"/>
    <w:rsid w:val="00562B54"/>
    <w:rsid w:val="00562D67"/>
    <w:rsid w:val="0056319D"/>
    <w:rsid w:val="00563365"/>
    <w:rsid w:val="00563842"/>
    <w:rsid w:val="00563A87"/>
    <w:rsid w:val="00563BD2"/>
    <w:rsid w:val="00563C82"/>
    <w:rsid w:val="00563FAF"/>
    <w:rsid w:val="00564057"/>
    <w:rsid w:val="00564085"/>
    <w:rsid w:val="00564395"/>
    <w:rsid w:val="005643DB"/>
    <w:rsid w:val="0056455A"/>
    <w:rsid w:val="00564BF9"/>
    <w:rsid w:val="00564F10"/>
    <w:rsid w:val="005652B4"/>
    <w:rsid w:val="005652CC"/>
    <w:rsid w:val="005653FD"/>
    <w:rsid w:val="0056543E"/>
    <w:rsid w:val="00565492"/>
    <w:rsid w:val="00565551"/>
    <w:rsid w:val="0056605C"/>
    <w:rsid w:val="00566157"/>
    <w:rsid w:val="00566350"/>
    <w:rsid w:val="0056650B"/>
    <w:rsid w:val="00566934"/>
    <w:rsid w:val="00566B27"/>
    <w:rsid w:val="00566E28"/>
    <w:rsid w:val="00566EFB"/>
    <w:rsid w:val="00567A53"/>
    <w:rsid w:val="00567F1F"/>
    <w:rsid w:val="00567F88"/>
    <w:rsid w:val="00567FBE"/>
    <w:rsid w:val="0057011F"/>
    <w:rsid w:val="005701C3"/>
    <w:rsid w:val="00570B7B"/>
    <w:rsid w:val="00571210"/>
    <w:rsid w:val="00571672"/>
    <w:rsid w:val="0057193E"/>
    <w:rsid w:val="00571F59"/>
    <w:rsid w:val="00572644"/>
    <w:rsid w:val="00572692"/>
    <w:rsid w:val="00572734"/>
    <w:rsid w:val="005729A3"/>
    <w:rsid w:val="00572F0F"/>
    <w:rsid w:val="00572FA5"/>
    <w:rsid w:val="0057313B"/>
    <w:rsid w:val="0057331B"/>
    <w:rsid w:val="0057371A"/>
    <w:rsid w:val="005737AB"/>
    <w:rsid w:val="00573844"/>
    <w:rsid w:val="00574092"/>
    <w:rsid w:val="005741D7"/>
    <w:rsid w:val="005750C0"/>
    <w:rsid w:val="0057521B"/>
    <w:rsid w:val="005753C0"/>
    <w:rsid w:val="005753F7"/>
    <w:rsid w:val="00575795"/>
    <w:rsid w:val="005757BC"/>
    <w:rsid w:val="00575A4B"/>
    <w:rsid w:val="00575BC1"/>
    <w:rsid w:val="005761D6"/>
    <w:rsid w:val="005763CF"/>
    <w:rsid w:val="005766DD"/>
    <w:rsid w:val="005766E9"/>
    <w:rsid w:val="00576885"/>
    <w:rsid w:val="005769A2"/>
    <w:rsid w:val="00576A7C"/>
    <w:rsid w:val="00576B03"/>
    <w:rsid w:val="00576B4C"/>
    <w:rsid w:val="00576FC9"/>
    <w:rsid w:val="00577062"/>
    <w:rsid w:val="0057709E"/>
    <w:rsid w:val="005772E0"/>
    <w:rsid w:val="00577753"/>
    <w:rsid w:val="00577A12"/>
    <w:rsid w:val="00577AB5"/>
    <w:rsid w:val="00577B8D"/>
    <w:rsid w:val="00577BAA"/>
    <w:rsid w:val="00577D27"/>
    <w:rsid w:val="00577D76"/>
    <w:rsid w:val="00577F57"/>
    <w:rsid w:val="005804C7"/>
    <w:rsid w:val="00580768"/>
    <w:rsid w:val="005807CC"/>
    <w:rsid w:val="0058083C"/>
    <w:rsid w:val="00580994"/>
    <w:rsid w:val="00580DA5"/>
    <w:rsid w:val="00580E60"/>
    <w:rsid w:val="0058137B"/>
    <w:rsid w:val="0058195A"/>
    <w:rsid w:val="005819CE"/>
    <w:rsid w:val="005819D1"/>
    <w:rsid w:val="00581AFB"/>
    <w:rsid w:val="005824F0"/>
    <w:rsid w:val="005826E1"/>
    <w:rsid w:val="0058272D"/>
    <w:rsid w:val="00582D7B"/>
    <w:rsid w:val="00582DDC"/>
    <w:rsid w:val="005833A0"/>
    <w:rsid w:val="005834DC"/>
    <w:rsid w:val="00583821"/>
    <w:rsid w:val="00583996"/>
    <w:rsid w:val="00583A41"/>
    <w:rsid w:val="00583A8D"/>
    <w:rsid w:val="00583BC0"/>
    <w:rsid w:val="00584258"/>
    <w:rsid w:val="00584368"/>
    <w:rsid w:val="00584760"/>
    <w:rsid w:val="005848D8"/>
    <w:rsid w:val="00584B06"/>
    <w:rsid w:val="00584D6A"/>
    <w:rsid w:val="00585046"/>
    <w:rsid w:val="005850DC"/>
    <w:rsid w:val="00585492"/>
    <w:rsid w:val="00585810"/>
    <w:rsid w:val="00585A3C"/>
    <w:rsid w:val="00586074"/>
    <w:rsid w:val="005862EC"/>
    <w:rsid w:val="00586414"/>
    <w:rsid w:val="0058647A"/>
    <w:rsid w:val="005869E9"/>
    <w:rsid w:val="00587733"/>
    <w:rsid w:val="005877F4"/>
    <w:rsid w:val="005900B7"/>
    <w:rsid w:val="005900C3"/>
    <w:rsid w:val="0059033B"/>
    <w:rsid w:val="005903B0"/>
    <w:rsid w:val="00590534"/>
    <w:rsid w:val="00590818"/>
    <w:rsid w:val="005908EA"/>
    <w:rsid w:val="00590A60"/>
    <w:rsid w:val="00590BC4"/>
    <w:rsid w:val="0059110C"/>
    <w:rsid w:val="005917EE"/>
    <w:rsid w:val="00591A57"/>
    <w:rsid w:val="00591A8A"/>
    <w:rsid w:val="00591B7F"/>
    <w:rsid w:val="00592640"/>
    <w:rsid w:val="00592B73"/>
    <w:rsid w:val="00592B8B"/>
    <w:rsid w:val="00592F53"/>
    <w:rsid w:val="005931E8"/>
    <w:rsid w:val="00593552"/>
    <w:rsid w:val="005937C7"/>
    <w:rsid w:val="00593A2F"/>
    <w:rsid w:val="00593A9E"/>
    <w:rsid w:val="00593D75"/>
    <w:rsid w:val="00593EA1"/>
    <w:rsid w:val="00593F5A"/>
    <w:rsid w:val="0059440B"/>
    <w:rsid w:val="00594682"/>
    <w:rsid w:val="005948FE"/>
    <w:rsid w:val="0059495F"/>
    <w:rsid w:val="0059499E"/>
    <w:rsid w:val="00594D68"/>
    <w:rsid w:val="0059501B"/>
    <w:rsid w:val="00595CE4"/>
    <w:rsid w:val="00595FF2"/>
    <w:rsid w:val="005963C7"/>
    <w:rsid w:val="00596464"/>
    <w:rsid w:val="005966A6"/>
    <w:rsid w:val="00596965"/>
    <w:rsid w:val="0059697B"/>
    <w:rsid w:val="00596A06"/>
    <w:rsid w:val="00596A3D"/>
    <w:rsid w:val="00596ACC"/>
    <w:rsid w:val="00596C76"/>
    <w:rsid w:val="00596E44"/>
    <w:rsid w:val="00596F34"/>
    <w:rsid w:val="005971F7"/>
    <w:rsid w:val="0059724A"/>
    <w:rsid w:val="005972B4"/>
    <w:rsid w:val="005976A0"/>
    <w:rsid w:val="00597A6F"/>
    <w:rsid w:val="00597C39"/>
    <w:rsid w:val="00597C51"/>
    <w:rsid w:val="005A00B1"/>
    <w:rsid w:val="005A023A"/>
    <w:rsid w:val="005A048E"/>
    <w:rsid w:val="005A05AC"/>
    <w:rsid w:val="005A062A"/>
    <w:rsid w:val="005A0887"/>
    <w:rsid w:val="005A0A79"/>
    <w:rsid w:val="005A0E45"/>
    <w:rsid w:val="005A0F68"/>
    <w:rsid w:val="005A1309"/>
    <w:rsid w:val="005A1397"/>
    <w:rsid w:val="005A141B"/>
    <w:rsid w:val="005A1676"/>
    <w:rsid w:val="005A16CD"/>
    <w:rsid w:val="005A1A14"/>
    <w:rsid w:val="005A1B3C"/>
    <w:rsid w:val="005A1D13"/>
    <w:rsid w:val="005A1F59"/>
    <w:rsid w:val="005A216F"/>
    <w:rsid w:val="005A21E8"/>
    <w:rsid w:val="005A23C7"/>
    <w:rsid w:val="005A23F9"/>
    <w:rsid w:val="005A2F80"/>
    <w:rsid w:val="005A383B"/>
    <w:rsid w:val="005A383C"/>
    <w:rsid w:val="005A3AFF"/>
    <w:rsid w:val="005A3C31"/>
    <w:rsid w:val="005A3D1B"/>
    <w:rsid w:val="005A4231"/>
    <w:rsid w:val="005A428A"/>
    <w:rsid w:val="005A42E4"/>
    <w:rsid w:val="005A47CC"/>
    <w:rsid w:val="005A4C8C"/>
    <w:rsid w:val="005A5390"/>
    <w:rsid w:val="005A591C"/>
    <w:rsid w:val="005A599A"/>
    <w:rsid w:val="005A5A89"/>
    <w:rsid w:val="005A5AEC"/>
    <w:rsid w:val="005A5F83"/>
    <w:rsid w:val="005A60E1"/>
    <w:rsid w:val="005A6782"/>
    <w:rsid w:val="005A6861"/>
    <w:rsid w:val="005A6ABD"/>
    <w:rsid w:val="005A6CA5"/>
    <w:rsid w:val="005A703C"/>
    <w:rsid w:val="005A709C"/>
    <w:rsid w:val="005A7164"/>
    <w:rsid w:val="005A76F9"/>
    <w:rsid w:val="005A77A0"/>
    <w:rsid w:val="005A78BC"/>
    <w:rsid w:val="005A7DAC"/>
    <w:rsid w:val="005A7FFA"/>
    <w:rsid w:val="005B01A8"/>
    <w:rsid w:val="005B0203"/>
    <w:rsid w:val="005B0407"/>
    <w:rsid w:val="005B056D"/>
    <w:rsid w:val="005B0706"/>
    <w:rsid w:val="005B0BBB"/>
    <w:rsid w:val="005B1146"/>
    <w:rsid w:val="005B15C0"/>
    <w:rsid w:val="005B16D3"/>
    <w:rsid w:val="005B213D"/>
    <w:rsid w:val="005B26BD"/>
    <w:rsid w:val="005B28E5"/>
    <w:rsid w:val="005B2E86"/>
    <w:rsid w:val="005B2EA8"/>
    <w:rsid w:val="005B32DC"/>
    <w:rsid w:val="005B33C8"/>
    <w:rsid w:val="005B355D"/>
    <w:rsid w:val="005B369E"/>
    <w:rsid w:val="005B3B04"/>
    <w:rsid w:val="005B3DE1"/>
    <w:rsid w:val="005B423F"/>
    <w:rsid w:val="005B42BE"/>
    <w:rsid w:val="005B44BB"/>
    <w:rsid w:val="005B4812"/>
    <w:rsid w:val="005B4A70"/>
    <w:rsid w:val="005B4AA6"/>
    <w:rsid w:val="005B4B9F"/>
    <w:rsid w:val="005B4D90"/>
    <w:rsid w:val="005B4E77"/>
    <w:rsid w:val="005B53FD"/>
    <w:rsid w:val="005B569F"/>
    <w:rsid w:val="005B5751"/>
    <w:rsid w:val="005B59C7"/>
    <w:rsid w:val="005B5E16"/>
    <w:rsid w:val="005B6170"/>
    <w:rsid w:val="005B62A4"/>
    <w:rsid w:val="005B62B0"/>
    <w:rsid w:val="005B66C6"/>
    <w:rsid w:val="005B6730"/>
    <w:rsid w:val="005B6ABC"/>
    <w:rsid w:val="005B6E11"/>
    <w:rsid w:val="005B715E"/>
    <w:rsid w:val="005B7257"/>
    <w:rsid w:val="005B771E"/>
    <w:rsid w:val="005B7A5D"/>
    <w:rsid w:val="005B7DB5"/>
    <w:rsid w:val="005B7DE2"/>
    <w:rsid w:val="005B7E6F"/>
    <w:rsid w:val="005C0095"/>
    <w:rsid w:val="005C037B"/>
    <w:rsid w:val="005C0BC1"/>
    <w:rsid w:val="005C0C57"/>
    <w:rsid w:val="005C0D5F"/>
    <w:rsid w:val="005C0FA8"/>
    <w:rsid w:val="005C1294"/>
    <w:rsid w:val="005C1369"/>
    <w:rsid w:val="005C1819"/>
    <w:rsid w:val="005C1B64"/>
    <w:rsid w:val="005C1BDF"/>
    <w:rsid w:val="005C1BF4"/>
    <w:rsid w:val="005C1D6B"/>
    <w:rsid w:val="005C1DBC"/>
    <w:rsid w:val="005C1F5E"/>
    <w:rsid w:val="005C2242"/>
    <w:rsid w:val="005C2530"/>
    <w:rsid w:val="005C268D"/>
    <w:rsid w:val="005C26DB"/>
    <w:rsid w:val="005C2B1D"/>
    <w:rsid w:val="005C2C12"/>
    <w:rsid w:val="005C2C4B"/>
    <w:rsid w:val="005C2F09"/>
    <w:rsid w:val="005C2FB5"/>
    <w:rsid w:val="005C2FDE"/>
    <w:rsid w:val="005C3873"/>
    <w:rsid w:val="005C3A37"/>
    <w:rsid w:val="005C3B50"/>
    <w:rsid w:val="005C3C37"/>
    <w:rsid w:val="005C3D1C"/>
    <w:rsid w:val="005C3D84"/>
    <w:rsid w:val="005C4443"/>
    <w:rsid w:val="005C4586"/>
    <w:rsid w:val="005C460C"/>
    <w:rsid w:val="005C4842"/>
    <w:rsid w:val="005C4BD4"/>
    <w:rsid w:val="005C5046"/>
    <w:rsid w:val="005C50EA"/>
    <w:rsid w:val="005C5181"/>
    <w:rsid w:val="005C59D8"/>
    <w:rsid w:val="005C6196"/>
    <w:rsid w:val="005C6444"/>
    <w:rsid w:val="005C6516"/>
    <w:rsid w:val="005C65A6"/>
    <w:rsid w:val="005C676B"/>
    <w:rsid w:val="005C69A5"/>
    <w:rsid w:val="005C6B01"/>
    <w:rsid w:val="005C710A"/>
    <w:rsid w:val="005C73D7"/>
    <w:rsid w:val="005C755B"/>
    <w:rsid w:val="005C7A7C"/>
    <w:rsid w:val="005C7B2C"/>
    <w:rsid w:val="005C7B2E"/>
    <w:rsid w:val="005C7D87"/>
    <w:rsid w:val="005C7D94"/>
    <w:rsid w:val="005C7DE7"/>
    <w:rsid w:val="005C7ED1"/>
    <w:rsid w:val="005D0017"/>
    <w:rsid w:val="005D0218"/>
    <w:rsid w:val="005D03D3"/>
    <w:rsid w:val="005D0471"/>
    <w:rsid w:val="005D05D2"/>
    <w:rsid w:val="005D08C9"/>
    <w:rsid w:val="005D0B57"/>
    <w:rsid w:val="005D15A1"/>
    <w:rsid w:val="005D161E"/>
    <w:rsid w:val="005D17B3"/>
    <w:rsid w:val="005D1A94"/>
    <w:rsid w:val="005D1B08"/>
    <w:rsid w:val="005D1FBC"/>
    <w:rsid w:val="005D21B1"/>
    <w:rsid w:val="005D2360"/>
    <w:rsid w:val="005D2768"/>
    <w:rsid w:val="005D2777"/>
    <w:rsid w:val="005D286A"/>
    <w:rsid w:val="005D289E"/>
    <w:rsid w:val="005D28EF"/>
    <w:rsid w:val="005D2A39"/>
    <w:rsid w:val="005D2A5C"/>
    <w:rsid w:val="005D3358"/>
    <w:rsid w:val="005D33C5"/>
    <w:rsid w:val="005D34D8"/>
    <w:rsid w:val="005D353C"/>
    <w:rsid w:val="005D35DC"/>
    <w:rsid w:val="005D35E4"/>
    <w:rsid w:val="005D3A58"/>
    <w:rsid w:val="005D3B84"/>
    <w:rsid w:val="005D3FC8"/>
    <w:rsid w:val="005D4180"/>
    <w:rsid w:val="005D4574"/>
    <w:rsid w:val="005D45ED"/>
    <w:rsid w:val="005D47D7"/>
    <w:rsid w:val="005D4850"/>
    <w:rsid w:val="005D4A50"/>
    <w:rsid w:val="005D4D37"/>
    <w:rsid w:val="005D4E41"/>
    <w:rsid w:val="005D5387"/>
    <w:rsid w:val="005D540D"/>
    <w:rsid w:val="005D56C6"/>
    <w:rsid w:val="005D5D83"/>
    <w:rsid w:val="005D5EAC"/>
    <w:rsid w:val="005D60FF"/>
    <w:rsid w:val="005D6399"/>
    <w:rsid w:val="005D64E9"/>
    <w:rsid w:val="005D699B"/>
    <w:rsid w:val="005D6EE2"/>
    <w:rsid w:val="005D74E5"/>
    <w:rsid w:val="005D78D6"/>
    <w:rsid w:val="005D7A17"/>
    <w:rsid w:val="005D7B0D"/>
    <w:rsid w:val="005D7E90"/>
    <w:rsid w:val="005D7F8E"/>
    <w:rsid w:val="005E0945"/>
    <w:rsid w:val="005E107F"/>
    <w:rsid w:val="005E10C8"/>
    <w:rsid w:val="005E11C3"/>
    <w:rsid w:val="005E13DC"/>
    <w:rsid w:val="005E197C"/>
    <w:rsid w:val="005E19EC"/>
    <w:rsid w:val="005E1BFA"/>
    <w:rsid w:val="005E1CBA"/>
    <w:rsid w:val="005E1E4F"/>
    <w:rsid w:val="005E1FFF"/>
    <w:rsid w:val="005E201B"/>
    <w:rsid w:val="005E2131"/>
    <w:rsid w:val="005E2179"/>
    <w:rsid w:val="005E22A2"/>
    <w:rsid w:val="005E317F"/>
    <w:rsid w:val="005E3274"/>
    <w:rsid w:val="005E3403"/>
    <w:rsid w:val="005E35B8"/>
    <w:rsid w:val="005E391A"/>
    <w:rsid w:val="005E3C7A"/>
    <w:rsid w:val="005E3D66"/>
    <w:rsid w:val="005E3DDD"/>
    <w:rsid w:val="005E3EE3"/>
    <w:rsid w:val="005E3F1A"/>
    <w:rsid w:val="005E4141"/>
    <w:rsid w:val="005E41BB"/>
    <w:rsid w:val="005E455D"/>
    <w:rsid w:val="005E4824"/>
    <w:rsid w:val="005E4CD5"/>
    <w:rsid w:val="005E5342"/>
    <w:rsid w:val="005E53CF"/>
    <w:rsid w:val="005E565D"/>
    <w:rsid w:val="005E57A7"/>
    <w:rsid w:val="005E583B"/>
    <w:rsid w:val="005E5C30"/>
    <w:rsid w:val="005E5D04"/>
    <w:rsid w:val="005E5E77"/>
    <w:rsid w:val="005E5FEA"/>
    <w:rsid w:val="005E60BF"/>
    <w:rsid w:val="005E6123"/>
    <w:rsid w:val="005E6527"/>
    <w:rsid w:val="005E683B"/>
    <w:rsid w:val="005E6C5B"/>
    <w:rsid w:val="005E6DC2"/>
    <w:rsid w:val="005E6ED3"/>
    <w:rsid w:val="005E7292"/>
    <w:rsid w:val="005E75E8"/>
    <w:rsid w:val="005E77A9"/>
    <w:rsid w:val="005E7DD4"/>
    <w:rsid w:val="005E7F90"/>
    <w:rsid w:val="005F0220"/>
    <w:rsid w:val="005F1275"/>
    <w:rsid w:val="005F1286"/>
    <w:rsid w:val="005F152D"/>
    <w:rsid w:val="005F167A"/>
    <w:rsid w:val="005F204F"/>
    <w:rsid w:val="005F2154"/>
    <w:rsid w:val="005F224D"/>
    <w:rsid w:val="005F226D"/>
    <w:rsid w:val="005F252E"/>
    <w:rsid w:val="005F2A48"/>
    <w:rsid w:val="005F2C92"/>
    <w:rsid w:val="005F2D33"/>
    <w:rsid w:val="005F2D37"/>
    <w:rsid w:val="005F3201"/>
    <w:rsid w:val="005F321C"/>
    <w:rsid w:val="005F3701"/>
    <w:rsid w:val="005F37E6"/>
    <w:rsid w:val="005F384D"/>
    <w:rsid w:val="005F3938"/>
    <w:rsid w:val="005F3D17"/>
    <w:rsid w:val="005F41B0"/>
    <w:rsid w:val="005F4250"/>
    <w:rsid w:val="005F48BF"/>
    <w:rsid w:val="005F4915"/>
    <w:rsid w:val="005F4ABA"/>
    <w:rsid w:val="005F4AEA"/>
    <w:rsid w:val="005F4B83"/>
    <w:rsid w:val="005F4EF9"/>
    <w:rsid w:val="005F4FE0"/>
    <w:rsid w:val="005F579A"/>
    <w:rsid w:val="005F57DF"/>
    <w:rsid w:val="005F5A5A"/>
    <w:rsid w:val="005F5CD9"/>
    <w:rsid w:val="005F6201"/>
    <w:rsid w:val="005F6401"/>
    <w:rsid w:val="005F65FA"/>
    <w:rsid w:val="005F6D2F"/>
    <w:rsid w:val="005F6D9A"/>
    <w:rsid w:val="005F6E2E"/>
    <w:rsid w:val="005F6F52"/>
    <w:rsid w:val="005F7506"/>
    <w:rsid w:val="005F7713"/>
    <w:rsid w:val="005F77E2"/>
    <w:rsid w:val="005F7A93"/>
    <w:rsid w:val="005F7D8B"/>
    <w:rsid w:val="00600047"/>
    <w:rsid w:val="0060023D"/>
    <w:rsid w:val="0060072E"/>
    <w:rsid w:val="006009AD"/>
    <w:rsid w:val="006009CC"/>
    <w:rsid w:val="00600A2D"/>
    <w:rsid w:val="00601A60"/>
    <w:rsid w:val="00601E5F"/>
    <w:rsid w:val="006020C2"/>
    <w:rsid w:val="0060213C"/>
    <w:rsid w:val="00602268"/>
    <w:rsid w:val="006022FC"/>
    <w:rsid w:val="0060251E"/>
    <w:rsid w:val="00602543"/>
    <w:rsid w:val="00602682"/>
    <w:rsid w:val="00602A7C"/>
    <w:rsid w:val="00602AAA"/>
    <w:rsid w:val="00602B06"/>
    <w:rsid w:val="00602C84"/>
    <w:rsid w:val="00602DB3"/>
    <w:rsid w:val="006030CF"/>
    <w:rsid w:val="00603680"/>
    <w:rsid w:val="00603812"/>
    <w:rsid w:val="00603D2F"/>
    <w:rsid w:val="006043C2"/>
    <w:rsid w:val="00604549"/>
    <w:rsid w:val="00604761"/>
    <w:rsid w:val="00604C12"/>
    <w:rsid w:val="00604F98"/>
    <w:rsid w:val="006051A1"/>
    <w:rsid w:val="0060556F"/>
    <w:rsid w:val="006055C4"/>
    <w:rsid w:val="0060561E"/>
    <w:rsid w:val="006056F1"/>
    <w:rsid w:val="00605A73"/>
    <w:rsid w:val="00605C90"/>
    <w:rsid w:val="00605D8F"/>
    <w:rsid w:val="006065EE"/>
    <w:rsid w:val="00606815"/>
    <w:rsid w:val="00606829"/>
    <w:rsid w:val="00606F39"/>
    <w:rsid w:val="00606FF5"/>
    <w:rsid w:val="006071E0"/>
    <w:rsid w:val="0060738E"/>
    <w:rsid w:val="00607613"/>
    <w:rsid w:val="00607646"/>
    <w:rsid w:val="00607788"/>
    <w:rsid w:val="006077AC"/>
    <w:rsid w:val="00607C5D"/>
    <w:rsid w:val="00607D3E"/>
    <w:rsid w:val="00607E61"/>
    <w:rsid w:val="00610542"/>
    <w:rsid w:val="006105CD"/>
    <w:rsid w:val="006105EC"/>
    <w:rsid w:val="006106A2"/>
    <w:rsid w:val="00610740"/>
    <w:rsid w:val="0061075B"/>
    <w:rsid w:val="006107C1"/>
    <w:rsid w:val="00610AD9"/>
    <w:rsid w:val="00610BC8"/>
    <w:rsid w:val="00610BE0"/>
    <w:rsid w:val="00610F09"/>
    <w:rsid w:val="00610F40"/>
    <w:rsid w:val="0061112C"/>
    <w:rsid w:val="0061143E"/>
    <w:rsid w:val="0061181D"/>
    <w:rsid w:val="00611896"/>
    <w:rsid w:val="00611A48"/>
    <w:rsid w:val="00611B1F"/>
    <w:rsid w:val="00611C23"/>
    <w:rsid w:val="00611D54"/>
    <w:rsid w:val="006120C9"/>
    <w:rsid w:val="006124C5"/>
    <w:rsid w:val="00612727"/>
    <w:rsid w:val="00612959"/>
    <w:rsid w:val="00612CC4"/>
    <w:rsid w:val="0061330F"/>
    <w:rsid w:val="0061336E"/>
    <w:rsid w:val="0061344F"/>
    <w:rsid w:val="00613490"/>
    <w:rsid w:val="00613A2B"/>
    <w:rsid w:val="00613A73"/>
    <w:rsid w:val="00613ACE"/>
    <w:rsid w:val="00613B5E"/>
    <w:rsid w:val="00613BDC"/>
    <w:rsid w:val="006141BA"/>
    <w:rsid w:val="006142CE"/>
    <w:rsid w:val="006145CA"/>
    <w:rsid w:val="00614602"/>
    <w:rsid w:val="0061468A"/>
    <w:rsid w:val="0061478A"/>
    <w:rsid w:val="00614D85"/>
    <w:rsid w:val="0061524A"/>
    <w:rsid w:val="006154AF"/>
    <w:rsid w:val="006156D3"/>
    <w:rsid w:val="006156EE"/>
    <w:rsid w:val="0061583F"/>
    <w:rsid w:val="006159A5"/>
    <w:rsid w:val="00615C48"/>
    <w:rsid w:val="00615EEA"/>
    <w:rsid w:val="00615F50"/>
    <w:rsid w:val="00615F69"/>
    <w:rsid w:val="00616048"/>
    <w:rsid w:val="00616538"/>
    <w:rsid w:val="0061655F"/>
    <w:rsid w:val="00616571"/>
    <w:rsid w:val="00616696"/>
    <w:rsid w:val="0061674E"/>
    <w:rsid w:val="006167CD"/>
    <w:rsid w:val="00616829"/>
    <w:rsid w:val="0061697B"/>
    <w:rsid w:val="006169D7"/>
    <w:rsid w:val="00616B56"/>
    <w:rsid w:val="00616F90"/>
    <w:rsid w:val="00617163"/>
    <w:rsid w:val="006176E2"/>
    <w:rsid w:val="006177B9"/>
    <w:rsid w:val="00617A99"/>
    <w:rsid w:val="00617B7F"/>
    <w:rsid w:val="00617BB0"/>
    <w:rsid w:val="00617E8F"/>
    <w:rsid w:val="006209D6"/>
    <w:rsid w:val="00620A60"/>
    <w:rsid w:val="00620B1A"/>
    <w:rsid w:val="00620BEA"/>
    <w:rsid w:val="00621156"/>
    <w:rsid w:val="00621232"/>
    <w:rsid w:val="00621801"/>
    <w:rsid w:val="00621BD8"/>
    <w:rsid w:val="00622024"/>
    <w:rsid w:val="006222A6"/>
    <w:rsid w:val="00622701"/>
    <w:rsid w:val="00622A85"/>
    <w:rsid w:val="006233C8"/>
    <w:rsid w:val="0062369D"/>
    <w:rsid w:val="0062398D"/>
    <w:rsid w:val="00623A08"/>
    <w:rsid w:val="00623FD3"/>
    <w:rsid w:val="006243B8"/>
    <w:rsid w:val="006245D5"/>
    <w:rsid w:val="00624E73"/>
    <w:rsid w:val="00625749"/>
    <w:rsid w:val="0062578F"/>
    <w:rsid w:val="00625790"/>
    <w:rsid w:val="0062595A"/>
    <w:rsid w:val="00625AB4"/>
    <w:rsid w:val="00625CAE"/>
    <w:rsid w:val="006261B3"/>
    <w:rsid w:val="00626386"/>
    <w:rsid w:val="006266BD"/>
    <w:rsid w:val="00626B08"/>
    <w:rsid w:val="00626B5F"/>
    <w:rsid w:val="00626CE7"/>
    <w:rsid w:val="00626E33"/>
    <w:rsid w:val="00626E3F"/>
    <w:rsid w:val="00626ED1"/>
    <w:rsid w:val="00626EF0"/>
    <w:rsid w:val="00627992"/>
    <w:rsid w:val="006279DA"/>
    <w:rsid w:val="00627B89"/>
    <w:rsid w:val="00627F0E"/>
    <w:rsid w:val="0063025B"/>
    <w:rsid w:val="006302CC"/>
    <w:rsid w:val="00630650"/>
    <w:rsid w:val="0063067E"/>
    <w:rsid w:val="0063070B"/>
    <w:rsid w:val="006309AB"/>
    <w:rsid w:val="00630C10"/>
    <w:rsid w:val="00630D0F"/>
    <w:rsid w:val="00630D6E"/>
    <w:rsid w:val="006311E5"/>
    <w:rsid w:val="00631437"/>
    <w:rsid w:val="0063153A"/>
    <w:rsid w:val="006315AC"/>
    <w:rsid w:val="0063173D"/>
    <w:rsid w:val="006317DF"/>
    <w:rsid w:val="0063187E"/>
    <w:rsid w:val="00631918"/>
    <w:rsid w:val="00631DE9"/>
    <w:rsid w:val="006320B1"/>
    <w:rsid w:val="006328DE"/>
    <w:rsid w:val="0063370F"/>
    <w:rsid w:val="006337E1"/>
    <w:rsid w:val="00633A36"/>
    <w:rsid w:val="006340C6"/>
    <w:rsid w:val="006340C8"/>
    <w:rsid w:val="00634362"/>
    <w:rsid w:val="006344BE"/>
    <w:rsid w:val="006347E1"/>
    <w:rsid w:val="0063482F"/>
    <w:rsid w:val="0063489E"/>
    <w:rsid w:val="00634BD9"/>
    <w:rsid w:val="00634E0D"/>
    <w:rsid w:val="00634F4F"/>
    <w:rsid w:val="0063503D"/>
    <w:rsid w:val="00635240"/>
    <w:rsid w:val="006353CF"/>
    <w:rsid w:val="006354D2"/>
    <w:rsid w:val="00635589"/>
    <w:rsid w:val="00635F38"/>
    <w:rsid w:val="00635FA5"/>
    <w:rsid w:val="006361A1"/>
    <w:rsid w:val="0063642D"/>
    <w:rsid w:val="0063652B"/>
    <w:rsid w:val="006365B2"/>
    <w:rsid w:val="00636642"/>
    <w:rsid w:val="006367D4"/>
    <w:rsid w:val="006367FF"/>
    <w:rsid w:val="00636969"/>
    <w:rsid w:val="00636EA1"/>
    <w:rsid w:val="0063706C"/>
    <w:rsid w:val="00637098"/>
    <w:rsid w:val="0063733D"/>
    <w:rsid w:val="00637371"/>
    <w:rsid w:val="00637484"/>
    <w:rsid w:val="00637967"/>
    <w:rsid w:val="00637A66"/>
    <w:rsid w:val="00637A89"/>
    <w:rsid w:val="00637C57"/>
    <w:rsid w:val="00637DBE"/>
    <w:rsid w:val="0064016E"/>
    <w:rsid w:val="0064031F"/>
    <w:rsid w:val="006406C3"/>
    <w:rsid w:val="0064083C"/>
    <w:rsid w:val="00640A92"/>
    <w:rsid w:val="00640A95"/>
    <w:rsid w:val="00640B71"/>
    <w:rsid w:val="00640FB4"/>
    <w:rsid w:val="00641021"/>
    <w:rsid w:val="006411BA"/>
    <w:rsid w:val="00641473"/>
    <w:rsid w:val="00641521"/>
    <w:rsid w:val="0064183E"/>
    <w:rsid w:val="006419C1"/>
    <w:rsid w:val="00641AF1"/>
    <w:rsid w:val="00641E0C"/>
    <w:rsid w:val="00642105"/>
    <w:rsid w:val="00642591"/>
    <w:rsid w:val="0064270F"/>
    <w:rsid w:val="006427DB"/>
    <w:rsid w:val="00642875"/>
    <w:rsid w:val="00642ACD"/>
    <w:rsid w:val="00642B8F"/>
    <w:rsid w:val="00642C8B"/>
    <w:rsid w:val="00642C8F"/>
    <w:rsid w:val="00642E45"/>
    <w:rsid w:val="00643040"/>
    <w:rsid w:val="00643061"/>
    <w:rsid w:val="006430D5"/>
    <w:rsid w:val="00643350"/>
    <w:rsid w:val="006438A9"/>
    <w:rsid w:val="00643B41"/>
    <w:rsid w:val="006443FB"/>
    <w:rsid w:val="00644648"/>
    <w:rsid w:val="00644B07"/>
    <w:rsid w:val="00644D96"/>
    <w:rsid w:val="00645107"/>
    <w:rsid w:val="00645A18"/>
    <w:rsid w:val="00645E96"/>
    <w:rsid w:val="00646257"/>
    <w:rsid w:val="00646272"/>
    <w:rsid w:val="006463B4"/>
    <w:rsid w:val="006463DB"/>
    <w:rsid w:val="00646483"/>
    <w:rsid w:val="006468CB"/>
    <w:rsid w:val="006469AD"/>
    <w:rsid w:val="00647243"/>
    <w:rsid w:val="0064727A"/>
    <w:rsid w:val="00647568"/>
    <w:rsid w:val="006475D7"/>
    <w:rsid w:val="0064762F"/>
    <w:rsid w:val="006477DC"/>
    <w:rsid w:val="00647879"/>
    <w:rsid w:val="006479D2"/>
    <w:rsid w:val="00647C42"/>
    <w:rsid w:val="00647EDB"/>
    <w:rsid w:val="0065038F"/>
    <w:rsid w:val="006507A1"/>
    <w:rsid w:val="006510F5"/>
    <w:rsid w:val="006511D9"/>
    <w:rsid w:val="00651939"/>
    <w:rsid w:val="00652121"/>
    <w:rsid w:val="00652241"/>
    <w:rsid w:val="006524CD"/>
    <w:rsid w:val="006526E5"/>
    <w:rsid w:val="00652781"/>
    <w:rsid w:val="0065281B"/>
    <w:rsid w:val="00652848"/>
    <w:rsid w:val="00652C9D"/>
    <w:rsid w:val="00653345"/>
    <w:rsid w:val="006534B5"/>
    <w:rsid w:val="00653690"/>
    <w:rsid w:val="00653A10"/>
    <w:rsid w:val="00653CDB"/>
    <w:rsid w:val="00653EBE"/>
    <w:rsid w:val="00654786"/>
    <w:rsid w:val="00654DC6"/>
    <w:rsid w:val="00654DE5"/>
    <w:rsid w:val="00654E5D"/>
    <w:rsid w:val="00655017"/>
    <w:rsid w:val="0065505D"/>
    <w:rsid w:val="00655149"/>
    <w:rsid w:val="006551E9"/>
    <w:rsid w:val="0065569F"/>
    <w:rsid w:val="00655CB5"/>
    <w:rsid w:val="00655E3E"/>
    <w:rsid w:val="00655EA6"/>
    <w:rsid w:val="00656013"/>
    <w:rsid w:val="0065604F"/>
    <w:rsid w:val="006561D1"/>
    <w:rsid w:val="006561D7"/>
    <w:rsid w:val="006564C4"/>
    <w:rsid w:val="0065652C"/>
    <w:rsid w:val="00656653"/>
    <w:rsid w:val="00656686"/>
    <w:rsid w:val="00656984"/>
    <w:rsid w:val="00657001"/>
    <w:rsid w:val="0065731D"/>
    <w:rsid w:val="0065733C"/>
    <w:rsid w:val="00657440"/>
    <w:rsid w:val="006574DD"/>
    <w:rsid w:val="006578C8"/>
    <w:rsid w:val="00657C49"/>
    <w:rsid w:val="00657CBD"/>
    <w:rsid w:val="00657D76"/>
    <w:rsid w:val="00657E28"/>
    <w:rsid w:val="00660279"/>
    <w:rsid w:val="0066030B"/>
    <w:rsid w:val="00660870"/>
    <w:rsid w:val="0066088B"/>
    <w:rsid w:val="006609D3"/>
    <w:rsid w:val="00660F4E"/>
    <w:rsid w:val="0066105E"/>
    <w:rsid w:val="006616ED"/>
    <w:rsid w:val="00661713"/>
    <w:rsid w:val="006617D4"/>
    <w:rsid w:val="0066197C"/>
    <w:rsid w:val="00661CC3"/>
    <w:rsid w:val="00661FEA"/>
    <w:rsid w:val="00662184"/>
    <w:rsid w:val="006628AD"/>
    <w:rsid w:val="00662D82"/>
    <w:rsid w:val="0066319F"/>
    <w:rsid w:val="006632D4"/>
    <w:rsid w:val="006632EA"/>
    <w:rsid w:val="0066350E"/>
    <w:rsid w:val="00663892"/>
    <w:rsid w:val="00663C6C"/>
    <w:rsid w:val="00663E9A"/>
    <w:rsid w:val="006647AE"/>
    <w:rsid w:val="00664D94"/>
    <w:rsid w:val="00664EED"/>
    <w:rsid w:val="00665127"/>
    <w:rsid w:val="006657AC"/>
    <w:rsid w:val="00665967"/>
    <w:rsid w:val="00665C9B"/>
    <w:rsid w:val="00666099"/>
    <w:rsid w:val="006662C4"/>
    <w:rsid w:val="00666713"/>
    <w:rsid w:val="00666C39"/>
    <w:rsid w:val="00666EFD"/>
    <w:rsid w:val="00666F33"/>
    <w:rsid w:val="0066704D"/>
    <w:rsid w:val="00667438"/>
    <w:rsid w:val="006674D0"/>
    <w:rsid w:val="0066B477"/>
    <w:rsid w:val="00670010"/>
    <w:rsid w:val="0067010A"/>
    <w:rsid w:val="00670591"/>
    <w:rsid w:val="006707D9"/>
    <w:rsid w:val="00670A5D"/>
    <w:rsid w:val="00670D4C"/>
    <w:rsid w:val="00670E35"/>
    <w:rsid w:val="00670F50"/>
    <w:rsid w:val="00670F72"/>
    <w:rsid w:val="0067118C"/>
    <w:rsid w:val="00671190"/>
    <w:rsid w:val="006712C1"/>
    <w:rsid w:val="006718F5"/>
    <w:rsid w:val="00672411"/>
    <w:rsid w:val="006727A2"/>
    <w:rsid w:val="00672921"/>
    <w:rsid w:val="00672CD4"/>
    <w:rsid w:val="006730BB"/>
    <w:rsid w:val="00673244"/>
    <w:rsid w:val="00673255"/>
    <w:rsid w:val="006735CA"/>
    <w:rsid w:val="006738A2"/>
    <w:rsid w:val="0067405E"/>
    <w:rsid w:val="00674063"/>
    <w:rsid w:val="00674D53"/>
    <w:rsid w:val="00674E05"/>
    <w:rsid w:val="0067503B"/>
    <w:rsid w:val="0067566A"/>
    <w:rsid w:val="00675BB2"/>
    <w:rsid w:val="00675D24"/>
    <w:rsid w:val="0067623D"/>
    <w:rsid w:val="0067639A"/>
    <w:rsid w:val="006764D5"/>
    <w:rsid w:val="0067653F"/>
    <w:rsid w:val="006765EF"/>
    <w:rsid w:val="00676682"/>
    <w:rsid w:val="00676969"/>
    <w:rsid w:val="00676A77"/>
    <w:rsid w:val="00676C13"/>
    <w:rsid w:val="00676FFB"/>
    <w:rsid w:val="006771E0"/>
    <w:rsid w:val="0067723D"/>
    <w:rsid w:val="0067769E"/>
    <w:rsid w:val="0067776F"/>
    <w:rsid w:val="00677A6A"/>
    <w:rsid w:val="00677ABB"/>
    <w:rsid w:val="00677E69"/>
    <w:rsid w:val="00679F3F"/>
    <w:rsid w:val="006804C3"/>
    <w:rsid w:val="006805D9"/>
    <w:rsid w:val="00680D2E"/>
    <w:rsid w:val="00680DB8"/>
    <w:rsid w:val="00680E13"/>
    <w:rsid w:val="0068105E"/>
    <w:rsid w:val="00681127"/>
    <w:rsid w:val="00681541"/>
    <w:rsid w:val="006817E3"/>
    <w:rsid w:val="00682150"/>
    <w:rsid w:val="006822D7"/>
    <w:rsid w:val="006822F2"/>
    <w:rsid w:val="0068276A"/>
    <w:rsid w:val="0068287B"/>
    <w:rsid w:val="00682981"/>
    <w:rsid w:val="00682C50"/>
    <w:rsid w:val="00682E50"/>
    <w:rsid w:val="00682EBF"/>
    <w:rsid w:val="00683453"/>
    <w:rsid w:val="006836A1"/>
    <w:rsid w:val="00683913"/>
    <w:rsid w:val="006839AF"/>
    <w:rsid w:val="00683A5E"/>
    <w:rsid w:val="00683AF9"/>
    <w:rsid w:val="00683CCD"/>
    <w:rsid w:val="00683EE8"/>
    <w:rsid w:val="00683F3D"/>
    <w:rsid w:val="006840A6"/>
    <w:rsid w:val="006840A9"/>
    <w:rsid w:val="00684206"/>
    <w:rsid w:val="006842BF"/>
    <w:rsid w:val="006847F5"/>
    <w:rsid w:val="006848CC"/>
    <w:rsid w:val="00684DF4"/>
    <w:rsid w:val="006850F2"/>
    <w:rsid w:val="00685542"/>
    <w:rsid w:val="0068560C"/>
    <w:rsid w:val="00685A27"/>
    <w:rsid w:val="00685B4F"/>
    <w:rsid w:val="00685CD0"/>
    <w:rsid w:val="0068637F"/>
    <w:rsid w:val="00686823"/>
    <w:rsid w:val="0068687D"/>
    <w:rsid w:val="00686897"/>
    <w:rsid w:val="006868D5"/>
    <w:rsid w:val="0068693A"/>
    <w:rsid w:val="0068706A"/>
    <w:rsid w:val="006872E4"/>
    <w:rsid w:val="00687417"/>
    <w:rsid w:val="00687572"/>
    <w:rsid w:val="00687965"/>
    <w:rsid w:val="00687A27"/>
    <w:rsid w:val="00687ADE"/>
    <w:rsid w:val="00687BD9"/>
    <w:rsid w:val="006900C9"/>
    <w:rsid w:val="0069039F"/>
    <w:rsid w:val="0069041B"/>
    <w:rsid w:val="00690526"/>
    <w:rsid w:val="0069052C"/>
    <w:rsid w:val="006906D0"/>
    <w:rsid w:val="00690891"/>
    <w:rsid w:val="006909F3"/>
    <w:rsid w:val="00690BF8"/>
    <w:rsid w:val="00690D77"/>
    <w:rsid w:val="00690EF7"/>
    <w:rsid w:val="00690F89"/>
    <w:rsid w:val="0069131E"/>
    <w:rsid w:val="006915D4"/>
    <w:rsid w:val="0069168C"/>
    <w:rsid w:val="006916AE"/>
    <w:rsid w:val="006916DD"/>
    <w:rsid w:val="006916F9"/>
    <w:rsid w:val="006917F9"/>
    <w:rsid w:val="00691C82"/>
    <w:rsid w:val="00691EEA"/>
    <w:rsid w:val="0069209F"/>
    <w:rsid w:val="006923D6"/>
    <w:rsid w:val="00692546"/>
    <w:rsid w:val="006926FF"/>
    <w:rsid w:val="0069281D"/>
    <w:rsid w:val="00692856"/>
    <w:rsid w:val="0069298A"/>
    <w:rsid w:val="00692B38"/>
    <w:rsid w:val="00692C14"/>
    <w:rsid w:val="00693428"/>
    <w:rsid w:val="00693664"/>
    <w:rsid w:val="0069375F"/>
    <w:rsid w:val="0069424F"/>
    <w:rsid w:val="006946B2"/>
    <w:rsid w:val="00694BD0"/>
    <w:rsid w:val="00694C6E"/>
    <w:rsid w:val="00694D03"/>
    <w:rsid w:val="006956C7"/>
    <w:rsid w:val="006958A5"/>
    <w:rsid w:val="00695C1B"/>
    <w:rsid w:val="00695CF6"/>
    <w:rsid w:val="00695ED8"/>
    <w:rsid w:val="00695FBE"/>
    <w:rsid w:val="006961E3"/>
    <w:rsid w:val="00696477"/>
    <w:rsid w:val="00696588"/>
    <w:rsid w:val="00696F13"/>
    <w:rsid w:val="00696FE0"/>
    <w:rsid w:val="00697028"/>
    <w:rsid w:val="00697340"/>
    <w:rsid w:val="00697380"/>
    <w:rsid w:val="00697970"/>
    <w:rsid w:val="00697DBA"/>
    <w:rsid w:val="00697FA5"/>
    <w:rsid w:val="00697FEF"/>
    <w:rsid w:val="006A0820"/>
    <w:rsid w:val="006A0830"/>
    <w:rsid w:val="006A0A04"/>
    <w:rsid w:val="006A0C99"/>
    <w:rsid w:val="006A0E0F"/>
    <w:rsid w:val="006A0ED6"/>
    <w:rsid w:val="006A10FF"/>
    <w:rsid w:val="006A112D"/>
    <w:rsid w:val="006A133A"/>
    <w:rsid w:val="006A156A"/>
    <w:rsid w:val="006A1F19"/>
    <w:rsid w:val="006A2190"/>
    <w:rsid w:val="006A2B48"/>
    <w:rsid w:val="006A2CF3"/>
    <w:rsid w:val="006A3049"/>
    <w:rsid w:val="006A30FD"/>
    <w:rsid w:val="006A333B"/>
    <w:rsid w:val="006A34D0"/>
    <w:rsid w:val="006A3869"/>
    <w:rsid w:val="006A3A70"/>
    <w:rsid w:val="006A4023"/>
    <w:rsid w:val="006A423E"/>
    <w:rsid w:val="006A43F6"/>
    <w:rsid w:val="006A4561"/>
    <w:rsid w:val="006A4760"/>
    <w:rsid w:val="006A4884"/>
    <w:rsid w:val="006A540A"/>
    <w:rsid w:val="006A5553"/>
    <w:rsid w:val="006A5C68"/>
    <w:rsid w:val="006A5F0A"/>
    <w:rsid w:val="006A6769"/>
    <w:rsid w:val="006A6BAE"/>
    <w:rsid w:val="006A6CEE"/>
    <w:rsid w:val="006A722B"/>
    <w:rsid w:val="006A77A9"/>
    <w:rsid w:val="006A7996"/>
    <w:rsid w:val="006A7B38"/>
    <w:rsid w:val="006A7E08"/>
    <w:rsid w:val="006B00FB"/>
    <w:rsid w:val="006B0116"/>
    <w:rsid w:val="006B0411"/>
    <w:rsid w:val="006B0593"/>
    <w:rsid w:val="006B070B"/>
    <w:rsid w:val="006B080C"/>
    <w:rsid w:val="006B0948"/>
    <w:rsid w:val="006B0A20"/>
    <w:rsid w:val="006B0CB7"/>
    <w:rsid w:val="006B0CBD"/>
    <w:rsid w:val="006B0E48"/>
    <w:rsid w:val="006B0E88"/>
    <w:rsid w:val="006B0F97"/>
    <w:rsid w:val="006B0FB3"/>
    <w:rsid w:val="006B0FC5"/>
    <w:rsid w:val="006B1125"/>
    <w:rsid w:val="006B11B4"/>
    <w:rsid w:val="006B11E4"/>
    <w:rsid w:val="006B1286"/>
    <w:rsid w:val="006B16D3"/>
    <w:rsid w:val="006B17F1"/>
    <w:rsid w:val="006B1D3B"/>
    <w:rsid w:val="006B224D"/>
    <w:rsid w:val="006B25C7"/>
    <w:rsid w:val="006B296F"/>
    <w:rsid w:val="006B2B1B"/>
    <w:rsid w:val="006B2BF8"/>
    <w:rsid w:val="006B2F55"/>
    <w:rsid w:val="006B317C"/>
    <w:rsid w:val="006B31A8"/>
    <w:rsid w:val="006B3334"/>
    <w:rsid w:val="006B398E"/>
    <w:rsid w:val="006B3B1C"/>
    <w:rsid w:val="006B3E91"/>
    <w:rsid w:val="006B42C6"/>
    <w:rsid w:val="006B45AA"/>
    <w:rsid w:val="006B4749"/>
    <w:rsid w:val="006B4871"/>
    <w:rsid w:val="006B4DC4"/>
    <w:rsid w:val="006B515F"/>
    <w:rsid w:val="006B51C2"/>
    <w:rsid w:val="006B5358"/>
    <w:rsid w:val="006B5370"/>
    <w:rsid w:val="006B5398"/>
    <w:rsid w:val="006B5630"/>
    <w:rsid w:val="006B565F"/>
    <w:rsid w:val="006B57FF"/>
    <w:rsid w:val="006B5A78"/>
    <w:rsid w:val="006B5B9F"/>
    <w:rsid w:val="006B63DE"/>
    <w:rsid w:val="006B63F3"/>
    <w:rsid w:val="006B64F2"/>
    <w:rsid w:val="006B6871"/>
    <w:rsid w:val="006B68BB"/>
    <w:rsid w:val="006B6992"/>
    <w:rsid w:val="006B6A16"/>
    <w:rsid w:val="006B6C0B"/>
    <w:rsid w:val="006B6C3F"/>
    <w:rsid w:val="006B6C82"/>
    <w:rsid w:val="006B705D"/>
    <w:rsid w:val="006B721D"/>
    <w:rsid w:val="006B73DC"/>
    <w:rsid w:val="006B7761"/>
    <w:rsid w:val="006B792D"/>
    <w:rsid w:val="006B79F7"/>
    <w:rsid w:val="006B7C22"/>
    <w:rsid w:val="006C00DA"/>
    <w:rsid w:val="006C045E"/>
    <w:rsid w:val="006C0BD8"/>
    <w:rsid w:val="006C0C68"/>
    <w:rsid w:val="006C0CF7"/>
    <w:rsid w:val="006C10D0"/>
    <w:rsid w:val="006C1384"/>
    <w:rsid w:val="006C144E"/>
    <w:rsid w:val="006C1547"/>
    <w:rsid w:val="006C175E"/>
    <w:rsid w:val="006C1C0B"/>
    <w:rsid w:val="006C1C64"/>
    <w:rsid w:val="006C1CE1"/>
    <w:rsid w:val="006C2147"/>
    <w:rsid w:val="006C23D8"/>
    <w:rsid w:val="006C23EE"/>
    <w:rsid w:val="006C251E"/>
    <w:rsid w:val="006C279F"/>
    <w:rsid w:val="006C29B9"/>
    <w:rsid w:val="006C2E66"/>
    <w:rsid w:val="006C2FAA"/>
    <w:rsid w:val="006C3641"/>
    <w:rsid w:val="006C3930"/>
    <w:rsid w:val="006C3D4C"/>
    <w:rsid w:val="006C3E19"/>
    <w:rsid w:val="006C3FF8"/>
    <w:rsid w:val="006C426F"/>
    <w:rsid w:val="006C4D81"/>
    <w:rsid w:val="006C4DA5"/>
    <w:rsid w:val="006C512A"/>
    <w:rsid w:val="006C5478"/>
    <w:rsid w:val="006C55AB"/>
    <w:rsid w:val="006C5947"/>
    <w:rsid w:val="006C5B3F"/>
    <w:rsid w:val="006C5E01"/>
    <w:rsid w:val="006C5FAC"/>
    <w:rsid w:val="006C63DD"/>
    <w:rsid w:val="006C6499"/>
    <w:rsid w:val="006C64E7"/>
    <w:rsid w:val="006C65C6"/>
    <w:rsid w:val="006C6623"/>
    <w:rsid w:val="006C69DA"/>
    <w:rsid w:val="006C6D65"/>
    <w:rsid w:val="006C73B9"/>
    <w:rsid w:val="006C76AA"/>
    <w:rsid w:val="006C7AAB"/>
    <w:rsid w:val="006D0480"/>
    <w:rsid w:val="006D09DB"/>
    <w:rsid w:val="006D1351"/>
    <w:rsid w:val="006D140C"/>
    <w:rsid w:val="006D15C2"/>
    <w:rsid w:val="006D18BA"/>
    <w:rsid w:val="006D1968"/>
    <w:rsid w:val="006D19AF"/>
    <w:rsid w:val="006D1AF9"/>
    <w:rsid w:val="006D1B54"/>
    <w:rsid w:val="006D1BA5"/>
    <w:rsid w:val="006D2082"/>
    <w:rsid w:val="006D2382"/>
    <w:rsid w:val="006D27C1"/>
    <w:rsid w:val="006D2E04"/>
    <w:rsid w:val="006D2E65"/>
    <w:rsid w:val="006D3421"/>
    <w:rsid w:val="006D348E"/>
    <w:rsid w:val="006D3491"/>
    <w:rsid w:val="006D34D8"/>
    <w:rsid w:val="006D3649"/>
    <w:rsid w:val="006D3D33"/>
    <w:rsid w:val="006D3EF8"/>
    <w:rsid w:val="006D42AC"/>
    <w:rsid w:val="006D4357"/>
    <w:rsid w:val="006D4472"/>
    <w:rsid w:val="006D4488"/>
    <w:rsid w:val="006D4715"/>
    <w:rsid w:val="006D4788"/>
    <w:rsid w:val="006D4B39"/>
    <w:rsid w:val="006D5026"/>
    <w:rsid w:val="006D57E8"/>
    <w:rsid w:val="006D59BD"/>
    <w:rsid w:val="006D5DA5"/>
    <w:rsid w:val="006D5DD6"/>
    <w:rsid w:val="006D6277"/>
    <w:rsid w:val="006D63EA"/>
    <w:rsid w:val="006D672F"/>
    <w:rsid w:val="006D6B5E"/>
    <w:rsid w:val="006D6C1F"/>
    <w:rsid w:val="006D6C3D"/>
    <w:rsid w:val="006D6E8A"/>
    <w:rsid w:val="006D6F47"/>
    <w:rsid w:val="006D6F4C"/>
    <w:rsid w:val="006D7189"/>
    <w:rsid w:val="006D7D88"/>
    <w:rsid w:val="006D7ECA"/>
    <w:rsid w:val="006E0070"/>
    <w:rsid w:val="006E0145"/>
    <w:rsid w:val="006E020F"/>
    <w:rsid w:val="006E02E7"/>
    <w:rsid w:val="006E0336"/>
    <w:rsid w:val="006E06B6"/>
    <w:rsid w:val="006E0786"/>
    <w:rsid w:val="006E0840"/>
    <w:rsid w:val="006E092F"/>
    <w:rsid w:val="006E0AA6"/>
    <w:rsid w:val="006E0CC1"/>
    <w:rsid w:val="006E10CC"/>
    <w:rsid w:val="006E112C"/>
    <w:rsid w:val="006E1425"/>
    <w:rsid w:val="006E1C2A"/>
    <w:rsid w:val="006E1E9F"/>
    <w:rsid w:val="006E203B"/>
    <w:rsid w:val="006E20A7"/>
    <w:rsid w:val="006E20D6"/>
    <w:rsid w:val="006E215C"/>
    <w:rsid w:val="006E24C9"/>
    <w:rsid w:val="006E27D3"/>
    <w:rsid w:val="006E2A6D"/>
    <w:rsid w:val="006E2FED"/>
    <w:rsid w:val="006E33A8"/>
    <w:rsid w:val="006E3687"/>
    <w:rsid w:val="006E374F"/>
    <w:rsid w:val="006E3A02"/>
    <w:rsid w:val="006E3B7D"/>
    <w:rsid w:val="006E3C7D"/>
    <w:rsid w:val="006E3D5F"/>
    <w:rsid w:val="006E4027"/>
    <w:rsid w:val="006E43F4"/>
    <w:rsid w:val="006E47CC"/>
    <w:rsid w:val="006E5337"/>
    <w:rsid w:val="006E54ED"/>
    <w:rsid w:val="006E5522"/>
    <w:rsid w:val="006E555A"/>
    <w:rsid w:val="006E5635"/>
    <w:rsid w:val="006E5BD0"/>
    <w:rsid w:val="006E5C29"/>
    <w:rsid w:val="006E5C83"/>
    <w:rsid w:val="006E5F92"/>
    <w:rsid w:val="006E60C9"/>
    <w:rsid w:val="006E62AA"/>
    <w:rsid w:val="006E647E"/>
    <w:rsid w:val="006E66EC"/>
    <w:rsid w:val="006E67D5"/>
    <w:rsid w:val="006E7338"/>
    <w:rsid w:val="006E7670"/>
    <w:rsid w:val="006E784B"/>
    <w:rsid w:val="006E7947"/>
    <w:rsid w:val="006E7966"/>
    <w:rsid w:val="006E7990"/>
    <w:rsid w:val="006E7B83"/>
    <w:rsid w:val="006E7CB9"/>
    <w:rsid w:val="006E7CC2"/>
    <w:rsid w:val="006E7DBD"/>
    <w:rsid w:val="006F00E4"/>
    <w:rsid w:val="006F044F"/>
    <w:rsid w:val="006F070F"/>
    <w:rsid w:val="006F08BA"/>
    <w:rsid w:val="006F0C21"/>
    <w:rsid w:val="006F0CCA"/>
    <w:rsid w:val="006F0D09"/>
    <w:rsid w:val="006F106F"/>
    <w:rsid w:val="006F149C"/>
    <w:rsid w:val="006F16DE"/>
    <w:rsid w:val="006F1B57"/>
    <w:rsid w:val="006F1CCB"/>
    <w:rsid w:val="006F1D93"/>
    <w:rsid w:val="006F1EB6"/>
    <w:rsid w:val="006F2B2B"/>
    <w:rsid w:val="006F2C9A"/>
    <w:rsid w:val="006F2F29"/>
    <w:rsid w:val="006F2FA8"/>
    <w:rsid w:val="006F2FF8"/>
    <w:rsid w:val="006F3102"/>
    <w:rsid w:val="006F33A1"/>
    <w:rsid w:val="006F3427"/>
    <w:rsid w:val="006F34DB"/>
    <w:rsid w:val="006F3AEB"/>
    <w:rsid w:val="006F3EA6"/>
    <w:rsid w:val="006F3FC5"/>
    <w:rsid w:val="006F3FC8"/>
    <w:rsid w:val="006F410F"/>
    <w:rsid w:val="006F41E6"/>
    <w:rsid w:val="006F42B6"/>
    <w:rsid w:val="006F4428"/>
    <w:rsid w:val="006F4484"/>
    <w:rsid w:val="006F4520"/>
    <w:rsid w:val="006F49C1"/>
    <w:rsid w:val="006F4B80"/>
    <w:rsid w:val="006F4FCC"/>
    <w:rsid w:val="006F503E"/>
    <w:rsid w:val="006F5280"/>
    <w:rsid w:val="006F570E"/>
    <w:rsid w:val="006F57E3"/>
    <w:rsid w:val="006F59A3"/>
    <w:rsid w:val="006F5C42"/>
    <w:rsid w:val="006F5D1C"/>
    <w:rsid w:val="006F5D24"/>
    <w:rsid w:val="006F5DE4"/>
    <w:rsid w:val="006F6545"/>
    <w:rsid w:val="006F658F"/>
    <w:rsid w:val="006F65A0"/>
    <w:rsid w:val="006F667F"/>
    <w:rsid w:val="006F6B48"/>
    <w:rsid w:val="006F703C"/>
    <w:rsid w:val="006F70B9"/>
    <w:rsid w:val="006F73E5"/>
    <w:rsid w:val="006F758D"/>
    <w:rsid w:val="006F78C4"/>
    <w:rsid w:val="006F7A6A"/>
    <w:rsid w:val="006F7AE2"/>
    <w:rsid w:val="006F7D59"/>
    <w:rsid w:val="006F7E30"/>
    <w:rsid w:val="007001E4"/>
    <w:rsid w:val="007006F9"/>
    <w:rsid w:val="007007B8"/>
    <w:rsid w:val="00700959"/>
    <w:rsid w:val="00700D0B"/>
    <w:rsid w:val="00701048"/>
    <w:rsid w:val="00701094"/>
    <w:rsid w:val="007010DE"/>
    <w:rsid w:val="00701313"/>
    <w:rsid w:val="007015B1"/>
    <w:rsid w:val="00701DBC"/>
    <w:rsid w:val="007026CB"/>
    <w:rsid w:val="00702A90"/>
    <w:rsid w:val="00702D91"/>
    <w:rsid w:val="00702DA1"/>
    <w:rsid w:val="00702F29"/>
    <w:rsid w:val="00703986"/>
    <w:rsid w:val="00703BBE"/>
    <w:rsid w:val="00703D46"/>
    <w:rsid w:val="00703EDB"/>
    <w:rsid w:val="007040B2"/>
    <w:rsid w:val="00704627"/>
    <w:rsid w:val="007046A6"/>
    <w:rsid w:val="00704CAD"/>
    <w:rsid w:val="00704E67"/>
    <w:rsid w:val="007053FB"/>
    <w:rsid w:val="0070561F"/>
    <w:rsid w:val="00705783"/>
    <w:rsid w:val="0070589C"/>
    <w:rsid w:val="007059D5"/>
    <w:rsid w:val="00705B67"/>
    <w:rsid w:val="00705D7A"/>
    <w:rsid w:val="007064C0"/>
    <w:rsid w:val="007064D7"/>
    <w:rsid w:val="007065A5"/>
    <w:rsid w:val="00706667"/>
    <w:rsid w:val="007066AC"/>
    <w:rsid w:val="00706800"/>
    <w:rsid w:val="0070685B"/>
    <w:rsid w:val="0070715A"/>
    <w:rsid w:val="00707200"/>
    <w:rsid w:val="007072D7"/>
    <w:rsid w:val="007077DF"/>
    <w:rsid w:val="00707852"/>
    <w:rsid w:val="00707B57"/>
    <w:rsid w:val="00707D00"/>
    <w:rsid w:val="00707D90"/>
    <w:rsid w:val="007102C5"/>
    <w:rsid w:val="00710330"/>
    <w:rsid w:val="007104C9"/>
    <w:rsid w:val="007106C1"/>
    <w:rsid w:val="00710830"/>
    <w:rsid w:val="00710CFB"/>
    <w:rsid w:val="0071114E"/>
    <w:rsid w:val="0071126C"/>
    <w:rsid w:val="007113BB"/>
    <w:rsid w:val="00711529"/>
    <w:rsid w:val="00711B31"/>
    <w:rsid w:val="00712023"/>
    <w:rsid w:val="0071207C"/>
    <w:rsid w:val="0071209B"/>
    <w:rsid w:val="00712464"/>
    <w:rsid w:val="007127B2"/>
    <w:rsid w:val="0071296A"/>
    <w:rsid w:val="00712FEE"/>
    <w:rsid w:val="0071323F"/>
    <w:rsid w:val="007132E8"/>
    <w:rsid w:val="00713850"/>
    <w:rsid w:val="007138E6"/>
    <w:rsid w:val="00713BBB"/>
    <w:rsid w:val="00713D33"/>
    <w:rsid w:val="00713E9C"/>
    <w:rsid w:val="00714086"/>
    <w:rsid w:val="007140AF"/>
    <w:rsid w:val="00714293"/>
    <w:rsid w:val="00714508"/>
    <w:rsid w:val="00714524"/>
    <w:rsid w:val="0071477D"/>
    <w:rsid w:val="00714C67"/>
    <w:rsid w:val="00714C9E"/>
    <w:rsid w:val="00714E25"/>
    <w:rsid w:val="0071501D"/>
    <w:rsid w:val="00715159"/>
    <w:rsid w:val="007151CC"/>
    <w:rsid w:val="00715CDB"/>
    <w:rsid w:val="00715D83"/>
    <w:rsid w:val="00716017"/>
    <w:rsid w:val="0071606B"/>
    <w:rsid w:val="0071627F"/>
    <w:rsid w:val="007164D8"/>
    <w:rsid w:val="007169B2"/>
    <w:rsid w:val="007169F3"/>
    <w:rsid w:val="00716D15"/>
    <w:rsid w:val="007173F0"/>
    <w:rsid w:val="00717A25"/>
    <w:rsid w:val="00717AEA"/>
    <w:rsid w:val="00717BFA"/>
    <w:rsid w:val="00717DF3"/>
    <w:rsid w:val="00717E1C"/>
    <w:rsid w:val="00717F42"/>
    <w:rsid w:val="0072033B"/>
    <w:rsid w:val="007206D4"/>
    <w:rsid w:val="007209D5"/>
    <w:rsid w:val="00720E08"/>
    <w:rsid w:val="00720EB9"/>
    <w:rsid w:val="00721198"/>
    <w:rsid w:val="007211B1"/>
    <w:rsid w:val="00721341"/>
    <w:rsid w:val="00721699"/>
    <w:rsid w:val="00721819"/>
    <w:rsid w:val="00721ABC"/>
    <w:rsid w:val="00721FC1"/>
    <w:rsid w:val="00722171"/>
    <w:rsid w:val="00722477"/>
    <w:rsid w:val="00722582"/>
    <w:rsid w:val="007227C3"/>
    <w:rsid w:val="00722A55"/>
    <w:rsid w:val="00722A6F"/>
    <w:rsid w:val="00722ED3"/>
    <w:rsid w:val="00722FF7"/>
    <w:rsid w:val="007232CD"/>
    <w:rsid w:val="00723A79"/>
    <w:rsid w:val="00723AE0"/>
    <w:rsid w:val="00723B46"/>
    <w:rsid w:val="00723BB2"/>
    <w:rsid w:val="00723FA7"/>
    <w:rsid w:val="007249F3"/>
    <w:rsid w:val="00724B7D"/>
    <w:rsid w:val="00724C10"/>
    <w:rsid w:val="00724C62"/>
    <w:rsid w:val="00724E34"/>
    <w:rsid w:val="007250A2"/>
    <w:rsid w:val="00725430"/>
    <w:rsid w:val="00725769"/>
    <w:rsid w:val="00725EDD"/>
    <w:rsid w:val="007260B2"/>
    <w:rsid w:val="0072614D"/>
    <w:rsid w:val="00726A26"/>
    <w:rsid w:val="00726A50"/>
    <w:rsid w:val="00726CB6"/>
    <w:rsid w:val="00726E8A"/>
    <w:rsid w:val="007271B5"/>
    <w:rsid w:val="007272FD"/>
    <w:rsid w:val="007279C5"/>
    <w:rsid w:val="00727A27"/>
    <w:rsid w:val="00727CAF"/>
    <w:rsid w:val="00730133"/>
    <w:rsid w:val="00730168"/>
    <w:rsid w:val="0073035A"/>
    <w:rsid w:val="00730D36"/>
    <w:rsid w:val="00730D3F"/>
    <w:rsid w:val="00730D86"/>
    <w:rsid w:val="007313DF"/>
    <w:rsid w:val="007315F9"/>
    <w:rsid w:val="00731615"/>
    <w:rsid w:val="007317BD"/>
    <w:rsid w:val="00731CAD"/>
    <w:rsid w:val="00731D1D"/>
    <w:rsid w:val="00731EBA"/>
    <w:rsid w:val="0073238C"/>
    <w:rsid w:val="0073258A"/>
    <w:rsid w:val="0073264D"/>
    <w:rsid w:val="00732710"/>
    <w:rsid w:val="0073274F"/>
    <w:rsid w:val="00732C46"/>
    <w:rsid w:val="00732F25"/>
    <w:rsid w:val="0073356C"/>
    <w:rsid w:val="00733685"/>
    <w:rsid w:val="00733831"/>
    <w:rsid w:val="00733AE8"/>
    <w:rsid w:val="00733B1A"/>
    <w:rsid w:val="00733D1A"/>
    <w:rsid w:val="007340E6"/>
    <w:rsid w:val="00734158"/>
    <w:rsid w:val="00734659"/>
    <w:rsid w:val="007347C8"/>
    <w:rsid w:val="007349DD"/>
    <w:rsid w:val="0073517A"/>
    <w:rsid w:val="00735383"/>
    <w:rsid w:val="00735411"/>
    <w:rsid w:val="00735734"/>
    <w:rsid w:val="00735776"/>
    <w:rsid w:val="0073581C"/>
    <w:rsid w:val="00735863"/>
    <w:rsid w:val="00735C19"/>
    <w:rsid w:val="00735E58"/>
    <w:rsid w:val="007361FF"/>
    <w:rsid w:val="007362A2"/>
    <w:rsid w:val="007366C6"/>
    <w:rsid w:val="00736963"/>
    <w:rsid w:val="00736DE8"/>
    <w:rsid w:val="00736E75"/>
    <w:rsid w:val="00736E92"/>
    <w:rsid w:val="007371FA"/>
    <w:rsid w:val="007373D4"/>
    <w:rsid w:val="007374C8"/>
    <w:rsid w:val="007376BE"/>
    <w:rsid w:val="00737CAE"/>
    <w:rsid w:val="00737D14"/>
    <w:rsid w:val="00740550"/>
    <w:rsid w:val="00740596"/>
    <w:rsid w:val="00740F4E"/>
    <w:rsid w:val="00740F61"/>
    <w:rsid w:val="00741020"/>
    <w:rsid w:val="007416A9"/>
    <w:rsid w:val="0074175B"/>
    <w:rsid w:val="00741A85"/>
    <w:rsid w:val="00741D28"/>
    <w:rsid w:val="00741E1A"/>
    <w:rsid w:val="007420EB"/>
    <w:rsid w:val="007428B3"/>
    <w:rsid w:val="00742C8B"/>
    <w:rsid w:val="00742D16"/>
    <w:rsid w:val="00742FD1"/>
    <w:rsid w:val="00743428"/>
    <w:rsid w:val="00743450"/>
    <w:rsid w:val="00743498"/>
    <w:rsid w:val="007434BA"/>
    <w:rsid w:val="00743501"/>
    <w:rsid w:val="0074368F"/>
    <w:rsid w:val="007436F2"/>
    <w:rsid w:val="00743811"/>
    <w:rsid w:val="00743D17"/>
    <w:rsid w:val="007440BD"/>
    <w:rsid w:val="00744227"/>
    <w:rsid w:val="0074467A"/>
    <w:rsid w:val="007446CC"/>
    <w:rsid w:val="0074493F"/>
    <w:rsid w:val="00744C0D"/>
    <w:rsid w:val="00744CCC"/>
    <w:rsid w:val="00744E62"/>
    <w:rsid w:val="00744E91"/>
    <w:rsid w:val="00745006"/>
    <w:rsid w:val="0074516B"/>
    <w:rsid w:val="007453E0"/>
    <w:rsid w:val="00745CCA"/>
    <w:rsid w:val="00745ECD"/>
    <w:rsid w:val="007465DF"/>
    <w:rsid w:val="00746D03"/>
    <w:rsid w:val="00746D17"/>
    <w:rsid w:val="00746DC7"/>
    <w:rsid w:val="00746F7D"/>
    <w:rsid w:val="0074702E"/>
    <w:rsid w:val="007473C2"/>
    <w:rsid w:val="00747469"/>
    <w:rsid w:val="007477C9"/>
    <w:rsid w:val="00747C3D"/>
    <w:rsid w:val="00747CE1"/>
    <w:rsid w:val="00747DAD"/>
    <w:rsid w:val="0075028F"/>
    <w:rsid w:val="0075042C"/>
    <w:rsid w:val="00751176"/>
    <w:rsid w:val="007512F9"/>
    <w:rsid w:val="007516D0"/>
    <w:rsid w:val="00751710"/>
    <w:rsid w:val="00752147"/>
    <w:rsid w:val="007521CA"/>
    <w:rsid w:val="0075226C"/>
    <w:rsid w:val="0075244D"/>
    <w:rsid w:val="0075247E"/>
    <w:rsid w:val="0075251E"/>
    <w:rsid w:val="00752840"/>
    <w:rsid w:val="00752AFD"/>
    <w:rsid w:val="00752C6C"/>
    <w:rsid w:val="00752DDB"/>
    <w:rsid w:val="00752F8B"/>
    <w:rsid w:val="00753176"/>
    <w:rsid w:val="00753269"/>
    <w:rsid w:val="0075343F"/>
    <w:rsid w:val="00753606"/>
    <w:rsid w:val="00754153"/>
    <w:rsid w:val="00754418"/>
    <w:rsid w:val="0075479D"/>
    <w:rsid w:val="00754913"/>
    <w:rsid w:val="00754BAD"/>
    <w:rsid w:val="00754CF5"/>
    <w:rsid w:val="00754EB4"/>
    <w:rsid w:val="00755037"/>
    <w:rsid w:val="00755200"/>
    <w:rsid w:val="00755441"/>
    <w:rsid w:val="0075583D"/>
    <w:rsid w:val="0075587B"/>
    <w:rsid w:val="00755A6A"/>
    <w:rsid w:val="00755DFF"/>
    <w:rsid w:val="00755F58"/>
    <w:rsid w:val="00756015"/>
    <w:rsid w:val="00756264"/>
    <w:rsid w:val="0075637A"/>
    <w:rsid w:val="007564CA"/>
    <w:rsid w:val="007565A6"/>
    <w:rsid w:val="00756721"/>
    <w:rsid w:val="0075698A"/>
    <w:rsid w:val="007569F8"/>
    <w:rsid w:val="00756BEA"/>
    <w:rsid w:val="00757053"/>
    <w:rsid w:val="007575D9"/>
    <w:rsid w:val="0075778F"/>
    <w:rsid w:val="007579CA"/>
    <w:rsid w:val="00757CA0"/>
    <w:rsid w:val="007604F4"/>
    <w:rsid w:val="0076060D"/>
    <w:rsid w:val="00760934"/>
    <w:rsid w:val="00760C73"/>
    <w:rsid w:val="00760DA0"/>
    <w:rsid w:val="007611C9"/>
    <w:rsid w:val="00761329"/>
    <w:rsid w:val="00761542"/>
    <w:rsid w:val="00761688"/>
    <w:rsid w:val="00761BA9"/>
    <w:rsid w:val="00761F82"/>
    <w:rsid w:val="007623D6"/>
    <w:rsid w:val="00762876"/>
    <w:rsid w:val="00762946"/>
    <w:rsid w:val="00762BA0"/>
    <w:rsid w:val="00762BD2"/>
    <w:rsid w:val="00762FB6"/>
    <w:rsid w:val="00762FDD"/>
    <w:rsid w:val="00763072"/>
    <w:rsid w:val="00763316"/>
    <w:rsid w:val="007633D1"/>
    <w:rsid w:val="007634B6"/>
    <w:rsid w:val="007635F8"/>
    <w:rsid w:val="00763613"/>
    <w:rsid w:val="007637CC"/>
    <w:rsid w:val="007637F1"/>
    <w:rsid w:val="00763B0A"/>
    <w:rsid w:val="00763FE2"/>
    <w:rsid w:val="00764175"/>
    <w:rsid w:val="00764183"/>
    <w:rsid w:val="007643D2"/>
    <w:rsid w:val="00764826"/>
    <w:rsid w:val="007648C8"/>
    <w:rsid w:val="00764F06"/>
    <w:rsid w:val="00765274"/>
    <w:rsid w:val="007655CE"/>
    <w:rsid w:val="007658D2"/>
    <w:rsid w:val="00765AA4"/>
    <w:rsid w:val="00765CFB"/>
    <w:rsid w:val="00765F05"/>
    <w:rsid w:val="0076618C"/>
    <w:rsid w:val="007662BD"/>
    <w:rsid w:val="007662CB"/>
    <w:rsid w:val="00766456"/>
    <w:rsid w:val="007664A3"/>
    <w:rsid w:val="0076653A"/>
    <w:rsid w:val="00766B44"/>
    <w:rsid w:val="00766BB2"/>
    <w:rsid w:val="00767688"/>
    <w:rsid w:val="00767784"/>
    <w:rsid w:val="007677A4"/>
    <w:rsid w:val="007677A7"/>
    <w:rsid w:val="00767CB0"/>
    <w:rsid w:val="00767F25"/>
    <w:rsid w:val="007700E5"/>
    <w:rsid w:val="007702D0"/>
    <w:rsid w:val="007704FB"/>
    <w:rsid w:val="00770608"/>
    <w:rsid w:val="0077062E"/>
    <w:rsid w:val="007706AC"/>
    <w:rsid w:val="00770A7D"/>
    <w:rsid w:val="00770B88"/>
    <w:rsid w:val="00770F65"/>
    <w:rsid w:val="007710BF"/>
    <w:rsid w:val="007711C2"/>
    <w:rsid w:val="0077155B"/>
    <w:rsid w:val="0077157C"/>
    <w:rsid w:val="007718BA"/>
    <w:rsid w:val="007719F5"/>
    <w:rsid w:val="007721A8"/>
    <w:rsid w:val="00772593"/>
    <w:rsid w:val="0077288E"/>
    <w:rsid w:val="00772BC7"/>
    <w:rsid w:val="00773197"/>
    <w:rsid w:val="007732AB"/>
    <w:rsid w:val="007733EC"/>
    <w:rsid w:val="00773711"/>
    <w:rsid w:val="00773799"/>
    <w:rsid w:val="007738A4"/>
    <w:rsid w:val="00773CBA"/>
    <w:rsid w:val="00773D27"/>
    <w:rsid w:val="00774091"/>
    <w:rsid w:val="00774212"/>
    <w:rsid w:val="00774289"/>
    <w:rsid w:val="007746E4"/>
    <w:rsid w:val="00774710"/>
    <w:rsid w:val="0077485F"/>
    <w:rsid w:val="00774A48"/>
    <w:rsid w:val="00774C4D"/>
    <w:rsid w:val="00774E39"/>
    <w:rsid w:val="00774E78"/>
    <w:rsid w:val="007751DE"/>
    <w:rsid w:val="007753CC"/>
    <w:rsid w:val="00775415"/>
    <w:rsid w:val="00775667"/>
    <w:rsid w:val="007756B0"/>
    <w:rsid w:val="00775701"/>
    <w:rsid w:val="0077580C"/>
    <w:rsid w:val="0077593F"/>
    <w:rsid w:val="00775B11"/>
    <w:rsid w:val="00775B66"/>
    <w:rsid w:val="00775BAD"/>
    <w:rsid w:val="00775C95"/>
    <w:rsid w:val="00775D3D"/>
    <w:rsid w:val="00775E1B"/>
    <w:rsid w:val="007760E4"/>
    <w:rsid w:val="0077621F"/>
    <w:rsid w:val="0077691A"/>
    <w:rsid w:val="00776A33"/>
    <w:rsid w:val="00776D6B"/>
    <w:rsid w:val="00776EAF"/>
    <w:rsid w:val="0077700F"/>
    <w:rsid w:val="00777275"/>
    <w:rsid w:val="00777799"/>
    <w:rsid w:val="007778BA"/>
    <w:rsid w:val="00777EE7"/>
    <w:rsid w:val="00777EFB"/>
    <w:rsid w:val="00777F0C"/>
    <w:rsid w:val="00780570"/>
    <w:rsid w:val="00780C74"/>
    <w:rsid w:val="00780D24"/>
    <w:rsid w:val="00780ED6"/>
    <w:rsid w:val="00780F58"/>
    <w:rsid w:val="00780FB2"/>
    <w:rsid w:val="007814B5"/>
    <w:rsid w:val="007814C6"/>
    <w:rsid w:val="007819CC"/>
    <w:rsid w:val="00781B24"/>
    <w:rsid w:val="00781EED"/>
    <w:rsid w:val="00781F04"/>
    <w:rsid w:val="0078207A"/>
    <w:rsid w:val="007822B9"/>
    <w:rsid w:val="00782AB6"/>
    <w:rsid w:val="00782CEC"/>
    <w:rsid w:val="00782E7E"/>
    <w:rsid w:val="007830D8"/>
    <w:rsid w:val="00783390"/>
    <w:rsid w:val="00783443"/>
    <w:rsid w:val="00783827"/>
    <w:rsid w:val="00783C0B"/>
    <w:rsid w:val="00783CDD"/>
    <w:rsid w:val="00783D7D"/>
    <w:rsid w:val="00783FB9"/>
    <w:rsid w:val="00784A61"/>
    <w:rsid w:val="00784AFB"/>
    <w:rsid w:val="00784B6B"/>
    <w:rsid w:val="00784BF9"/>
    <w:rsid w:val="00784E9A"/>
    <w:rsid w:val="00784EDE"/>
    <w:rsid w:val="007850FC"/>
    <w:rsid w:val="00785208"/>
    <w:rsid w:val="007855E5"/>
    <w:rsid w:val="00785CA0"/>
    <w:rsid w:val="00785E10"/>
    <w:rsid w:val="00785FE3"/>
    <w:rsid w:val="007861BC"/>
    <w:rsid w:val="00786228"/>
    <w:rsid w:val="00786352"/>
    <w:rsid w:val="0078641D"/>
    <w:rsid w:val="00786616"/>
    <w:rsid w:val="0078679A"/>
    <w:rsid w:val="00786A82"/>
    <w:rsid w:val="00786F1C"/>
    <w:rsid w:val="00787033"/>
    <w:rsid w:val="00787A78"/>
    <w:rsid w:val="00787BB3"/>
    <w:rsid w:val="00787EE7"/>
    <w:rsid w:val="007902CD"/>
    <w:rsid w:val="0079041F"/>
    <w:rsid w:val="00790547"/>
    <w:rsid w:val="00790899"/>
    <w:rsid w:val="007908C6"/>
    <w:rsid w:val="00790B5D"/>
    <w:rsid w:val="00790D9D"/>
    <w:rsid w:val="00790E69"/>
    <w:rsid w:val="00790F87"/>
    <w:rsid w:val="00791306"/>
    <w:rsid w:val="007914CE"/>
    <w:rsid w:val="00791937"/>
    <w:rsid w:val="00791C46"/>
    <w:rsid w:val="00791F87"/>
    <w:rsid w:val="007922CD"/>
    <w:rsid w:val="007926EB"/>
    <w:rsid w:val="00792D5C"/>
    <w:rsid w:val="00792EDB"/>
    <w:rsid w:val="007932A9"/>
    <w:rsid w:val="00793472"/>
    <w:rsid w:val="00793583"/>
    <w:rsid w:val="00793CBC"/>
    <w:rsid w:val="00793E95"/>
    <w:rsid w:val="0079445D"/>
    <w:rsid w:val="007945BB"/>
    <w:rsid w:val="00794AFD"/>
    <w:rsid w:val="00794D9D"/>
    <w:rsid w:val="00794DDE"/>
    <w:rsid w:val="00794EC9"/>
    <w:rsid w:val="00794F6C"/>
    <w:rsid w:val="007959FA"/>
    <w:rsid w:val="00795A74"/>
    <w:rsid w:val="00795D80"/>
    <w:rsid w:val="00795E47"/>
    <w:rsid w:val="007962B5"/>
    <w:rsid w:val="0079658B"/>
    <w:rsid w:val="0079659D"/>
    <w:rsid w:val="0079669E"/>
    <w:rsid w:val="007968B0"/>
    <w:rsid w:val="0079692E"/>
    <w:rsid w:val="00796D4F"/>
    <w:rsid w:val="00796F8A"/>
    <w:rsid w:val="00797019"/>
    <w:rsid w:val="00797240"/>
    <w:rsid w:val="0079761D"/>
    <w:rsid w:val="00797807"/>
    <w:rsid w:val="0079780C"/>
    <w:rsid w:val="00797BA7"/>
    <w:rsid w:val="00797C1F"/>
    <w:rsid w:val="00797E78"/>
    <w:rsid w:val="007A042B"/>
    <w:rsid w:val="007A0707"/>
    <w:rsid w:val="007A0B03"/>
    <w:rsid w:val="007A0BF6"/>
    <w:rsid w:val="007A0C44"/>
    <w:rsid w:val="007A0D28"/>
    <w:rsid w:val="007A1141"/>
    <w:rsid w:val="007A1208"/>
    <w:rsid w:val="007A1252"/>
    <w:rsid w:val="007A125A"/>
    <w:rsid w:val="007A151C"/>
    <w:rsid w:val="007A1748"/>
    <w:rsid w:val="007A1BEB"/>
    <w:rsid w:val="007A1DDE"/>
    <w:rsid w:val="007A1EC8"/>
    <w:rsid w:val="007A2B49"/>
    <w:rsid w:val="007A2CBE"/>
    <w:rsid w:val="007A3090"/>
    <w:rsid w:val="007A45BF"/>
    <w:rsid w:val="007A48A4"/>
    <w:rsid w:val="007A4A85"/>
    <w:rsid w:val="007A4B20"/>
    <w:rsid w:val="007A5449"/>
    <w:rsid w:val="007A57ED"/>
    <w:rsid w:val="007A5A0A"/>
    <w:rsid w:val="007A5CB4"/>
    <w:rsid w:val="007A5D21"/>
    <w:rsid w:val="007A63A2"/>
    <w:rsid w:val="007A648F"/>
    <w:rsid w:val="007A683A"/>
    <w:rsid w:val="007A6CFF"/>
    <w:rsid w:val="007A744B"/>
    <w:rsid w:val="007B002B"/>
    <w:rsid w:val="007B0484"/>
    <w:rsid w:val="007B05BE"/>
    <w:rsid w:val="007B06BD"/>
    <w:rsid w:val="007B0916"/>
    <w:rsid w:val="007B0D87"/>
    <w:rsid w:val="007B0EDE"/>
    <w:rsid w:val="007B0F5E"/>
    <w:rsid w:val="007B1654"/>
    <w:rsid w:val="007B16FE"/>
    <w:rsid w:val="007B1C1E"/>
    <w:rsid w:val="007B1C2B"/>
    <w:rsid w:val="007B1C3C"/>
    <w:rsid w:val="007B1D8C"/>
    <w:rsid w:val="007B223E"/>
    <w:rsid w:val="007B2A21"/>
    <w:rsid w:val="007B2A94"/>
    <w:rsid w:val="007B2D1B"/>
    <w:rsid w:val="007B30F8"/>
    <w:rsid w:val="007B3106"/>
    <w:rsid w:val="007B3451"/>
    <w:rsid w:val="007B352D"/>
    <w:rsid w:val="007B3867"/>
    <w:rsid w:val="007B3D21"/>
    <w:rsid w:val="007B3E18"/>
    <w:rsid w:val="007B3E94"/>
    <w:rsid w:val="007B40ED"/>
    <w:rsid w:val="007B4161"/>
    <w:rsid w:val="007B47EA"/>
    <w:rsid w:val="007B48CD"/>
    <w:rsid w:val="007B49B2"/>
    <w:rsid w:val="007B49B5"/>
    <w:rsid w:val="007B49F9"/>
    <w:rsid w:val="007B4E4B"/>
    <w:rsid w:val="007B5258"/>
    <w:rsid w:val="007B52D3"/>
    <w:rsid w:val="007B54B3"/>
    <w:rsid w:val="007B5529"/>
    <w:rsid w:val="007B5899"/>
    <w:rsid w:val="007B592A"/>
    <w:rsid w:val="007B5F0D"/>
    <w:rsid w:val="007B61C0"/>
    <w:rsid w:val="007B6553"/>
    <w:rsid w:val="007B6AD6"/>
    <w:rsid w:val="007B6CE1"/>
    <w:rsid w:val="007B6D00"/>
    <w:rsid w:val="007B70A7"/>
    <w:rsid w:val="007B7204"/>
    <w:rsid w:val="007B725F"/>
    <w:rsid w:val="007B73E4"/>
    <w:rsid w:val="007B765A"/>
    <w:rsid w:val="007B7F69"/>
    <w:rsid w:val="007B7FC5"/>
    <w:rsid w:val="007C03B6"/>
    <w:rsid w:val="007C03D9"/>
    <w:rsid w:val="007C03F0"/>
    <w:rsid w:val="007C0472"/>
    <w:rsid w:val="007C058C"/>
    <w:rsid w:val="007C078F"/>
    <w:rsid w:val="007C0AF1"/>
    <w:rsid w:val="007C0B0C"/>
    <w:rsid w:val="007C0D54"/>
    <w:rsid w:val="007C0D59"/>
    <w:rsid w:val="007C0FB8"/>
    <w:rsid w:val="007C10EB"/>
    <w:rsid w:val="007C1194"/>
    <w:rsid w:val="007C164E"/>
    <w:rsid w:val="007C16F6"/>
    <w:rsid w:val="007C1CEE"/>
    <w:rsid w:val="007C1FB8"/>
    <w:rsid w:val="007C227C"/>
    <w:rsid w:val="007C24AE"/>
    <w:rsid w:val="007C2DA9"/>
    <w:rsid w:val="007C3491"/>
    <w:rsid w:val="007C3602"/>
    <w:rsid w:val="007C381D"/>
    <w:rsid w:val="007C3949"/>
    <w:rsid w:val="007C3C39"/>
    <w:rsid w:val="007C3C47"/>
    <w:rsid w:val="007C3C84"/>
    <w:rsid w:val="007C431E"/>
    <w:rsid w:val="007C43FD"/>
    <w:rsid w:val="007C478A"/>
    <w:rsid w:val="007C47EE"/>
    <w:rsid w:val="007C4A9D"/>
    <w:rsid w:val="007C4CDF"/>
    <w:rsid w:val="007C4EAA"/>
    <w:rsid w:val="007C4F51"/>
    <w:rsid w:val="007C513F"/>
    <w:rsid w:val="007C5167"/>
    <w:rsid w:val="007C51C6"/>
    <w:rsid w:val="007C59E0"/>
    <w:rsid w:val="007C5CCB"/>
    <w:rsid w:val="007C6240"/>
    <w:rsid w:val="007C6358"/>
    <w:rsid w:val="007C63F6"/>
    <w:rsid w:val="007C65D9"/>
    <w:rsid w:val="007C699A"/>
    <w:rsid w:val="007C712B"/>
    <w:rsid w:val="007C7141"/>
    <w:rsid w:val="007C7284"/>
    <w:rsid w:val="007C7435"/>
    <w:rsid w:val="007C75F1"/>
    <w:rsid w:val="007C787B"/>
    <w:rsid w:val="007C7CF5"/>
    <w:rsid w:val="007C7DDD"/>
    <w:rsid w:val="007C7FA7"/>
    <w:rsid w:val="007C7FD1"/>
    <w:rsid w:val="007D017F"/>
    <w:rsid w:val="007D0300"/>
    <w:rsid w:val="007D0478"/>
    <w:rsid w:val="007D0670"/>
    <w:rsid w:val="007D07B2"/>
    <w:rsid w:val="007D0998"/>
    <w:rsid w:val="007D0E31"/>
    <w:rsid w:val="007D0E7E"/>
    <w:rsid w:val="007D0EA4"/>
    <w:rsid w:val="007D149B"/>
    <w:rsid w:val="007D150E"/>
    <w:rsid w:val="007D1724"/>
    <w:rsid w:val="007D1BAA"/>
    <w:rsid w:val="007D1BFA"/>
    <w:rsid w:val="007D2430"/>
    <w:rsid w:val="007D247D"/>
    <w:rsid w:val="007D2705"/>
    <w:rsid w:val="007D2A14"/>
    <w:rsid w:val="007D2BBE"/>
    <w:rsid w:val="007D2D28"/>
    <w:rsid w:val="007D2D34"/>
    <w:rsid w:val="007D2F4F"/>
    <w:rsid w:val="007D2F7A"/>
    <w:rsid w:val="007D3022"/>
    <w:rsid w:val="007D3331"/>
    <w:rsid w:val="007D360D"/>
    <w:rsid w:val="007D3B10"/>
    <w:rsid w:val="007D3DB1"/>
    <w:rsid w:val="007D3F93"/>
    <w:rsid w:val="007D465A"/>
    <w:rsid w:val="007D465B"/>
    <w:rsid w:val="007D483E"/>
    <w:rsid w:val="007D48A1"/>
    <w:rsid w:val="007D4E6A"/>
    <w:rsid w:val="007D4EF9"/>
    <w:rsid w:val="007D4F7F"/>
    <w:rsid w:val="007D5120"/>
    <w:rsid w:val="007D5307"/>
    <w:rsid w:val="007D5686"/>
    <w:rsid w:val="007D56B7"/>
    <w:rsid w:val="007D5979"/>
    <w:rsid w:val="007D5F2A"/>
    <w:rsid w:val="007D62E9"/>
    <w:rsid w:val="007D6493"/>
    <w:rsid w:val="007D6526"/>
    <w:rsid w:val="007D6BDA"/>
    <w:rsid w:val="007D6FAC"/>
    <w:rsid w:val="007D77D3"/>
    <w:rsid w:val="007D7C6B"/>
    <w:rsid w:val="007E0172"/>
    <w:rsid w:val="007E0225"/>
    <w:rsid w:val="007E0246"/>
    <w:rsid w:val="007E040D"/>
    <w:rsid w:val="007E04F4"/>
    <w:rsid w:val="007E08BD"/>
    <w:rsid w:val="007E0941"/>
    <w:rsid w:val="007E0C70"/>
    <w:rsid w:val="007E0D36"/>
    <w:rsid w:val="007E0E05"/>
    <w:rsid w:val="007E0E24"/>
    <w:rsid w:val="007E0EE6"/>
    <w:rsid w:val="007E1491"/>
    <w:rsid w:val="007E164F"/>
    <w:rsid w:val="007E1652"/>
    <w:rsid w:val="007E1C50"/>
    <w:rsid w:val="007E2258"/>
    <w:rsid w:val="007E2433"/>
    <w:rsid w:val="007E251B"/>
    <w:rsid w:val="007E257E"/>
    <w:rsid w:val="007E2757"/>
    <w:rsid w:val="007E287B"/>
    <w:rsid w:val="007E28E5"/>
    <w:rsid w:val="007E2D01"/>
    <w:rsid w:val="007E2F72"/>
    <w:rsid w:val="007E3268"/>
    <w:rsid w:val="007E329E"/>
    <w:rsid w:val="007E3814"/>
    <w:rsid w:val="007E3FE0"/>
    <w:rsid w:val="007E41F4"/>
    <w:rsid w:val="007E4545"/>
    <w:rsid w:val="007E4677"/>
    <w:rsid w:val="007E4923"/>
    <w:rsid w:val="007E4B66"/>
    <w:rsid w:val="007E4B82"/>
    <w:rsid w:val="007E4B8F"/>
    <w:rsid w:val="007E56DB"/>
    <w:rsid w:val="007E5835"/>
    <w:rsid w:val="007E5A0C"/>
    <w:rsid w:val="007E5F01"/>
    <w:rsid w:val="007E607F"/>
    <w:rsid w:val="007E6365"/>
    <w:rsid w:val="007E6962"/>
    <w:rsid w:val="007E728D"/>
    <w:rsid w:val="007E7CEE"/>
    <w:rsid w:val="007F01B3"/>
    <w:rsid w:val="007F0441"/>
    <w:rsid w:val="007F0624"/>
    <w:rsid w:val="007F065E"/>
    <w:rsid w:val="007F0941"/>
    <w:rsid w:val="007F1294"/>
    <w:rsid w:val="007F1BCE"/>
    <w:rsid w:val="007F1E39"/>
    <w:rsid w:val="007F230B"/>
    <w:rsid w:val="007F2449"/>
    <w:rsid w:val="007F245C"/>
    <w:rsid w:val="007F271E"/>
    <w:rsid w:val="007F2898"/>
    <w:rsid w:val="007F291F"/>
    <w:rsid w:val="007F2E17"/>
    <w:rsid w:val="007F3537"/>
    <w:rsid w:val="007F3579"/>
    <w:rsid w:val="007F3C48"/>
    <w:rsid w:val="007F3D16"/>
    <w:rsid w:val="007F3DB5"/>
    <w:rsid w:val="007F4011"/>
    <w:rsid w:val="007F4105"/>
    <w:rsid w:val="007F4317"/>
    <w:rsid w:val="007F4802"/>
    <w:rsid w:val="007F4B06"/>
    <w:rsid w:val="007F4BC3"/>
    <w:rsid w:val="007F4C5D"/>
    <w:rsid w:val="007F5363"/>
    <w:rsid w:val="007F59CF"/>
    <w:rsid w:val="007F59D6"/>
    <w:rsid w:val="007F61A8"/>
    <w:rsid w:val="007F62F4"/>
    <w:rsid w:val="007F675D"/>
    <w:rsid w:val="007F6A33"/>
    <w:rsid w:val="007F6A6D"/>
    <w:rsid w:val="007F6E54"/>
    <w:rsid w:val="007F6E56"/>
    <w:rsid w:val="007F6EB6"/>
    <w:rsid w:val="007F70B5"/>
    <w:rsid w:val="007F7211"/>
    <w:rsid w:val="007F72B6"/>
    <w:rsid w:val="007F774F"/>
    <w:rsid w:val="007F78D3"/>
    <w:rsid w:val="007F7B89"/>
    <w:rsid w:val="00800293"/>
    <w:rsid w:val="00800385"/>
    <w:rsid w:val="0080056F"/>
    <w:rsid w:val="00800A11"/>
    <w:rsid w:val="00800A49"/>
    <w:rsid w:val="00800ABF"/>
    <w:rsid w:val="00800B3A"/>
    <w:rsid w:val="00800DE5"/>
    <w:rsid w:val="00800ECB"/>
    <w:rsid w:val="0080147A"/>
    <w:rsid w:val="00801614"/>
    <w:rsid w:val="008016B4"/>
    <w:rsid w:val="00801B52"/>
    <w:rsid w:val="00801FD7"/>
    <w:rsid w:val="00802AE9"/>
    <w:rsid w:val="00802B9A"/>
    <w:rsid w:val="00802C00"/>
    <w:rsid w:val="00802DDC"/>
    <w:rsid w:val="008030C4"/>
    <w:rsid w:val="0080318E"/>
    <w:rsid w:val="00803383"/>
    <w:rsid w:val="00803394"/>
    <w:rsid w:val="0080355E"/>
    <w:rsid w:val="008035D5"/>
    <w:rsid w:val="0080362C"/>
    <w:rsid w:val="0080376F"/>
    <w:rsid w:val="00803B20"/>
    <w:rsid w:val="00803CA2"/>
    <w:rsid w:val="008040BD"/>
    <w:rsid w:val="008041BF"/>
    <w:rsid w:val="00804300"/>
    <w:rsid w:val="008043DB"/>
    <w:rsid w:val="00804C43"/>
    <w:rsid w:val="00804F35"/>
    <w:rsid w:val="008053B5"/>
    <w:rsid w:val="00805488"/>
    <w:rsid w:val="008054AB"/>
    <w:rsid w:val="00805583"/>
    <w:rsid w:val="00805631"/>
    <w:rsid w:val="008056C1"/>
    <w:rsid w:val="00805A88"/>
    <w:rsid w:val="00805F9C"/>
    <w:rsid w:val="008061F0"/>
    <w:rsid w:val="0080651C"/>
    <w:rsid w:val="00806668"/>
    <w:rsid w:val="008067AC"/>
    <w:rsid w:val="008068DF"/>
    <w:rsid w:val="00806962"/>
    <w:rsid w:val="00806976"/>
    <w:rsid w:val="00806BFD"/>
    <w:rsid w:val="00806D6C"/>
    <w:rsid w:val="00807626"/>
    <w:rsid w:val="00807648"/>
    <w:rsid w:val="00807A8C"/>
    <w:rsid w:val="00807B1D"/>
    <w:rsid w:val="00807B46"/>
    <w:rsid w:val="00807C26"/>
    <w:rsid w:val="00807C5A"/>
    <w:rsid w:val="00810238"/>
    <w:rsid w:val="0081035C"/>
    <w:rsid w:val="008106E0"/>
    <w:rsid w:val="00810962"/>
    <w:rsid w:val="00810995"/>
    <w:rsid w:val="00810B99"/>
    <w:rsid w:val="00810C70"/>
    <w:rsid w:val="00810D10"/>
    <w:rsid w:val="00810E22"/>
    <w:rsid w:val="00811317"/>
    <w:rsid w:val="008113DB"/>
    <w:rsid w:val="00811BA0"/>
    <w:rsid w:val="00811BD4"/>
    <w:rsid w:val="00811BE8"/>
    <w:rsid w:val="00811CB4"/>
    <w:rsid w:val="00811E4A"/>
    <w:rsid w:val="00811F4A"/>
    <w:rsid w:val="00812013"/>
    <w:rsid w:val="00812132"/>
    <w:rsid w:val="00812210"/>
    <w:rsid w:val="00812282"/>
    <w:rsid w:val="00812401"/>
    <w:rsid w:val="00812942"/>
    <w:rsid w:val="00812BA3"/>
    <w:rsid w:val="00812C09"/>
    <w:rsid w:val="00812E9C"/>
    <w:rsid w:val="00812EE4"/>
    <w:rsid w:val="00813004"/>
    <w:rsid w:val="0081310A"/>
    <w:rsid w:val="008134AB"/>
    <w:rsid w:val="00813616"/>
    <w:rsid w:val="00813764"/>
    <w:rsid w:val="00813A71"/>
    <w:rsid w:val="00813A98"/>
    <w:rsid w:val="00813AA9"/>
    <w:rsid w:val="00813E13"/>
    <w:rsid w:val="00813FC2"/>
    <w:rsid w:val="00813FCC"/>
    <w:rsid w:val="00814A97"/>
    <w:rsid w:val="00814DF8"/>
    <w:rsid w:val="00814EBC"/>
    <w:rsid w:val="00815752"/>
    <w:rsid w:val="00815A23"/>
    <w:rsid w:val="00815A45"/>
    <w:rsid w:val="008166CD"/>
    <w:rsid w:val="0081686F"/>
    <w:rsid w:val="00816A10"/>
    <w:rsid w:val="00817176"/>
    <w:rsid w:val="00817560"/>
    <w:rsid w:val="008176E3"/>
    <w:rsid w:val="00817C7C"/>
    <w:rsid w:val="00817EE8"/>
    <w:rsid w:val="00820165"/>
    <w:rsid w:val="008203E2"/>
    <w:rsid w:val="00820A90"/>
    <w:rsid w:val="008210E9"/>
    <w:rsid w:val="0082150C"/>
    <w:rsid w:val="00821C12"/>
    <w:rsid w:val="00821C4A"/>
    <w:rsid w:val="00822179"/>
    <w:rsid w:val="008224D7"/>
    <w:rsid w:val="0082265E"/>
    <w:rsid w:val="0082277D"/>
    <w:rsid w:val="008227D4"/>
    <w:rsid w:val="00822988"/>
    <w:rsid w:val="00822BD5"/>
    <w:rsid w:val="00822BFC"/>
    <w:rsid w:val="00822C0A"/>
    <w:rsid w:val="00822C1B"/>
    <w:rsid w:val="00822DBC"/>
    <w:rsid w:val="008230A2"/>
    <w:rsid w:val="00823184"/>
    <w:rsid w:val="00823389"/>
    <w:rsid w:val="008239EC"/>
    <w:rsid w:val="00823B07"/>
    <w:rsid w:val="00823B1F"/>
    <w:rsid w:val="00823D9F"/>
    <w:rsid w:val="0082423E"/>
    <w:rsid w:val="00824380"/>
    <w:rsid w:val="00824478"/>
    <w:rsid w:val="008248E4"/>
    <w:rsid w:val="00824913"/>
    <w:rsid w:val="00824B06"/>
    <w:rsid w:val="00824C64"/>
    <w:rsid w:val="00824CD7"/>
    <w:rsid w:val="00824D02"/>
    <w:rsid w:val="008250A4"/>
    <w:rsid w:val="00825269"/>
    <w:rsid w:val="00825341"/>
    <w:rsid w:val="0082558A"/>
    <w:rsid w:val="00825691"/>
    <w:rsid w:val="00825700"/>
    <w:rsid w:val="00825991"/>
    <w:rsid w:val="00825B49"/>
    <w:rsid w:val="008261BA"/>
    <w:rsid w:val="00826BA5"/>
    <w:rsid w:val="00826C5C"/>
    <w:rsid w:val="00827485"/>
    <w:rsid w:val="00827971"/>
    <w:rsid w:val="0083015A"/>
    <w:rsid w:val="00830412"/>
    <w:rsid w:val="0083046E"/>
    <w:rsid w:val="0083071E"/>
    <w:rsid w:val="008308AE"/>
    <w:rsid w:val="00830EB3"/>
    <w:rsid w:val="00831030"/>
    <w:rsid w:val="0083115F"/>
    <w:rsid w:val="008315A9"/>
    <w:rsid w:val="00831B10"/>
    <w:rsid w:val="00831D8B"/>
    <w:rsid w:val="0083230D"/>
    <w:rsid w:val="008325DF"/>
    <w:rsid w:val="0083261C"/>
    <w:rsid w:val="008326AD"/>
    <w:rsid w:val="00832793"/>
    <w:rsid w:val="00832AAF"/>
    <w:rsid w:val="00832BB8"/>
    <w:rsid w:val="00833119"/>
    <w:rsid w:val="00833128"/>
    <w:rsid w:val="008331D7"/>
    <w:rsid w:val="008335A4"/>
    <w:rsid w:val="008335B5"/>
    <w:rsid w:val="00833962"/>
    <w:rsid w:val="00833A9F"/>
    <w:rsid w:val="008341F5"/>
    <w:rsid w:val="00834A49"/>
    <w:rsid w:val="00834D2A"/>
    <w:rsid w:val="00834E92"/>
    <w:rsid w:val="00835003"/>
    <w:rsid w:val="008350EA"/>
    <w:rsid w:val="0083510E"/>
    <w:rsid w:val="008351CD"/>
    <w:rsid w:val="008358C8"/>
    <w:rsid w:val="00835BB1"/>
    <w:rsid w:val="00835EAC"/>
    <w:rsid w:val="00836277"/>
    <w:rsid w:val="008362D7"/>
    <w:rsid w:val="008363EB"/>
    <w:rsid w:val="0083687C"/>
    <w:rsid w:val="00836A45"/>
    <w:rsid w:val="00836C35"/>
    <w:rsid w:val="00836EF4"/>
    <w:rsid w:val="008371C8"/>
    <w:rsid w:val="008373CF"/>
    <w:rsid w:val="00837746"/>
    <w:rsid w:val="008377B2"/>
    <w:rsid w:val="0083781E"/>
    <w:rsid w:val="00837861"/>
    <w:rsid w:val="00837BD1"/>
    <w:rsid w:val="00837EC2"/>
    <w:rsid w:val="0084006D"/>
    <w:rsid w:val="00840195"/>
    <w:rsid w:val="00840435"/>
    <w:rsid w:val="00840557"/>
    <w:rsid w:val="00840673"/>
    <w:rsid w:val="00840677"/>
    <w:rsid w:val="0084079D"/>
    <w:rsid w:val="008407E7"/>
    <w:rsid w:val="008409E8"/>
    <w:rsid w:val="00840A1A"/>
    <w:rsid w:val="00840CD3"/>
    <w:rsid w:val="00840DAE"/>
    <w:rsid w:val="00840F01"/>
    <w:rsid w:val="0084105C"/>
    <w:rsid w:val="0084128C"/>
    <w:rsid w:val="008412C1"/>
    <w:rsid w:val="0084142A"/>
    <w:rsid w:val="008414A9"/>
    <w:rsid w:val="008414EA"/>
    <w:rsid w:val="0084189B"/>
    <w:rsid w:val="00841CBE"/>
    <w:rsid w:val="00841F63"/>
    <w:rsid w:val="00841FCD"/>
    <w:rsid w:val="00842429"/>
    <w:rsid w:val="0084243E"/>
    <w:rsid w:val="0084248B"/>
    <w:rsid w:val="00842512"/>
    <w:rsid w:val="0084264F"/>
    <w:rsid w:val="008429C8"/>
    <w:rsid w:val="008429EF"/>
    <w:rsid w:val="00842D4F"/>
    <w:rsid w:val="00842E0E"/>
    <w:rsid w:val="00842ECE"/>
    <w:rsid w:val="00842F0D"/>
    <w:rsid w:val="0084310B"/>
    <w:rsid w:val="00843148"/>
    <w:rsid w:val="00843485"/>
    <w:rsid w:val="00843725"/>
    <w:rsid w:val="008437EA"/>
    <w:rsid w:val="0084386A"/>
    <w:rsid w:val="008439EA"/>
    <w:rsid w:val="00843ADE"/>
    <w:rsid w:val="00843EE6"/>
    <w:rsid w:val="0084426F"/>
    <w:rsid w:val="008444CC"/>
    <w:rsid w:val="008446AF"/>
    <w:rsid w:val="0084483E"/>
    <w:rsid w:val="0084487F"/>
    <w:rsid w:val="00844DB0"/>
    <w:rsid w:val="00844E0A"/>
    <w:rsid w:val="008453FD"/>
    <w:rsid w:val="008456A0"/>
    <w:rsid w:val="00845919"/>
    <w:rsid w:val="00845C48"/>
    <w:rsid w:val="00845E09"/>
    <w:rsid w:val="008461ED"/>
    <w:rsid w:val="008462C4"/>
    <w:rsid w:val="008462CD"/>
    <w:rsid w:val="0084697B"/>
    <w:rsid w:val="00846BE3"/>
    <w:rsid w:val="00846BEB"/>
    <w:rsid w:val="00846EC5"/>
    <w:rsid w:val="008471D8"/>
    <w:rsid w:val="00847273"/>
    <w:rsid w:val="00847333"/>
    <w:rsid w:val="0084733A"/>
    <w:rsid w:val="0084754D"/>
    <w:rsid w:val="00847664"/>
    <w:rsid w:val="00847E9D"/>
    <w:rsid w:val="00850389"/>
    <w:rsid w:val="008504BC"/>
    <w:rsid w:val="0085061F"/>
    <w:rsid w:val="008506E5"/>
    <w:rsid w:val="0085100B"/>
    <w:rsid w:val="0085193C"/>
    <w:rsid w:val="00851A44"/>
    <w:rsid w:val="00851FA5"/>
    <w:rsid w:val="008520AD"/>
    <w:rsid w:val="00852985"/>
    <w:rsid w:val="00852B08"/>
    <w:rsid w:val="00852CF7"/>
    <w:rsid w:val="00852DEA"/>
    <w:rsid w:val="00852F59"/>
    <w:rsid w:val="00853022"/>
    <w:rsid w:val="008532AA"/>
    <w:rsid w:val="00853B10"/>
    <w:rsid w:val="00853D3B"/>
    <w:rsid w:val="00853FE0"/>
    <w:rsid w:val="00854139"/>
    <w:rsid w:val="00854511"/>
    <w:rsid w:val="008545FD"/>
    <w:rsid w:val="008548B7"/>
    <w:rsid w:val="00854904"/>
    <w:rsid w:val="00854E80"/>
    <w:rsid w:val="0085509A"/>
    <w:rsid w:val="00855150"/>
    <w:rsid w:val="00855342"/>
    <w:rsid w:val="008556C0"/>
    <w:rsid w:val="00855763"/>
    <w:rsid w:val="00855ACE"/>
    <w:rsid w:val="00855B65"/>
    <w:rsid w:val="00855D6E"/>
    <w:rsid w:val="0085601C"/>
    <w:rsid w:val="0085622F"/>
    <w:rsid w:val="00856439"/>
    <w:rsid w:val="008565A2"/>
    <w:rsid w:val="00856822"/>
    <w:rsid w:val="00856D5B"/>
    <w:rsid w:val="00857400"/>
    <w:rsid w:val="0085775A"/>
    <w:rsid w:val="0085793E"/>
    <w:rsid w:val="0085797B"/>
    <w:rsid w:val="00857AB1"/>
    <w:rsid w:val="00857C3D"/>
    <w:rsid w:val="00857D95"/>
    <w:rsid w:val="00860058"/>
    <w:rsid w:val="00860BCA"/>
    <w:rsid w:val="00860C8E"/>
    <w:rsid w:val="00860F97"/>
    <w:rsid w:val="008610BD"/>
    <w:rsid w:val="00861335"/>
    <w:rsid w:val="0086163D"/>
    <w:rsid w:val="00861864"/>
    <w:rsid w:val="008619F5"/>
    <w:rsid w:val="00861A27"/>
    <w:rsid w:val="00861A50"/>
    <w:rsid w:val="00861BAF"/>
    <w:rsid w:val="00861E77"/>
    <w:rsid w:val="00861F07"/>
    <w:rsid w:val="00861F62"/>
    <w:rsid w:val="008620A0"/>
    <w:rsid w:val="00862318"/>
    <w:rsid w:val="00862464"/>
    <w:rsid w:val="00862553"/>
    <w:rsid w:val="00862A7D"/>
    <w:rsid w:val="00862C23"/>
    <w:rsid w:val="00862D0F"/>
    <w:rsid w:val="0086304A"/>
    <w:rsid w:val="0086309B"/>
    <w:rsid w:val="0086309F"/>
    <w:rsid w:val="00863699"/>
    <w:rsid w:val="008639C3"/>
    <w:rsid w:val="00864476"/>
    <w:rsid w:val="0086458A"/>
    <w:rsid w:val="008645BB"/>
    <w:rsid w:val="0086497F"/>
    <w:rsid w:val="00864BF5"/>
    <w:rsid w:val="00864E63"/>
    <w:rsid w:val="008650A8"/>
    <w:rsid w:val="00865273"/>
    <w:rsid w:val="00865487"/>
    <w:rsid w:val="0086592C"/>
    <w:rsid w:val="00865E30"/>
    <w:rsid w:val="00865EEF"/>
    <w:rsid w:val="00865F3D"/>
    <w:rsid w:val="00866334"/>
    <w:rsid w:val="008663BB"/>
    <w:rsid w:val="00866846"/>
    <w:rsid w:val="00866A3D"/>
    <w:rsid w:val="008673E9"/>
    <w:rsid w:val="00867407"/>
    <w:rsid w:val="00867580"/>
    <w:rsid w:val="008678A5"/>
    <w:rsid w:val="00870142"/>
    <w:rsid w:val="008704F9"/>
    <w:rsid w:val="00870A81"/>
    <w:rsid w:val="00870BFD"/>
    <w:rsid w:val="00870C90"/>
    <w:rsid w:val="00871127"/>
    <w:rsid w:val="008712F5"/>
    <w:rsid w:val="00871B29"/>
    <w:rsid w:val="00871B74"/>
    <w:rsid w:val="00871FC7"/>
    <w:rsid w:val="0087233C"/>
    <w:rsid w:val="00872452"/>
    <w:rsid w:val="008727BC"/>
    <w:rsid w:val="0087298B"/>
    <w:rsid w:val="008731CC"/>
    <w:rsid w:val="008732D9"/>
    <w:rsid w:val="0087340C"/>
    <w:rsid w:val="00873497"/>
    <w:rsid w:val="008734D0"/>
    <w:rsid w:val="00873563"/>
    <w:rsid w:val="008736D0"/>
    <w:rsid w:val="00873EAA"/>
    <w:rsid w:val="00873EDE"/>
    <w:rsid w:val="00874573"/>
    <w:rsid w:val="00874B02"/>
    <w:rsid w:val="00874CAD"/>
    <w:rsid w:val="00874EAF"/>
    <w:rsid w:val="00874F4C"/>
    <w:rsid w:val="00874F75"/>
    <w:rsid w:val="0087512D"/>
    <w:rsid w:val="00875529"/>
    <w:rsid w:val="008757F9"/>
    <w:rsid w:val="0087641D"/>
    <w:rsid w:val="00876BC7"/>
    <w:rsid w:val="00876DD6"/>
    <w:rsid w:val="00876F13"/>
    <w:rsid w:val="0087732B"/>
    <w:rsid w:val="0087770F"/>
    <w:rsid w:val="008777D5"/>
    <w:rsid w:val="00877CEA"/>
    <w:rsid w:val="00877E17"/>
    <w:rsid w:val="00877FA1"/>
    <w:rsid w:val="00877FEC"/>
    <w:rsid w:val="00880304"/>
    <w:rsid w:val="00880529"/>
    <w:rsid w:val="0088061A"/>
    <w:rsid w:val="0088088B"/>
    <w:rsid w:val="00880B01"/>
    <w:rsid w:val="00880B26"/>
    <w:rsid w:val="00880BC3"/>
    <w:rsid w:val="00880C13"/>
    <w:rsid w:val="00880C5A"/>
    <w:rsid w:val="00880D22"/>
    <w:rsid w:val="00880D95"/>
    <w:rsid w:val="00880E6B"/>
    <w:rsid w:val="00881244"/>
    <w:rsid w:val="0088171D"/>
    <w:rsid w:val="00881850"/>
    <w:rsid w:val="00881A92"/>
    <w:rsid w:val="00881C8C"/>
    <w:rsid w:val="00881D93"/>
    <w:rsid w:val="00881E48"/>
    <w:rsid w:val="008821CE"/>
    <w:rsid w:val="008828DA"/>
    <w:rsid w:val="008828E7"/>
    <w:rsid w:val="00882B11"/>
    <w:rsid w:val="00882B4B"/>
    <w:rsid w:val="00882D67"/>
    <w:rsid w:val="00882E38"/>
    <w:rsid w:val="00882ECE"/>
    <w:rsid w:val="00883094"/>
    <w:rsid w:val="00883602"/>
    <w:rsid w:val="008837AC"/>
    <w:rsid w:val="00883E34"/>
    <w:rsid w:val="0088411C"/>
    <w:rsid w:val="0088461C"/>
    <w:rsid w:val="00884654"/>
    <w:rsid w:val="008848C0"/>
    <w:rsid w:val="00884C8C"/>
    <w:rsid w:val="00884D0A"/>
    <w:rsid w:val="00885172"/>
    <w:rsid w:val="008851A4"/>
    <w:rsid w:val="008851AB"/>
    <w:rsid w:val="008854AB"/>
    <w:rsid w:val="00885691"/>
    <w:rsid w:val="008856F7"/>
    <w:rsid w:val="0088572D"/>
    <w:rsid w:val="008859BC"/>
    <w:rsid w:val="0088608D"/>
    <w:rsid w:val="008863F9"/>
    <w:rsid w:val="00886559"/>
    <w:rsid w:val="00886888"/>
    <w:rsid w:val="008868CF"/>
    <w:rsid w:val="00886950"/>
    <w:rsid w:val="008869DE"/>
    <w:rsid w:val="00886F8A"/>
    <w:rsid w:val="00887008"/>
    <w:rsid w:val="00887645"/>
    <w:rsid w:val="008877D6"/>
    <w:rsid w:val="008879B3"/>
    <w:rsid w:val="00887CBE"/>
    <w:rsid w:val="00887DAD"/>
    <w:rsid w:val="00887DDE"/>
    <w:rsid w:val="0089001C"/>
    <w:rsid w:val="00890098"/>
    <w:rsid w:val="008903DF"/>
    <w:rsid w:val="008909BE"/>
    <w:rsid w:val="00890D24"/>
    <w:rsid w:val="008913BB"/>
    <w:rsid w:val="00891E85"/>
    <w:rsid w:val="0089216C"/>
    <w:rsid w:val="008922FA"/>
    <w:rsid w:val="00892316"/>
    <w:rsid w:val="008926DA"/>
    <w:rsid w:val="008927F7"/>
    <w:rsid w:val="008929F1"/>
    <w:rsid w:val="00892C2D"/>
    <w:rsid w:val="00892CC2"/>
    <w:rsid w:val="00892CD6"/>
    <w:rsid w:val="00892E8F"/>
    <w:rsid w:val="00892F12"/>
    <w:rsid w:val="00892F19"/>
    <w:rsid w:val="00893E33"/>
    <w:rsid w:val="00893EE3"/>
    <w:rsid w:val="00893FB6"/>
    <w:rsid w:val="00894230"/>
    <w:rsid w:val="008942C5"/>
    <w:rsid w:val="008945AC"/>
    <w:rsid w:val="008946C2"/>
    <w:rsid w:val="00894B2B"/>
    <w:rsid w:val="00894B4A"/>
    <w:rsid w:val="00894E51"/>
    <w:rsid w:val="00895149"/>
    <w:rsid w:val="00895815"/>
    <w:rsid w:val="00895AC1"/>
    <w:rsid w:val="008962E8"/>
    <w:rsid w:val="0089677D"/>
    <w:rsid w:val="00896C6D"/>
    <w:rsid w:val="008975CE"/>
    <w:rsid w:val="00897639"/>
    <w:rsid w:val="008976E3"/>
    <w:rsid w:val="00897856"/>
    <w:rsid w:val="00897A59"/>
    <w:rsid w:val="00897B7C"/>
    <w:rsid w:val="00897BDF"/>
    <w:rsid w:val="00897CD1"/>
    <w:rsid w:val="00897D04"/>
    <w:rsid w:val="00897F5C"/>
    <w:rsid w:val="008A01F9"/>
    <w:rsid w:val="008A026F"/>
    <w:rsid w:val="008A05BC"/>
    <w:rsid w:val="008A07B7"/>
    <w:rsid w:val="008A0BEE"/>
    <w:rsid w:val="008A0C5B"/>
    <w:rsid w:val="008A0D3E"/>
    <w:rsid w:val="008A0F73"/>
    <w:rsid w:val="008A133C"/>
    <w:rsid w:val="008A14EA"/>
    <w:rsid w:val="008A16C2"/>
    <w:rsid w:val="008A1A3E"/>
    <w:rsid w:val="008A1ACE"/>
    <w:rsid w:val="008A1B70"/>
    <w:rsid w:val="008A1DEA"/>
    <w:rsid w:val="008A1F29"/>
    <w:rsid w:val="008A2029"/>
    <w:rsid w:val="008A2203"/>
    <w:rsid w:val="008A250A"/>
    <w:rsid w:val="008A263E"/>
    <w:rsid w:val="008A26D9"/>
    <w:rsid w:val="008A2844"/>
    <w:rsid w:val="008A2CB8"/>
    <w:rsid w:val="008A3198"/>
    <w:rsid w:val="008A3275"/>
    <w:rsid w:val="008A36EB"/>
    <w:rsid w:val="008A3875"/>
    <w:rsid w:val="008A3B5A"/>
    <w:rsid w:val="008A3C90"/>
    <w:rsid w:val="008A422D"/>
    <w:rsid w:val="008A452A"/>
    <w:rsid w:val="008A453A"/>
    <w:rsid w:val="008A485F"/>
    <w:rsid w:val="008A4A33"/>
    <w:rsid w:val="008A4A4C"/>
    <w:rsid w:val="008A4AE9"/>
    <w:rsid w:val="008A4F47"/>
    <w:rsid w:val="008A53A0"/>
    <w:rsid w:val="008A5736"/>
    <w:rsid w:val="008A5F93"/>
    <w:rsid w:val="008A613E"/>
    <w:rsid w:val="008A64CE"/>
    <w:rsid w:val="008A6639"/>
    <w:rsid w:val="008A663A"/>
    <w:rsid w:val="008A6788"/>
    <w:rsid w:val="008A67C1"/>
    <w:rsid w:val="008A683C"/>
    <w:rsid w:val="008A6994"/>
    <w:rsid w:val="008A6A1A"/>
    <w:rsid w:val="008A6EEB"/>
    <w:rsid w:val="008A718A"/>
    <w:rsid w:val="008A76A9"/>
    <w:rsid w:val="008A7834"/>
    <w:rsid w:val="008A7944"/>
    <w:rsid w:val="008A79FC"/>
    <w:rsid w:val="008A7C50"/>
    <w:rsid w:val="008A7CE7"/>
    <w:rsid w:val="008B0021"/>
    <w:rsid w:val="008B01A4"/>
    <w:rsid w:val="008B01D8"/>
    <w:rsid w:val="008B03E8"/>
    <w:rsid w:val="008B04DE"/>
    <w:rsid w:val="008B0A0E"/>
    <w:rsid w:val="008B0AD6"/>
    <w:rsid w:val="008B118C"/>
    <w:rsid w:val="008B1354"/>
    <w:rsid w:val="008B15CC"/>
    <w:rsid w:val="008B15E0"/>
    <w:rsid w:val="008B1666"/>
    <w:rsid w:val="008B1CEC"/>
    <w:rsid w:val="008B1DBF"/>
    <w:rsid w:val="008B26AF"/>
    <w:rsid w:val="008B26E2"/>
    <w:rsid w:val="008B2797"/>
    <w:rsid w:val="008B2C59"/>
    <w:rsid w:val="008B2D5B"/>
    <w:rsid w:val="008B31F3"/>
    <w:rsid w:val="008B3717"/>
    <w:rsid w:val="008B37B2"/>
    <w:rsid w:val="008B3BE5"/>
    <w:rsid w:val="008B3F63"/>
    <w:rsid w:val="008B4191"/>
    <w:rsid w:val="008B48B1"/>
    <w:rsid w:val="008B49D1"/>
    <w:rsid w:val="008B4DD0"/>
    <w:rsid w:val="008B4F7D"/>
    <w:rsid w:val="008B524B"/>
    <w:rsid w:val="008B562E"/>
    <w:rsid w:val="008B5960"/>
    <w:rsid w:val="008B5A45"/>
    <w:rsid w:val="008B5A86"/>
    <w:rsid w:val="008B5CEB"/>
    <w:rsid w:val="008B5FBD"/>
    <w:rsid w:val="008B6069"/>
    <w:rsid w:val="008B6094"/>
    <w:rsid w:val="008B640D"/>
    <w:rsid w:val="008B6D91"/>
    <w:rsid w:val="008B7079"/>
    <w:rsid w:val="008B7219"/>
    <w:rsid w:val="008B7331"/>
    <w:rsid w:val="008B77F6"/>
    <w:rsid w:val="008B7863"/>
    <w:rsid w:val="008B7ACA"/>
    <w:rsid w:val="008B7B31"/>
    <w:rsid w:val="008B7E42"/>
    <w:rsid w:val="008B7FDF"/>
    <w:rsid w:val="008C0286"/>
    <w:rsid w:val="008C0588"/>
    <w:rsid w:val="008C0D1B"/>
    <w:rsid w:val="008C0D4C"/>
    <w:rsid w:val="008C0F52"/>
    <w:rsid w:val="008C108C"/>
    <w:rsid w:val="008C150D"/>
    <w:rsid w:val="008C1DC3"/>
    <w:rsid w:val="008C2068"/>
    <w:rsid w:val="008C2388"/>
    <w:rsid w:val="008C25BC"/>
    <w:rsid w:val="008C2925"/>
    <w:rsid w:val="008C2A4E"/>
    <w:rsid w:val="008C2B8A"/>
    <w:rsid w:val="008C2BA6"/>
    <w:rsid w:val="008C2C11"/>
    <w:rsid w:val="008C2D23"/>
    <w:rsid w:val="008C35FF"/>
    <w:rsid w:val="008C36D7"/>
    <w:rsid w:val="008C3AA4"/>
    <w:rsid w:val="008C3C67"/>
    <w:rsid w:val="008C3D84"/>
    <w:rsid w:val="008C3FCF"/>
    <w:rsid w:val="008C445B"/>
    <w:rsid w:val="008C4598"/>
    <w:rsid w:val="008C46CD"/>
    <w:rsid w:val="008C472D"/>
    <w:rsid w:val="008C490D"/>
    <w:rsid w:val="008C49DF"/>
    <w:rsid w:val="008C4B32"/>
    <w:rsid w:val="008C4E44"/>
    <w:rsid w:val="008C4E60"/>
    <w:rsid w:val="008C511A"/>
    <w:rsid w:val="008C5256"/>
    <w:rsid w:val="008C52AF"/>
    <w:rsid w:val="008C5429"/>
    <w:rsid w:val="008C5459"/>
    <w:rsid w:val="008C581E"/>
    <w:rsid w:val="008C597A"/>
    <w:rsid w:val="008C59C0"/>
    <w:rsid w:val="008C5D7C"/>
    <w:rsid w:val="008C6198"/>
    <w:rsid w:val="008C62CD"/>
    <w:rsid w:val="008C6627"/>
    <w:rsid w:val="008C667F"/>
    <w:rsid w:val="008C6774"/>
    <w:rsid w:val="008C682B"/>
    <w:rsid w:val="008C6BD9"/>
    <w:rsid w:val="008C726D"/>
    <w:rsid w:val="008C754C"/>
    <w:rsid w:val="008C766E"/>
    <w:rsid w:val="008C798B"/>
    <w:rsid w:val="008C7CFC"/>
    <w:rsid w:val="008C7DED"/>
    <w:rsid w:val="008D005C"/>
    <w:rsid w:val="008D007A"/>
    <w:rsid w:val="008D0190"/>
    <w:rsid w:val="008D01E1"/>
    <w:rsid w:val="008D0391"/>
    <w:rsid w:val="008D0887"/>
    <w:rsid w:val="008D0A49"/>
    <w:rsid w:val="008D0E33"/>
    <w:rsid w:val="008D0E37"/>
    <w:rsid w:val="008D1037"/>
    <w:rsid w:val="008D139D"/>
    <w:rsid w:val="008D176D"/>
    <w:rsid w:val="008D1A02"/>
    <w:rsid w:val="008D1B85"/>
    <w:rsid w:val="008D1D75"/>
    <w:rsid w:val="008D2047"/>
    <w:rsid w:val="008D226C"/>
    <w:rsid w:val="008D2396"/>
    <w:rsid w:val="008D23C9"/>
    <w:rsid w:val="008D2510"/>
    <w:rsid w:val="008D2A36"/>
    <w:rsid w:val="008D2B22"/>
    <w:rsid w:val="008D2B46"/>
    <w:rsid w:val="008D2C1D"/>
    <w:rsid w:val="008D2D3E"/>
    <w:rsid w:val="008D3142"/>
    <w:rsid w:val="008D34FC"/>
    <w:rsid w:val="008D36CC"/>
    <w:rsid w:val="008D3724"/>
    <w:rsid w:val="008D39F7"/>
    <w:rsid w:val="008D3E39"/>
    <w:rsid w:val="008D3E55"/>
    <w:rsid w:val="008D3E83"/>
    <w:rsid w:val="008D427E"/>
    <w:rsid w:val="008D4391"/>
    <w:rsid w:val="008D47A8"/>
    <w:rsid w:val="008D4898"/>
    <w:rsid w:val="008D4950"/>
    <w:rsid w:val="008D4A91"/>
    <w:rsid w:val="008D4B49"/>
    <w:rsid w:val="008D4CE3"/>
    <w:rsid w:val="008D4E33"/>
    <w:rsid w:val="008D4F68"/>
    <w:rsid w:val="008D4FC1"/>
    <w:rsid w:val="008D5496"/>
    <w:rsid w:val="008D5579"/>
    <w:rsid w:val="008D57C1"/>
    <w:rsid w:val="008D57CA"/>
    <w:rsid w:val="008D5967"/>
    <w:rsid w:val="008D5A42"/>
    <w:rsid w:val="008D5B2C"/>
    <w:rsid w:val="008D5BB5"/>
    <w:rsid w:val="008D5E19"/>
    <w:rsid w:val="008D6069"/>
    <w:rsid w:val="008D612C"/>
    <w:rsid w:val="008D665A"/>
    <w:rsid w:val="008D6B51"/>
    <w:rsid w:val="008D6B96"/>
    <w:rsid w:val="008D6BDF"/>
    <w:rsid w:val="008D6C89"/>
    <w:rsid w:val="008D71C1"/>
    <w:rsid w:val="008D7689"/>
    <w:rsid w:val="008D7BED"/>
    <w:rsid w:val="008D7FF0"/>
    <w:rsid w:val="008E0099"/>
    <w:rsid w:val="008E0162"/>
    <w:rsid w:val="008E032F"/>
    <w:rsid w:val="008E03C5"/>
    <w:rsid w:val="008E049D"/>
    <w:rsid w:val="008E086D"/>
    <w:rsid w:val="008E0A12"/>
    <w:rsid w:val="008E0BC3"/>
    <w:rsid w:val="008E0DFD"/>
    <w:rsid w:val="008E0E65"/>
    <w:rsid w:val="008E0EED"/>
    <w:rsid w:val="008E0F5A"/>
    <w:rsid w:val="008E131D"/>
    <w:rsid w:val="008E1A0E"/>
    <w:rsid w:val="008E1C26"/>
    <w:rsid w:val="008E1F1B"/>
    <w:rsid w:val="008E2019"/>
    <w:rsid w:val="008E2084"/>
    <w:rsid w:val="008E2282"/>
    <w:rsid w:val="008E2457"/>
    <w:rsid w:val="008E278D"/>
    <w:rsid w:val="008E2D30"/>
    <w:rsid w:val="008E30D7"/>
    <w:rsid w:val="008E31AA"/>
    <w:rsid w:val="008E337B"/>
    <w:rsid w:val="008E3AA6"/>
    <w:rsid w:val="008E3B0C"/>
    <w:rsid w:val="008E3D24"/>
    <w:rsid w:val="008E3E7B"/>
    <w:rsid w:val="008E4193"/>
    <w:rsid w:val="008E438A"/>
    <w:rsid w:val="008E438D"/>
    <w:rsid w:val="008E450F"/>
    <w:rsid w:val="008E47FC"/>
    <w:rsid w:val="008E499E"/>
    <w:rsid w:val="008E4A7E"/>
    <w:rsid w:val="008E4A80"/>
    <w:rsid w:val="008E4B9F"/>
    <w:rsid w:val="008E4D6A"/>
    <w:rsid w:val="008E516B"/>
    <w:rsid w:val="008E547B"/>
    <w:rsid w:val="008E54FB"/>
    <w:rsid w:val="008E5544"/>
    <w:rsid w:val="008E5999"/>
    <w:rsid w:val="008E5C56"/>
    <w:rsid w:val="008E6589"/>
    <w:rsid w:val="008E666C"/>
    <w:rsid w:val="008E6795"/>
    <w:rsid w:val="008E67AE"/>
    <w:rsid w:val="008E6AAD"/>
    <w:rsid w:val="008E6EFD"/>
    <w:rsid w:val="008E6FC6"/>
    <w:rsid w:val="008E713C"/>
    <w:rsid w:val="008E772E"/>
    <w:rsid w:val="008E7A72"/>
    <w:rsid w:val="008F0963"/>
    <w:rsid w:val="008F0968"/>
    <w:rsid w:val="008F09F5"/>
    <w:rsid w:val="008F0D4D"/>
    <w:rsid w:val="008F1006"/>
    <w:rsid w:val="008F1342"/>
    <w:rsid w:val="008F193A"/>
    <w:rsid w:val="008F1EC1"/>
    <w:rsid w:val="008F1F06"/>
    <w:rsid w:val="008F20DB"/>
    <w:rsid w:val="008F21FE"/>
    <w:rsid w:val="008F24DB"/>
    <w:rsid w:val="008F26D7"/>
    <w:rsid w:val="008F2794"/>
    <w:rsid w:val="008F2B33"/>
    <w:rsid w:val="008F3333"/>
    <w:rsid w:val="008F344B"/>
    <w:rsid w:val="008F3462"/>
    <w:rsid w:val="008F365E"/>
    <w:rsid w:val="008F37D6"/>
    <w:rsid w:val="008F380D"/>
    <w:rsid w:val="008F3BFF"/>
    <w:rsid w:val="008F3C7D"/>
    <w:rsid w:val="008F3F10"/>
    <w:rsid w:val="008F40FC"/>
    <w:rsid w:val="008F420E"/>
    <w:rsid w:val="008F434E"/>
    <w:rsid w:val="008F4C59"/>
    <w:rsid w:val="008F53FC"/>
    <w:rsid w:val="008F5403"/>
    <w:rsid w:val="008F573B"/>
    <w:rsid w:val="008F592E"/>
    <w:rsid w:val="008F5CA2"/>
    <w:rsid w:val="008F5D49"/>
    <w:rsid w:val="008F5DF2"/>
    <w:rsid w:val="008F613E"/>
    <w:rsid w:val="008F6258"/>
    <w:rsid w:val="008F6416"/>
    <w:rsid w:val="008F65C8"/>
    <w:rsid w:val="008F65D0"/>
    <w:rsid w:val="008F676D"/>
    <w:rsid w:val="008F69E5"/>
    <w:rsid w:val="008F6D8D"/>
    <w:rsid w:val="008F6FCC"/>
    <w:rsid w:val="008F70D9"/>
    <w:rsid w:val="008F7197"/>
    <w:rsid w:val="008F74F8"/>
    <w:rsid w:val="008F7B59"/>
    <w:rsid w:val="008F7BCA"/>
    <w:rsid w:val="008F7D24"/>
    <w:rsid w:val="00900318"/>
    <w:rsid w:val="00900567"/>
    <w:rsid w:val="009006FF"/>
    <w:rsid w:val="00900A4F"/>
    <w:rsid w:val="00900A5E"/>
    <w:rsid w:val="00901BAD"/>
    <w:rsid w:val="00901CAD"/>
    <w:rsid w:val="00902284"/>
    <w:rsid w:val="0090237D"/>
    <w:rsid w:val="009023A4"/>
    <w:rsid w:val="0090244A"/>
    <w:rsid w:val="009024D2"/>
    <w:rsid w:val="009027BB"/>
    <w:rsid w:val="00902920"/>
    <w:rsid w:val="00902B44"/>
    <w:rsid w:val="00903176"/>
    <w:rsid w:val="009031BD"/>
    <w:rsid w:val="009032CF"/>
    <w:rsid w:val="009035FA"/>
    <w:rsid w:val="00903709"/>
    <w:rsid w:val="009039A7"/>
    <w:rsid w:val="00903CAA"/>
    <w:rsid w:val="00903D78"/>
    <w:rsid w:val="00903F73"/>
    <w:rsid w:val="00904017"/>
    <w:rsid w:val="009040DC"/>
    <w:rsid w:val="0090473C"/>
    <w:rsid w:val="009047DE"/>
    <w:rsid w:val="00904907"/>
    <w:rsid w:val="00904A31"/>
    <w:rsid w:val="00904F69"/>
    <w:rsid w:val="00904FBD"/>
    <w:rsid w:val="009050EB"/>
    <w:rsid w:val="00905399"/>
    <w:rsid w:val="0090596B"/>
    <w:rsid w:val="00905A62"/>
    <w:rsid w:val="00905AAC"/>
    <w:rsid w:val="00905D0A"/>
    <w:rsid w:val="00905DF9"/>
    <w:rsid w:val="00905E22"/>
    <w:rsid w:val="00905E8D"/>
    <w:rsid w:val="00905FE7"/>
    <w:rsid w:val="00906A37"/>
    <w:rsid w:val="00906BF0"/>
    <w:rsid w:val="00906E41"/>
    <w:rsid w:val="009070A3"/>
    <w:rsid w:val="0090726D"/>
    <w:rsid w:val="00907671"/>
    <w:rsid w:val="00907815"/>
    <w:rsid w:val="00907B59"/>
    <w:rsid w:val="00907BAF"/>
    <w:rsid w:val="0091038D"/>
    <w:rsid w:val="0091075C"/>
    <w:rsid w:val="00910830"/>
    <w:rsid w:val="00910E00"/>
    <w:rsid w:val="00910FBA"/>
    <w:rsid w:val="00911073"/>
    <w:rsid w:val="00911400"/>
    <w:rsid w:val="009114A9"/>
    <w:rsid w:val="009118D6"/>
    <w:rsid w:val="00911B70"/>
    <w:rsid w:val="00911BBC"/>
    <w:rsid w:val="00911C7F"/>
    <w:rsid w:val="00912016"/>
    <w:rsid w:val="00912095"/>
    <w:rsid w:val="009120B3"/>
    <w:rsid w:val="00912223"/>
    <w:rsid w:val="0091285A"/>
    <w:rsid w:val="00912CB4"/>
    <w:rsid w:val="00912CFD"/>
    <w:rsid w:val="00912E01"/>
    <w:rsid w:val="00912E09"/>
    <w:rsid w:val="00912E7F"/>
    <w:rsid w:val="00912FB1"/>
    <w:rsid w:val="00913050"/>
    <w:rsid w:val="00913143"/>
    <w:rsid w:val="0091331F"/>
    <w:rsid w:val="00913572"/>
    <w:rsid w:val="00913628"/>
    <w:rsid w:val="00913782"/>
    <w:rsid w:val="009138A9"/>
    <w:rsid w:val="009139B0"/>
    <w:rsid w:val="009139D3"/>
    <w:rsid w:val="00913BBB"/>
    <w:rsid w:val="00913CB9"/>
    <w:rsid w:val="00913F21"/>
    <w:rsid w:val="0091417A"/>
    <w:rsid w:val="0091454D"/>
    <w:rsid w:val="00914693"/>
    <w:rsid w:val="0091514A"/>
    <w:rsid w:val="009159B5"/>
    <w:rsid w:val="00915F55"/>
    <w:rsid w:val="00915FC9"/>
    <w:rsid w:val="0091623A"/>
    <w:rsid w:val="009163DB"/>
    <w:rsid w:val="00916412"/>
    <w:rsid w:val="0091659D"/>
    <w:rsid w:val="009166A2"/>
    <w:rsid w:val="009169A2"/>
    <w:rsid w:val="00916CD3"/>
    <w:rsid w:val="00916E3D"/>
    <w:rsid w:val="00916FF4"/>
    <w:rsid w:val="00917918"/>
    <w:rsid w:val="00917BBA"/>
    <w:rsid w:val="00917DD0"/>
    <w:rsid w:val="00920506"/>
    <w:rsid w:val="00920646"/>
    <w:rsid w:val="00920917"/>
    <w:rsid w:val="00920E23"/>
    <w:rsid w:val="00920FBB"/>
    <w:rsid w:val="0092149D"/>
    <w:rsid w:val="009214BE"/>
    <w:rsid w:val="0092162B"/>
    <w:rsid w:val="009219E2"/>
    <w:rsid w:val="00921A15"/>
    <w:rsid w:val="00921AC9"/>
    <w:rsid w:val="00921D0D"/>
    <w:rsid w:val="00921D8B"/>
    <w:rsid w:val="00922145"/>
    <w:rsid w:val="009225EF"/>
    <w:rsid w:val="009226D4"/>
    <w:rsid w:val="00922AFB"/>
    <w:rsid w:val="00922F3E"/>
    <w:rsid w:val="00922FA9"/>
    <w:rsid w:val="00922FDB"/>
    <w:rsid w:val="009237FA"/>
    <w:rsid w:val="00923BA7"/>
    <w:rsid w:val="00923D3D"/>
    <w:rsid w:val="00923DEF"/>
    <w:rsid w:val="00924AFB"/>
    <w:rsid w:val="00924B28"/>
    <w:rsid w:val="00924BB2"/>
    <w:rsid w:val="00924C64"/>
    <w:rsid w:val="00924F5B"/>
    <w:rsid w:val="00925091"/>
    <w:rsid w:val="00925142"/>
    <w:rsid w:val="00925912"/>
    <w:rsid w:val="00925A01"/>
    <w:rsid w:val="00925AF6"/>
    <w:rsid w:val="00925B87"/>
    <w:rsid w:val="0092635B"/>
    <w:rsid w:val="009266C7"/>
    <w:rsid w:val="00927456"/>
    <w:rsid w:val="0092749E"/>
    <w:rsid w:val="009274A6"/>
    <w:rsid w:val="00927794"/>
    <w:rsid w:val="009278C9"/>
    <w:rsid w:val="00927A99"/>
    <w:rsid w:val="00927B3D"/>
    <w:rsid w:val="00927E3E"/>
    <w:rsid w:val="00930230"/>
    <w:rsid w:val="009305D4"/>
    <w:rsid w:val="009307D3"/>
    <w:rsid w:val="00930E32"/>
    <w:rsid w:val="00931743"/>
    <w:rsid w:val="009318D8"/>
    <w:rsid w:val="00931B39"/>
    <w:rsid w:val="00932373"/>
    <w:rsid w:val="0093261E"/>
    <w:rsid w:val="009326E8"/>
    <w:rsid w:val="00932777"/>
    <w:rsid w:val="0093298D"/>
    <w:rsid w:val="00932A65"/>
    <w:rsid w:val="00932E05"/>
    <w:rsid w:val="00932E40"/>
    <w:rsid w:val="009331DA"/>
    <w:rsid w:val="00933503"/>
    <w:rsid w:val="0093353A"/>
    <w:rsid w:val="00933562"/>
    <w:rsid w:val="0093358D"/>
    <w:rsid w:val="009335C6"/>
    <w:rsid w:val="00933B42"/>
    <w:rsid w:val="00933D20"/>
    <w:rsid w:val="0093438E"/>
    <w:rsid w:val="00934484"/>
    <w:rsid w:val="00934527"/>
    <w:rsid w:val="00934605"/>
    <w:rsid w:val="009346E0"/>
    <w:rsid w:val="009347C0"/>
    <w:rsid w:val="009349A1"/>
    <w:rsid w:val="00934A89"/>
    <w:rsid w:val="00934C91"/>
    <w:rsid w:val="00934ED4"/>
    <w:rsid w:val="009351BF"/>
    <w:rsid w:val="00935564"/>
    <w:rsid w:val="00935D6E"/>
    <w:rsid w:val="00936047"/>
    <w:rsid w:val="00936654"/>
    <w:rsid w:val="0093693E"/>
    <w:rsid w:val="00936D9A"/>
    <w:rsid w:val="009372AD"/>
    <w:rsid w:val="009374C9"/>
    <w:rsid w:val="009376B4"/>
    <w:rsid w:val="009379D7"/>
    <w:rsid w:val="00937C47"/>
    <w:rsid w:val="00940957"/>
    <w:rsid w:val="00940D34"/>
    <w:rsid w:val="00940D67"/>
    <w:rsid w:val="00940D98"/>
    <w:rsid w:val="00940E2B"/>
    <w:rsid w:val="00941AFF"/>
    <w:rsid w:val="00941BAE"/>
    <w:rsid w:val="00941F47"/>
    <w:rsid w:val="0094201D"/>
    <w:rsid w:val="0094211B"/>
    <w:rsid w:val="00942487"/>
    <w:rsid w:val="0094269D"/>
    <w:rsid w:val="00942815"/>
    <w:rsid w:val="00942C1D"/>
    <w:rsid w:val="00942C66"/>
    <w:rsid w:val="00942D05"/>
    <w:rsid w:val="0094304B"/>
    <w:rsid w:val="00943075"/>
    <w:rsid w:val="009433F3"/>
    <w:rsid w:val="00943402"/>
    <w:rsid w:val="00943699"/>
    <w:rsid w:val="0094374D"/>
    <w:rsid w:val="009439C9"/>
    <w:rsid w:val="00943AAD"/>
    <w:rsid w:val="00943CE6"/>
    <w:rsid w:val="00943ED9"/>
    <w:rsid w:val="00944035"/>
    <w:rsid w:val="0094404C"/>
    <w:rsid w:val="0094426E"/>
    <w:rsid w:val="00944498"/>
    <w:rsid w:val="00944664"/>
    <w:rsid w:val="0094470E"/>
    <w:rsid w:val="009448B4"/>
    <w:rsid w:val="009449B4"/>
    <w:rsid w:val="00944C0E"/>
    <w:rsid w:val="00945065"/>
    <w:rsid w:val="00945822"/>
    <w:rsid w:val="009458FF"/>
    <w:rsid w:val="0094592E"/>
    <w:rsid w:val="00945A23"/>
    <w:rsid w:val="00945A8D"/>
    <w:rsid w:val="00945B1D"/>
    <w:rsid w:val="00945DBE"/>
    <w:rsid w:val="009465CE"/>
    <w:rsid w:val="009467F9"/>
    <w:rsid w:val="009468BC"/>
    <w:rsid w:val="00946D9F"/>
    <w:rsid w:val="00946DBE"/>
    <w:rsid w:val="00946F54"/>
    <w:rsid w:val="00946FB8"/>
    <w:rsid w:val="00947309"/>
    <w:rsid w:val="009475D6"/>
    <w:rsid w:val="009500CD"/>
    <w:rsid w:val="00950BD5"/>
    <w:rsid w:val="00950DA9"/>
    <w:rsid w:val="00950F70"/>
    <w:rsid w:val="00951330"/>
    <w:rsid w:val="00951347"/>
    <w:rsid w:val="00951859"/>
    <w:rsid w:val="00951BBC"/>
    <w:rsid w:val="0095268E"/>
    <w:rsid w:val="009529A2"/>
    <w:rsid w:val="00952A09"/>
    <w:rsid w:val="00952B2B"/>
    <w:rsid w:val="00952BBC"/>
    <w:rsid w:val="009531B0"/>
    <w:rsid w:val="00953BFD"/>
    <w:rsid w:val="00953C1E"/>
    <w:rsid w:val="00953E60"/>
    <w:rsid w:val="00954386"/>
    <w:rsid w:val="0095443A"/>
    <w:rsid w:val="00954709"/>
    <w:rsid w:val="009547D4"/>
    <w:rsid w:val="00954AE4"/>
    <w:rsid w:val="00954C2B"/>
    <w:rsid w:val="00954D41"/>
    <w:rsid w:val="00954E01"/>
    <w:rsid w:val="00955968"/>
    <w:rsid w:val="00956454"/>
    <w:rsid w:val="009565A3"/>
    <w:rsid w:val="0095662F"/>
    <w:rsid w:val="00956990"/>
    <w:rsid w:val="00956C73"/>
    <w:rsid w:val="00956DB9"/>
    <w:rsid w:val="00956DFA"/>
    <w:rsid w:val="00957023"/>
    <w:rsid w:val="009570D8"/>
    <w:rsid w:val="0095762B"/>
    <w:rsid w:val="00957B37"/>
    <w:rsid w:val="00957D70"/>
    <w:rsid w:val="00957DD1"/>
    <w:rsid w:val="00957EC0"/>
    <w:rsid w:val="009600DE"/>
    <w:rsid w:val="00960111"/>
    <w:rsid w:val="0096070D"/>
    <w:rsid w:val="009607FF"/>
    <w:rsid w:val="00960884"/>
    <w:rsid w:val="00960A0B"/>
    <w:rsid w:val="00960C10"/>
    <w:rsid w:val="00960E5D"/>
    <w:rsid w:val="00961ABB"/>
    <w:rsid w:val="00961C6A"/>
    <w:rsid w:val="00961F7B"/>
    <w:rsid w:val="009620F8"/>
    <w:rsid w:val="009623CA"/>
    <w:rsid w:val="00962530"/>
    <w:rsid w:val="009629E8"/>
    <w:rsid w:val="00962C25"/>
    <w:rsid w:val="009632BD"/>
    <w:rsid w:val="00963393"/>
    <w:rsid w:val="00963ACD"/>
    <w:rsid w:val="009640FB"/>
    <w:rsid w:val="00964262"/>
    <w:rsid w:val="0096458B"/>
    <w:rsid w:val="009646C4"/>
    <w:rsid w:val="00964B5E"/>
    <w:rsid w:val="00964C5D"/>
    <w:rsid w:val="00964CC3"/>
    <w:rsid w:val="00964D79"/>
    <w:rsid w:val="00964DA1"/>
    <w:rsid w:val="00965082"/>
    <w:rsid w:val="00965607"/>
    <w:rsid w:val="009656A6"/>
    <w:rsid w:val="00965A18"/>
    <w:rsid w:val="0096626C"/>
    <w:rsid w:val="00966318"/>
    <w:rsid w:val="009666DB"/>
    <w:rsid w:val="0096687D"/>
    <w:rsid w:val="00966AF5"/>
    <w:rsid w:val="00966B0F"/>
    <w:rsid w:val="00966BFA"/>
    <w:rsid w:val="00966CA1"/>
    <w:rsid w:val="00966D12"/>
    <w:rsid w:val="00967248"/>
    <w:rsid w:val="009672E2"/>
    <w:rsid w:val="009672F0"/>
    <w:rsid w:val="0096749E"/>
    <w:rsid w:val="009677BB"/>
    <w:rsid w:val="00967918"/>
    <w:rsid w:val="00967A54"/>
    <w:rsid w:val="00967AA2"/>
    <w:rsid w:val="00970106"/>
    <w:rsid w:val="009701B1"/>
    <w:rsid w:val="0097026E"/>
    <w:rsid w:val="00970280"/>
    <w:rsid w:val="00970338"/>
    <w:rsid w:val="00970677"/>
    <w:rsid w:val="00970787"/>
    <w:rsid w:val="00970A52"/>
    <w:rsid w:val="00970C50"/>
    <w:rsid w:val="00970CD4"/>
    <w:rsid w:val="00970DCB"/>
    <w:rsid w:val="00970F90"/>
    <w:rsid w:val="00971333"/>
    <w:rsid w:val="00971505"/>
    <w:rsid w:val="009715F1"/>
    <w:rsid w:val="009716B8"/>
    <w:rsid w:val="009717D9"/>
    <w:rsid w:val="009717ED"/>
    <w:rsid w:val="00971A64"/>
    <w:rsid w:val="00971B06"/>
    <w:rsid w:val="00971F9D"/>
    <w:rsid w:val="00971FDA"/>
    <w:rsid w:val="00972116"/>
    <w:rsid w:val="0097225B"/>
    <w:rsid w:val="009722BE"/>
    <w:rsid w:val="009723CB"/>
    <w:rsid w:val="00972650"/>
    <w:rsid w:val="009727E0"/>
    <w:rsid w:val="00972809"/>
    <w:rsid w:val="00972912"/>
    <w:rsid w:val="00972BCB"/>
    <w:rsid w:val="00972CB0"/>
    <w:rsid w:val="009736AD"/>
    <w:rsid w:val="00973C1E"/>
    <w:rsid w:val="00973EA3"/>
    <w:rsid w:val="009742BB"/>
    <w:rsid w:val="00974395"/>
    <w:rsid w:val="009744D6"/>
    <w:rsid w:val="009749BD"/>
    <w:rsid w:val="00974B71"/>
    <w:rsid w:val="00974C63"/>
    <w:rsid w:val="00974CE9"/>
    <w:rsid w:val="00974EED"/>
    <w:rsid w:val="00974F44"/>
    <w:rsid w:val="00974FB3"/>
    <w:rsid w:val="00975151"/>
    <w:rsid w:val="00975748"/>
    <w:rsid w:val="009757CA"/>
    <w:rsid w:val="00975F88"/>
    <w:rsid w:val="00976216"/>
    <w:rsid w:val="009762B6"/>
    <w:rsid w:val="009763CA"/>
    <w:rsid w:val="00976619"/>
    <w:rsid w:val="00976936"/>
    <w:rsid w:val="00976B5D"/>
    <w:rsid w:val="00976DA3"/>
    <w:rsid w:val="00976E6A"/>
    <w:rsid w:val="00976F2E"/>
    <w:rsid w:val="00976FC1"/>
    <w:rsid w:val="00977180"/>
    <w:rsid w:val="00977347"/>
    <w:rsid w:val="00977459"/>
    <w:rsid w:val="00977511"/>
    <w:rsid w:val="00977577"/>
    <w:rsid w:val="009779D5"/>
    <w:rsid w:val="00977A5E"/>
    <w:rsid w:val="00977B98"/>
    <w:rsid w:val="00977BE5"/>
    <w:rsid w:val="00977C8E"/>
    <w:rsid w:val="00977D62"/>
    <w:rsid w:val="00980728"/>
    <w:rsid w:val="00980B7D"/>
    <w:rsid w:val="00980F8C"/>
    <w:rsid w:val="00980F9A"/>
    <w:rsid w:val="0098176A"/>
    <w:rsid w:val="00981A7E"/>
    <w:rsid w:val="00981E2C"/>
    <w:rsid w:val="00982065"/>
    <w:rsid w:val="009831C6"/>
    <w:rsid w:val="0098321A"/>
    <w:rsid w:val="009834E0"/>
    <w:rsid w:val="00983767"/>
    <w:rsid w:val="009844E9"/>
    <w:rsid w:val="0098474E"/>
    <w:rsid w:val="0098487E"/>
    <w:rsid w:val="00984CF8"/>
    <w:rsid w:val="00984D66"/>
    <w:rsid w:val="00984DE2"/>
    <w:rsid w:val="00985018"/>
    <w:rsid w:val="0098534E"/>
    <w:rsid w:val="0098560A"/>
    <w:rsid w:val="0098568A"/>
    <w:rsid w:val="009865C0"/>
    <w:rsid w:val="00986B6C"/>
    <w:rsid w:val="009871D1"/>
    <w:rsid w:val="00987272"/>
    <w:rsid w:val="00987377"/>
    <w:rsid w:val="00987402"/>
    <w:rsid w:val="00987A2A"/>
    <w:rsid w:val="00987CB0"/>
    <w:rsid w:val="009902ED"/>
    <w:rsid w:val="009905E1"/>
    <w:rsid w:val="009907BB"/>
    <w:rsid w:val="00990A9B"/>
    <w:rsid w:val="009913B7"/>
    <w:rsid w:val="00991956"/>
    <w:rsid w:val="00991967"/>
    <w:rsid w:val="00991B0D"/>
    <w:rsid w:val="00991B26"/>
    <w:rsid w:val="00991E5E"/>
    <w:rsid w:val="00991FE7"/>
    <w:rsid w:val="009925B0"/>
    <w:rsid w:val="009926E4"/>
    <w:rsid w:val="0099340B"/>
    <w:rsid w:val="00993497"/>
    <w:rsid w:val="00993623"/>
    <w:rsid w:val="00993645"/>
    <w:rsid w:val="00993BFF"/>
    <w:rsid w:val="00993CAE"/>
    <w:rsid w:val="00993CBF"/>
    <w:rsid w:val="00993F04"/>
    <w:rsid w:val="00994343"/>
    <w:rsid w:val="0099444E"/>
    <w:rsid w:val="00994536"/>
    <w:rsid w:val="009948BD"/>
    <w:rsid w:val="00994959"/>
    <w:rsid w:val="00994BE5"/>
    <w:rsid w:val="00994E86"/>
    <w:rsid w:val="009950FB"/>
    <w:rsid w:val="00995304"/>
    <w:rsid w:val="00995647"/>
    <w:rsid w:val="0099570C"/>
    <w:rsid w:val="00995B69"/>
    <w:rsid w:val="00995C66"/>
    <w:rsid w:val="00995CD9"/>
    <w:rsid w:val="00995ECF"/>
    <w:rsid w:val="00995F37"/>
    <w:rsid w:val="00996380"/>
    <w:rsid w:val="009966BE"/>
    <w:rsid w:val="0099675E"/>
    <w:rsid w:val="0099712A"/>
    <w:rsid w:val="0099733A"/>
    <w:rsid w:val="009973E4"/>
    <w:rsid w:val="00997479"/>
    <w:rsid w:val="009976A2"/>
    <w:rsid w:val="00997B6D"/>
    <w:rsid w:val="00997B9E"/>
    <w:rsid w:val="00997D1C"/>
    <w:rsid w:val="00997FD9"/>
    <w:rsid w:val="009A06CA"/>
    <w:rsid w:val="009A0B0E"/>
    <w:rsid w:val="009A13A4"/>
    <w:rsid w:val="009A1802"/>
    <w:rsid w:val="009A198E"/>
    <w:rsid w:val="009A1F88"/>
    <w:rsid w:val="009A25B9"/>
    <w:rsid w:val="009A2660"/>
    <w:rsid w:val="009A28FF"/>
    <w:rsid w:val="009A29BE"/>
    <w:rsid w:val="009A2A0E"/>
    <w:rsid w:val="009A35FA"/>
    <w:rsid w:val="009A36A5"/>
    <w:rsid w:val="009A36AC"/>
    <w:rsid w:val="009A3D0A"/>
    <w:rsid w:val="009A3FD7"/>
    <w:rsid w:val="009A4423"/>
    <w:rsid w:val="009A45B0"/>
    <w:rsid w:val="009A499F"/>
    <w:rsid w:val="009A4A47"/>
    <w:rsid w:val="009A4CF7"/>
    <w:rsid w:val="009A4F66"/>
    <w:rsid w:val="009A4FB3"/>
    <w:rsid w:val="009A51A7"/>
    <w:rsid w:val="009A548F"/>
    <w:rsid w:val="009A5741"/>
    <w:rsid w:val="009A5950"/>
    <w:rsid w:val="009A61FA"/>
    <w:rsid w:val="009A6254"/>
    <w:rsid w:val="009A6262"/>
    <w:rsid w:val="009A62A8"/>
    <w:rsid w:val="009A647E"/>
    <w:rsid w:val="009A66DF"/>
    <w:rsid w:val="009A67EC"/>
    <w:rsid w:val="009A6990"/>
    <w:rsid w:val="009A69BE"/>
    <w:rsid w:val="009A70CE"/>
    <w:rsid w:val="009A7142"/>
    <w:rsid w:val="009A778B"/>
    <w:rsid w:val="009A78D4"/>
    <w:rsid w:val="009A7934"/>
    <w:rsid w:val="009A7C90"/>
    <w:rsid w:val="009B0116"/>
    <w:rsid w:val="009B0221"/>
    <w:rsid w:val="009B0244"/>
    <w:rsid w:val="009B02F5"/>
    <w:rsid w:val="009B0344"/>
    <w:rsid w:val="009B042E"/>
    <w:rsid w:val="009B095F"/>
    <w:rsid w:val="009B0B38"/>
    <w:rsid w:val="009B1077"/>
    <w:rsid w:val="009B1652"/>
    <w:rsid w:val="009B1926"/>
    <w:rsid w:val="009B1EC2"/>
    <w:rsid w:val="009B2036"/>
    <w:rsid w:val="009B232A"/>
    <w:rsid w:val="009B2D0E"/>
    <w:rsid w:val="009B2DC3"/>
    <w:rsid w:val="009B2EB4"/>
    <w:rsid w:val="009B3378"/>
    <w:rsid w:val="009B38BB"/>
    <w:rsid w:val="009B39B2"/>
    <w:rsid w:val="009B3B31"/>
    <w:rsid w:val="009B3EF3"/>
    <w:rsid w:val="009B3EF6"/>
    <w:rsid w:val="009B4394"/>
    <w:rsid w:val="009B474D"/>
    <w:rsid w:val="009B47BE"/>
    <w:rsid w:val="009B4942"/>
    <w:rsid w:val="009B4C2A"/>
    <w:rsid w:val="009B4EA4"/>
    <w:rsid w:val="009B4FD3"/>
    <w:rsid w:val="009B505D"/>
    <w:rsid w:val="009B51E5"/>
    <w:rsid w:val="009B627E"/>
    <w:rsid w:val="009B62D7"/>
    <w:rsid w:val="009B6495"/>
    <w:rsid w:val="009B6551"/>
    <w:rsid w:val="009B6CEA"/>
    <w:rsid w:val="009B734A"/>
    <w:rsid w:val="009B7381"/>
    <w:rsid w:val="009B7742"/>
    <w:rsid w:val="009B7832"/>
    <w:rsid w:val="009B7AB8"/>
    <w:rsid w:val="009B7C90"/>
    <w:rsid w:val="009C0236"/>
    <w:rsid w:val="009C02A5"/>
    <w:rsid w:val="009C0493"/>
    <w:rsid w:val="009C05D6"/>
    <w:rsid w:val="009C0683"/>
    <w:rsid w:val="009C0764"/>
    <w:rsid w:val="009C0B12"/>
    <w:rsid w:val="009C0C8A"/>
    <w:rsid w:val="009C1137"/>
    <w:rsid w:val="009C1652"/>
    <w:rsid w:val="009C16BF"/>
    <w:rsid w:val="009C1911"/>
    <w:rsid w:val="009C19DC"/>
    <w:rsid w:val="009C19E5"/>
    <w:rsid w:val="009C1AE4"/>
    <w:rsid w:val="009C1B0F"/>
    <w:rsid w:val="009C1E0F"/>
    <w:rsid w:val="009C2188"/>
    <w:rsid w:val="009C290E"/>
    <w:rsid w:val="009C2D28"/>
    <w:rsid w:val="009C2D6D"/>
    <w:rsid w:val="009C2E2A"/>
    <w:rsid w:val="009C2E6E"/>
    <w:rsid w:val="009C2EB4"/>
    <w:rsid w:val="009C3112"/>
    <w:rsid w:val="009C3132"/>
    <w:rsid w:val="009C337F"/>
    <w:rsid w:val="009C3418"/>
    <w:rsid w:val="009C35EB"/>
    <w:rsid w:val="009C377C"/>
    <w:rsid w:val="009C393F"/>
    <w:rsid w:val="009C3A47"/>
    <w:rsid w:val="009C3EB9"/>
    <w:rsid w:val="009C4030"/>
    <w:rsid w:val="009C426D"/>
    <w:rsid w:val="009C4374"/>
    <w:rsid w:val="009C43F1"/>
    <w:rsid w:val="009C43F2"/>
    <w:rsid w:val="009C463E"/>
    <w:rsid w:val="009C4702"/>
    <w:rsid w:val="009C4D57"/>
    <w:rsid w:val="009C4E32"/>
    <w:rsid w:val="009C4E94"/>
    <w:rsid w:val="009C4F44"/>
    <w:rsid w:val="009C5146"/>
    <w:rsid w:val="009C51EB"/>
    <w:rsid w:val="009C5232"/>
    <w:rsid w:val="009C54C4"/>
    <w:rsid w:val="009C5931"/>
    <w:rsid w:val="009C5ABA"/>
    <w:rsid w:val="009C5B34"/>
    <w:rsid w:val="009C5C3F"/>
    <w:rsid w:val="009C5D96"/>
    <w:rsid w:val="009C6027"/>
    <w:rsid w:val="009C6CD6"/>
    <w:rsid w:val="009C6ECC"/>
    <w:rsid w:val="009C6FFD"/>
    <w:rsid w:val="009C72AC"/>
    <w:rsid w:val="009C73A0"/>
    <w:rsid w:val="009C7709"/>
    <w:rsid w:val="009C79A5"/>
    <w:rsid w:val="009C7AD9"/>
    <w:rsid w:val="009D02E8"/>
    <w:rsid w:val="009D0596"/>
    <w:rsid w:val="009D0B62"/>
    <w:rsid w:val="009D0CA6"/>
    <w:rsid w:val="009D0F73"/>
    <w:rsid w:val="009D1286"/>
    <w:rsid w:val="009D1409"/>
    <w:rsid w:val="009D1674"/>
    <w:rsid w:val="009D1776"/>
    <w:rsid w:val="009D1AA5"/>
    <w:rsid w:val="009D1EDF"/>
    <w:rsid w:val="009D1EF3"/>
    <w:rsid w:val="009D2399"/>
    <w:rsid w:val="009D2444"/>
    <w:rsid w:val="009D2C94"/>
    <w:rsid w:val="009D2DDE"/>
    <w:rsid w:val="009D3154"/>
    <w:rsid w:val="009D3231"/>
    <w:rsid w:val="009D3504"/>
    <w:rsid w:val="009D3838"/>
    <w:rsid w:val="009D3A5A"/>
    <w:rsid w:val="009D4243"/>
    <w:rsid w:val="009D4387"/>
    <w:rsid w:val="009D4A5A"/>
    <w:rsid w:val="009D4EDA"/>
    <w:rsid w:val="009D4FDB"/>
    <w:rsid w:val="009D546E"/>
    <w:rsid w:val="009D5CE5"/>
    <w:rsid w:val="009D5D86"/>
    <w:rsid w:val="009D5D96"/>
    <w:rsid w:val="009D5F97"/>
    <w:rsid w:val="009D65A9"/>
    <w:rsid w:val="009D663B"/>
    <w:rsid w:val="009D6725"/>
    <w:rsid w:val="009D6860"/>
    <w:rsid w:val="009D6AAA"/>
    <w:rsid w:val="009D73D9"/>
    <w:rsid w:val="009D7631"/>
    <w:rsid w:val="009D788D"/>
    <w:rsid w:val="009D7A52"/>
    <w:rsid w:val="009D7E3E"/>
    <w:rsid w:val="009D7F91"/>
    <w:rsid w:val="009E002C"/>
    <w:rsid w:val="009E02FE"/>
    <w:rsid w:val="009E033D"/>
    <w:rsid w:val="009E03A4"/>
    <w:rsid w:val="009E07F6"/>
    <w:rsid w:val="009E0D75"/>
    <w:rsid w:val="009E0E2B"/>
    <w:rsid w:val="009E1384"/>
    <w:rsid w:val="009E19D7"/>
    <w:rsid w:val="009E1ADE"/>
    <w:rsid w:val="009E1BD9"/>
    <w:rsid w:val="009E1DE1"/>
    <w:rsid w:val="009E1F4F"/>
    <w:rsid w:val="009E1F52"/>
    <w:rsid w:val="009E2038"/>
    <w:rsid w:val="009E216D"/>
    <w:rsid w:val="009E2308"/>
    <w:rsid w:val="009E2533"/>
    <w:rsid w:val="009E2589"/>
    <w:rsid w:val="009E25CB"/>
    <w:rsid w:val="009E26ED"/>
    <w:rsid w:val="009E2CF4"/>
    <w:rsid w:val="009E2DA6"/>
    <w:rsid w:val="009E33A2"/>
    <w:rsid w:val="009E3527"/>
    <w:rsid w:val="009E35DB"/>
    <w:rsid w:val="009E3758"/>
    <w:rsid w:val="009E3C9E"/>
    <w:rsid w:val="009E3D16"/>
    <w:rsid w:val="009E3D69"/>
    <w:rsid w:val="009E3E68"/>
    <w:rsid w:val="009E3FDB"/>
    <w:rsid w:val="009E4180"/>
    <w:rsid w:val="009E44BE"/>
    <w:rsid w:val="009E4802"/>
    <w:rsid w:val="009E4FEE"/>
    <w:rsid w:val="009E511F"/>
    <w:rsid w:val="009E57C4"/>
    <w:rsid w:val="009E5931"/>
    <w:rsid w:val="009E5BED"/>
    <w:rsid w:val="009E5EFA"/>
    <w:rsid w:val="009E5FB0"/>
    <w:rsid w:val="009E6229"/>
    <w:rsid w:val="009E64B0"/>
    <w:rsid w:val="009E675C"/>
    <w:rsid w:val="009E694B"/>
    <w:rsid w:val="009E6A3A"/>
    <w:rsid w:val="009E6AA7"/>
    <w:rsid w:val="009E6D1F"/>
    <w:rsid w:val="009E6D39"/>
    <w:rsid w:val="009E716C"/>
    <w:rsid w:val="009E76EB"/>
    <w:rsid w:val="009E78CD"/>
    <w:rsid w:val="009E7C39"/>
    <w:rsid w:val="009E7C5B"/>
    <w:rsid w:val="009E7CF6"/>
    <w:rsid w:val="009F0136"/>
    <w:rsid w:val="009F02CC"/>
    <w:rsid w:val="009F02F0"/>
    <w:rsid w:val="009F0997"/>
    <w:rsid w:val="009F0A9C"/>
    <w:rsid w:val="009F0AAD"/>
    <w:rsid w:val="009F0B11"/>
    <w:rsid w:val="009F0B48"/>
    <w:rsid w:val="009F0CFE"/>
    <w:rsid w:val="009F0D30"/>
    <w:rsid w:val="009F0E97"/>
    <w:rsid w:val="009F125A"/>
    <w:rsid w:val="009F1412"/>
    <w:rsid w:val="009F159C"/>
    <w:rsid w:val="009F1C66"/>
    <w:rsid w:val="009F1C83"/>
    <w:rsid w:val="009F1E11"/>
    <w:rsid w:val="009F1F3A"/>
    <w:rsid w:val="009F2055"/>
    <w:rsid w:val="009F2348"/>
    <w:rsid w:val="009F23B3"/>
    <w:rsid w:val="009F23CC"/>
    <w:rsid w:val="009F25F6"/>
    <w:rsid w:val="009F288E"/>
    <w:rsid w:val="009F29A0"/>
    <w:rsid w:val="009F2B7C"/>
    <w:rsid w:val="009F2F4D"/>
    <w:rsid w:val="009F301A"/>
    <w:rsid w:val="009F30B5"/>
    <w:rsid w:val="009F3166"/>
    <w:rsid w:val="009F34A0"/>
    <w:rsid w:val="009F3518"/>
    <w:rsid w:val="009F3A5E"/>
    <w:rsid w:val="009F3C65"/>
    <w:rsid w:val="009F3DA2"/>
    <w:rsid w:val="009F3E0C"/>
    <w:rsid w:val="009F41AB"/>
    <w:rsid w:val="009F485B"/>
    <w:rsid w:val="009F494C"/>
    <w:rsid w:val="009F4D94"/>
    <w:rsid w:val="009F5068"/>
    <w:rsid w:val="009F5115"/>
    <w:rsid w:val="009F5137"/>
    <w:rsid w:val="009F55D8"/>
    <w:rsid w:val="009F563B"/>
    <w:rsid w:val="009F582B"/>
    <w:rsid w:val="009F5AF9"/>
    <w:rsid w:val="009F5C13"/>
    <w:rsid w:val="009F5CB0"/>
    <w:rsid w:val="009F5D1C"/>
    <w:rsid w:val="009F5DE4"/>
    <w:rsid w:val="009F63BC"/>
    <w:rsid w:val="009F63D1"/>
    <w:rsid w:val="009F6548"/>
    <w:rsid w:val="009F675D"/>
    <w:rsid w:val="009F6B0D"/>
    <w:rsid w:val="009F6C65"/>
    <w:rsid w:val="009F6D72"/>
    <w:rsid w:val="009F6E94"/>
    <w:rsid w:val="009F723D"/>
    <w:rsid w:val="009F776D"/>
    <w:rsid w:val="009F7AB6"/>
    <w:rsid w:val="009F7B9B"/>
    <w:rsid w:val="009F7BAD"/>
    <w:rsid w:val="009F7D7A"/>
    <w:rsid w:val="009F7E36"/>
    <w:rsid w:val="00A00227"/>
    <w:rsid w:val="00A00309"/>
    <w:rsid w:val="00A0044A"/>
    <w:rsid w:val="00A00A47"/>
    <w:rsid w:val="00A00B99"/>
    <w:rsid w:val="00A0105F"/>
    <w:rsid w:val="00A01500"/>
    <w:rsid w:val="00A01564"/>
    <w:rsid w:val="00A0187A"/>
    <w:rsid w:val="00A01897"/>
    <w:rsid w:val="00A019BC"/>
    <w:rsid w:val="00A01A6E"/>
    <w:rsid w:val="00A01B9B"/>
    <w:rsid w:val="00A01CE3"/>
    <w:rsid w:val="00A01EB0"/>
    <w:rsid w:val="00A02611"/>
    <w:rsid w:val="00A02730"/>
    <w:rsid w:val="00A02B54"/>
    <w:rsid w:val="00A02BDB"/>
    <w:rsid w:val="00A02CE2"/>
    <w:rsid w:val="00A02F7B"/>
    <w:rsid w:val="00A03101"/>
    <w:rsid w:val="00A031BE"/>
    <w:rsid w:val="00A033A4"/>
    <w:rsid w:val="00A033DE"/>
    <w:rsid w:val="00A03BEB"/>
    <w:rsid w:val="00A03C18"/>
    <w:rsid w:val="00A03CF3"/>
    <w:rsid w:val="00A03F5F"/>
    <w:rsid w:val="00A03FC3"/>
    <w:rsid w:val="00A0450D"/>
    <w:rsid w:val="00A046AD"/>
    <w:rsid w:val="00A04836"/>
    <w:rsid w:val="00A04899"/>
    <w:rsid w:val="00A04ABC"/>
    <w:rsid w:val="00A04CCE"/>
    <w:rsid w:val="00A056C0"/>
    <w:rsid w:val="00A057A2"/>
    <w:rsid w:val="00A05802"/>
    <w:rsid w:val="00A05A4A"/>
    <w:rsid w:val="00A05AA1"/>
    <w:rsid w:val="00A05F5E"/>
    <w:rsid w:val="00A0614E"/>
    <w:rsid w:val="00A063F7"/>
    <w:rsid w:val="00A0645E"/>
    <w:rsid w:val="00A066D4"/>
    <w:rsid w:val="00A06793"/>
    <w:rsid w:val="00A06866"/>
    <w:rsid w:val="00A06C5C"/>
    <w:rsid w:val="00A076ED"/>
    <w:rsid w:val="00A07C26"/>
    <w:rsid w:val="00A07CFA"/>
    <w:rsid w:val="00A10126"/>
    <w:rsid w:val="00A10147"/>
    <w:rsid w:val="00A102E5"/>
    <w:rsid w:val="00A10EC9"/>
    <w:rsid w:val="00A10FBF"/>
    <w:rsid w:val="00A1105E"/>
    <w:rsid w:val="00A11157"/>
    <w:rsid w:val="00A11544"/>
    <w:rsid w:val="00A11A0E"/>
    <w:rsid w:val="00A11A8E"/>
    <w:rsid w:val="00A11C2B"/>
    <w:rsid w:val="00A11CCF"/>
    <w:rsid w:val="00A11D81"/>
    <w:rsid w:val="00A11DA7"/>
    <w:rsid w:val="00A11E10"/>
    <w:rsid w:val="00A11E7A"/>
    <w:rsid w:val="00A11EB2"/>
    <w:rsid w:val="00A11EE5"/>
    <w:rsid w:val="00A1216C"/>
    <w:rsid w:val="00A1224E"/>
    <w:rsid w:val="00A12931"/>
    <w:rsid w:val="00A12BEF"/>
    <w:rsid w:val="00A12C3D"/>
    <w:rsid w:val="00A12C9A"/>
    <w:rsid w:val="00A12F4D"/>
    <w:rsid w:val="00A13100"/>
    <w:rsid w:val="00A13309"/>
    <w:rsid w:val="00A13493"/>
    <w:rsid w:val="00A134F9"/>
    <w:rsid w:val="00A135CB"/>
    <w:rsid w:val="00A136B4"/>
    <w:rsid w:val="00A13828"/>
    <w:rsid w:val="00A13986"/>
    <w:rsid w:val="00A13AD7"/>
    <w:rsid w:val="00A13B46"/>
    <w:rsid w:val="00A13B8B"/>
    <w:rsid w:val="00A13C13"/>
    <w:rsid w:val="00A13E40"/>
    <w:rsid w:val="00A13F2F"/>
    <w:rsid w:val="00A13F55"/>
    <w:rsid w:val="00A13FCA"/>
    <w:rsid w:val="00A141E2"/>
    <w:rsid w:val="00A143BB"/>
    <w:rsid w:val="00A144C8"/>
    <w:rsid w:val="00A148D4"/>
    <w:rsid w:val="00A14B59"/>
    <w:rsid w:val="00A14BA2"/>
    <w:rsid w:val="00A14DB3"/>
    <w:rsid w:val="00A1512D"/>
    <w:rsid w:val="00A151C2"/>
    <w:rsid w:val="00A15402"/>
    <w:rsid w:val="00A1551C"/>
    <w:rsid w:val="00A157F6"/>
    <w:rsid w:val="00A15811"/>
    <w:rsid w:val="00A158E8"/>
    <w:rsid w:val="00A15C5A"/>
    <w:rsid w:val="00A163CA"/>
    <w:rsid w:val="00A16C6A"/>
    <w:rsid w:val="00A179C9"/>
    <w:rsid w:val="00A17F0D"/>
    <w:rsid w:val="00A203B5"/>
    <w:rsid w:val="00A2069C"/>
    <w:rsid w:val="00A2096F"/>
    <w:rsid w:val="00A20BD0"/>
    <w:rsid w:val="00A2112A"/>
    <w:rsid w:val="00A21340"/>
    <w:rsid w:val="00A2160A"/>
    <w:rsid w:val="00A216EF"/>
    <w:rsid w:val="00A218E3"/>
    <w:rsid w:val="00A21A11"/>
    <w:rsid w:val="00A21AA6"/>
    <w:rsid w:val="00A21B5C"/>
    <w:rsid w:val="00A21E2B"/>
    <w:rsid w:val="00A2235B"/>
    <w:rsid w:val="00A226C3"/>
    <w:rsid w:val="00A2276F"/>
    <w:rsid w:val="00A228E2"/>
    <w:rsid w:val="00A229B8"/>
    <w:rsid w:val="00A22B94"/>
    <w:rsid w:val="00A22D45"/>
    <w:rsid w:val="00A23145"/>
    <w:rsid w:val="00A23416"/>
    <w:rsid w:val="00A23935"/>
    <w:rsid w:val="00A23C27"/>
    <w:rsid w:val="00A23D72"/>
    <w:rsid w:val="00A23E46"/>
    <w:rsid w:val="00A24004"/>
    <w:rsid w:val="00A241D2"/>
    <w:rsid w:val="00A24304"/>
    <w:rsid w:val="00A24599"/>
    <w:rsid w:val="00A24761"/>
    <w:rsid w:val="00A24811"/>
    <w:rsid w:val="00A24840"/>
    <w:rsid w:val="00A24DA1"/>
    <w:rsid w:val="00A24E46"/>
    <w:rsid w:val="00A25270"/>
    <w:rsid w:val="00A25279"/>
    <w:rsid w:val="00A252A4"/>
    <w:rsid w:val="00A25524"/>
    <w:rsid w:val="00A25836"/>
    <w:rsid w:val="00A25870"/>
    <w:rsid w:val="00A258C5"/>
    <w:rsid w:val="00A25955"/>
    <w:rsid w:val="00A25984"/>
    <w:rsid w:val="00A25A7E"/>
    <w:rsid w:val="00A25F02"/>
    <w:rsid w:val="00A25FE0"/>
    <w:rsid w:val="00A2629A"/>
    <w:rsid w:val="00A2631A"/>
    <w:rsid w:val="00A26486"/>
    <w:rsid w:val="00A2660B"/>
    <w:rsid w:val="00A26750"/>
    <w:rsid w:val="00A269C5"/>
    <w:rsid w:val="00A26E6E"/>
    <w:rsid w:val="00A271EA"/>
    <w:rsid w:val="00A27464"/>
    <w:rsid w:val="00A2746C"/>
    <w:rsid w:val="00A276AD"/>
    <w:rsid w:val="00A277F1"/>
    <w:rsid w:val="00A27E17"/>
    <w:rsid w:val="00A30343"/>
    <w:rsid w:val="00A30620"/>
    <w:rsid w:val="00A306D2"/>
    <w:rsid w:val="00A3073C"/>
    <w:rsid w:val="00A30972"/>
    <w:rsid w:val="00A309A3"/>
    <w:rsid w:val="00A30A01"/>
    <w:rsid w:val="00A30AE9"/>
    <w:rsid w:val="00A3125A"/>
    <w:rsid w:val="00A315A0"/>
    <w:rsid w:val="00A31771"/>
    <w:rsid w:val="00A3186A"/>
    <w:rsid w:val="00A319EB"/>
    <w:rsid w:val="00A31A5B"/>
    <w:rsid w:val="00A31A66"/>
    <w:rsid w:val="00A31A6E"/>
    <w:rsid w:val="00A31BEC"/>
    <w:rsid w:val="00A31CBF"/>
    <w:rsid w:val="00A31FD0"/>
    <w:rsid w:val="00A3206D"/>
    <w:rsid w:val="00A32324"/>
    <w:rsid w:val="00A3243C"/>
    <w:rsid w:val="00A32450"/>
    <w:rsid w:val="00A32460"/>
    <w:rsid w:val="00A32596"/>
    <w:rsid w:val="00A3259F"/>
    <w:rsid w:val="00A32A40"/>
    <w:rsid w:val="00A32C0E"/>
    <w:rsid w:val="00A32CD7"/>
    <w:rsid w:val="00A32FD9"/>
    <w:rsid w:val="00A33431"/>
    <w:rsid w:val="00A334BD"/>
    <w:rsid w:val="00A3373E"/>
    <w:rsid w:val="00A3380F"/>
    <w:rsid w:val="00A3406A"/>
    <w:rsid w:val="00A3409A"/>
    <w:rsid w:val="00A34824"/>
    <w:rsid w:val="00A34931"/>
    <w:rsid w:val="00A3497B"/>
    <w:rsid w:val="00A349A7"/>
    <w:rsid w:val="00A34C67"/>
    <w:rsid w:val="00A34CB3"/>
    <w:rsid w:val="00A35020"/>
    <w:rsid w:val="00A35727"/>
    <w:rsid w:val="00A3600A"/>
    <w:rsid w:val="00A3606C"/>
    <w:rsid w:val="00A360C3"/>
    <w:rsid w:val="00A362E4"/>
    <w:rsid w:val="00A3655F"/>
    <w:rsid w:val="00A367B0"/>
    <w:rsid w:val="00A3703A"/>
    <w:rsid w:val="00A3711B"/>
    <w:rsid w:val="00A37148"/>
    <w:rsid w:val="00A3732B"/>
    <w:rsid w:val="00A37761"/>
    <w:rsid w:val="00A378D4"/>
    <w:rsid w:val="00A40035"/>
    <w:rsid w:val="00A403A5"/>
    <w:rsid w:val="00A404E4"/>
    <w:rsid w:val="00A40B6E"/>
    <w:rsid w:val="00A40C5E"/>
    <w:rsid w:val="00A40E76"/>
    <w:rsid w:val="00A40FAE"/>
    <w:rsid w:val="00A4118A"/>
    <w:rsid w:val="00A411E7"/>
    <w:rsid w:val="00A41394"/>
    <w:rsid w:val="00A41607"/>
    <w:rsid w:val="00A41B50"/>
    <w:rsid w:val="00A41BF5"/>
    <w:rsid w:val="00A41D0B"/>
    <w:rsid w:val="00A41DBB"/>
    <w:rsid w:val="00A42137"/>
    <w:rsid w:val="00A421EB"/>
    <w:rsid w:val="00A428E3"/>
    <w:rsid w:val="00A42984"/>
    <w:rsid w:val="00A42C29"/>
    <w:rsid w:val="00A42C9F"/>
    <w:rsid w:val="00A433CC"/>
    <w:rsid w:val="00A43521"/>
    <w:rsid w:val="00A437BD"/>
    <w:rsid w:val="00A438F3"/>
    <w:rsid w:val="00A43B20"/>
    <w:rsid w:val="00A440B1"/>
    <w:rsid w:val="00A4442F"/>
    <w:rsid w:val="00A4457F"/>
    <w:rsid w:val="00A449C4"/>
    <w:rsid w:val="00A44A12"/>
    <w:rsid w:val="00A44A6F"/>
    <w:rsid w:val="00A44CA2"/>
    <w:rsid w:val="00A44E8D"/>
    <w:rsid w:val="00A44EB4"/>
    <w:rsid w:val="00A44F8D"/>
    <w:rsid w:val="00A45144"/>
    <w:rsid w:val="00A45256"/>
    <w:rsid w:val="00A4526F"/>
    <w:rsid w:val="00A4532C"/>
    <w:rsid w:val="00A4537A"/>
    <w:rsid w:val="00A453F8"/>
    <w:rsid w:val="00A45533"/>
    <w:rsid w:val="00A45837"/>
    <w:rsid w:val="00A459C6"/>
    <w:rsid w:val="00A45D37"/>
    <w:rsid w:val="00A463C5"/>
    <w:rsid w:val="00A466AB"/>
    <w:rsid w:val="00A46C51"/>
    <w:rsid w:val="00A46C7E"/>
    <w:rsid w:val="00A470D8"/>
    <w:rsid w:val="00A479A9"/>
    <w:rsid w:val="00A47D29"/>
    <w:rsid w:val="00A50682"/>
    <w:rsid w:val="00A506C9"/>
    <w:rsid w:val="00A50A66"/>
    <w:rsid w:val="00A50BD8"/>
    <w:rsid w:val="00A50C7E"/>
    <w:rsid w:val="00A50F82"/>
    <w:rsid w:val="00A51265"/>
    <w:rsid w:val="00A5133C"/>
    <w:rsid w:val="00A51456"/>
    <w:rsid w:val="00A514E2"/>
    <w:rsid w:val="00A51623"/>
    <w:rsid w:val="00A5173F"/>
    <w:rsid w:val="00A518AE"/>
    <w:rsid w:val="00A5212C"/>
    <w:rsid w:val="00A522E5"/>
    <w:rsid w:val="00A52B43"/>
    <w:rsid w:val="00A52C2B"/>
    <w:rsid w:val="00A5316B"/>
    <w:rsid w:val="00A5318E"/>
    <w:rsid w:val="00A5336B"/>
    <w:rsid w:val="00A53389"/>
    <w:rsid w:val="00A533E7"/>
    <w:rsid w:val="00A53AEE"/>
    <w:rsid w:val="00A53BD2"/>
    <w:rsid w:val="00A53D88"/>
    <w:rsid w:val="00A53E3C"/>
    <w:rsid w:val="00A53F21"/>
    <w:rsid w:val="00A53FAB"/>
    <w:rsid w:val="00A5400B"/>
    <w:rsid w:val="00A5403D"/>
    <w:rsid w:val="00A547A5"/>
    <w:rsid w:val="00A5482B"/>
    <w:rsid w:val="00A54912"/>
    <w:rsid w:val="00A54D11"/>
    <w:rsid w:val="00A54DDE"/>
    <w:rsid w:val="00A55113"/>
    <w:rsid w:val="00A551F5"/>
    <w:rsid w:val="00A55CD3"/>
    <w:rsid w:val="00A56650"/>
    <w:rsid w:val="00A56884"/>
    <w:rsid w:val="00A56968"/>
    <w:rsid w:val="00A56B0A"/>
    <w:rsid w:val="00A56D70"/>
    <w:rsid w:val="00A56E82"/>
    <w:rsid w:val="00A578E1"/>
    <w:rsid w:val="00A5798B"/>
    <w:rsid w:val="00A57EF6"/>
    <w:rsid w:val="00A600A3"/>
    <w:rsid w:val="00A600BD"/>
    <w:rsid w:val="00A603ED"/>
    <w:rsid w:val="00A604A2"/>
    <w:rsid w:val="00A606C4"/>
    <w:rsid w:val="00A609BB"/>
    <w:rsid w:val="00A61085"/>
    <w:rsid w:val="00A610F6"/>
    <w:rsid w:val="00A6124D"/>
    <w:rsid w:val="00A61263"/>
    <w:rsid w:val="00A612E1"/>
    <w:rsid w:val="00A61527"/>
    <w:rsid w:val="00A615BB"/>
    <w:rsid w:val="00A61A99"/>
    <w:rsid w:val="00A62285"/>
    <w:rsid w:val="00A622C2"/>
    <w:rsid w:val="00A624F8"/>
    <w:rsid w:val="00A6277F"/>
    <w:rsid w:val="00A629A2"/>
    <w:rsid w:val="00A62E0E"/>
    <w:rsid w:val="00A630A4"/>
    <w:rsid w:val="00A63209"/>
    <w:rsid w:val="00A63236"/>
    <w:rsid w:val="00A633E9"/>
    <w:rsid w:val="00A634D0"/>
    <w:rsid w:val="00A63ABF"/>
    <w:rsid w:val="00A63CE9"/>
    <w:rsid w:val="00A63D1D"/>
    <w:rsid w:val="00A63DDB"/>
    <w:rsid w:val="00A64043"/>
    <w:rsid w:val="00A64742"/>
    <w:rsid w:val="00A64EE1"/>
    <w:rsid w:val="00A64F9F"/>
    <w:rsid w:val="00A65571"/>
    <w:rsid w:val="00A6584D"/>
    <w:rsid w:val="00A65932"/>
    <w:rsid w:val="00A65AC7"/>
    <w:rsid w:val="00A65E60"/>
    <w:rsid w:val="00A664B1"/>
    <w:rsid w:val="00A664C3"/>
    <w:rsid w:val="00A66958"/>
    <w:rsid w:val="00A66CED"/>
    <w:rsid w:val="00A6708E"/>
    <w:rsid w:val="00A67235"/>
    <w:rsid w:val="00A67380"/>
    <w:rsid w:val="00A678B3"/>
    <w:rsid w:val="00A67A76"/>
    <w:rsid w:val="00A67D53"/>
    <w:rsid w:val="00A67D6C"/>
    <w:rsid w:val="00A701DE"/>
    <w:rsid w:val="00A703AE"/>
    <w:rsid w:val="00A7080C"/>
    <w:rsid w:val="00A70838"/>
    <w:rsid w:val="00A70B1A"/>
    <w:rsid w:val="00A70B46"/>
    <w:rsid w:val="00A70CA6"/>
    <w:rsid w:val="00A71126"/>
    <w:rsid w:val="00A7117B"/>
    <w:rsid w:val="00A7151A"/>
    <w:rsid w:val="00A7159E"/>
    <w:rsid w:val="00A71F13"/>
    <w:rsid w:val="00A72014"/>
    <w:rsid w:val="00A721E4"/>
    <w:rsid w:val="00A72470"/>
    <w:rsid w:val="00A727AD"/>
    <w:rsid w:val="00A72835"/>
    <w:rsid w:val="00A72864"/>
    <w:rsid w:val="00A72C21"/>
    <w:rsid w:val="00A72D66"/>
    <w:rsid w:val="00A72E42"/>
    <w:rsid w:val="00A72E4B"/>
    <w:rsid w:val="00A72EE7"/>
    <w:rsid w:val="00A73170"/>
    <w:rsid w:val="00A732FE"/>
    <w:rsid w:val="00A7342C"/>
    <w:rsid w:val="00A737FB"/>
    <w:rsid w:val="00A73AE8"/>
    <w:rsid w:val="00A73C95"/>
    <w:rsid w:val="00A73F1B"/>
    <w:rsid w:val="00A74051"/>
    <w:rsid w:val="00A740CF"/>
    <w:rsid w:val="00A7451A"/>
    <w:rsid w:val="00A746E5"/>
    <w:rsid w:val="00A74CB5"/>
    <w:rsid w:val="00A74E70"/>
    <w:rsid w:val="00A74F42"/>
    <w:rsid w:val="00A753A9"/>
    <w:rsid w:val="00A754A5"/>
    <w:rsid w:val="00A7554E"/>
    <w:rsid w:val="00A75790"/>
    <w:rsid w:val="00A75A30"/>
    <w:rsid w:val="00A75C66"/>
    <w:rsid w:val="00A75E20"/>
    <w:rsid w:val="00A75F0B"/>
    <w:rsid w:val="00A760EE"/>
    <w:rsid w:val="00A763E0"/>
    <w:rsid w:val="00A76846"/>
    <w:rsid w:val="00A76D24"/>
    <w:rsid w:val="00A773E0"/>
    <w:rsid w:val="00A77582"/>
    <w:rsid w:val="00A776BC"/>
    <w:rsid w:val="00A77C35"/>
    <w:rsid w:val="00A7D4F6"/>
    <w:rsid w:val="00A8018C"/>
    <w:rsid w:val="00A801FF"/>
    <w:rsid w:val="00A80265"/>
    <w:rsid w:val="00A80598"/>
    <w:rsid w:val="00A805BD"/>
    <w:rsid w:val="00A8082F"/>
    <w:rsid w:val="00A8090D"/>
    <w:rsid w:val="00A80D0E"/>
    <w:rsid w:val="00A8100B"/>
    <w:rsid w:val="00A81219"/>
    <w:rsid w:val="00A81310"/>
    <w:rsid w:val="00A8195F"/>
    <w:rsid w:val="00A81973"/>
    <w:rsid w:val="00A81EA7"/>
    <w:rsid w:val="00A81ED1"/>
    <w:rsid w:val="00A822AA"/>
    <w:rsid w:val="00A8250D"/>
    <w:rsid w:val="00A82648"/>
    <w:rsid w:val="00A82735"/>
    <w:rsid w:val="00A82739"/>
    <w:rsid w:val="00A82AB6"/>
    <w:rsid w:val="00A82BF0"/>
    <w:rsid w:val="00A8310B"/>
    <w:rsid w:val="00A83592"/>
    <w:rsid w:val="00A83607"/>
    <w:rsid w:val="00A838A0"/>
    <w:rsid w:val="00A83BE6"/>
    <w:rsid w:val="00A83E62"/>
    <w:rsid w:val="00A840C5"/>
    <w:rsid w:val="00A842EB"/>
    <w:rsid w:val="00A843D8"/>
    <w:rsid w:val="00A84447"/>
    <w:rsid w:val="00A8472D"/>
    <w:rsid w:val="00A84B0B"/>
    <w:rsid w:val="00A850FE"/>
    <w:rsid w:val="00A857EE"/>
    <w:rsid w:val="00A85818"/>
    <w:rsid w:val="00A85965"/>
    <w:rsid w:val="00A85CAC"/>
    <w:rsid w:val="00A86074"/>
    <w:rsid w:val="00A86539"/>
    <w:rsid w:val="00A86645"/>
    <w:rsid w:val="00A8694C"/>
    <w:rsid w:val="00A86D3F"/>
    <w:rsid w:val="00A870EB"/>
    <w:rsid w:val="00A87494"/>
    <w:rsid w:val="00A8771E"/>
    <w:rsid w:val="00A87831"/>
    <w:rsid w:val="00A87B11"/>
    <w:rsid w:val="00A87D05"/>
    <w:rsid w:val="00A9009F"/>
    <w:rsid w:val="00A90205"/>
    <w:rsid w:val="00A9039B"/>
    <w:rsid w:val="00A9052D"/>
    <w:rsid w:val="00A90537"/>
    <w:rsid w:val="00A908B7"/>
    <w:rsid w:val="00A91311"/>
    <w:rsid w:val="00A9131A"/>
    <w:rsid w:val="00A916FA"/>
    <w:rsid w:val="00A919C8"/>
    <w:rsid w:val="00A92351"/>
    <w:rsid w:val="00A926C6"/>
    <w:rsid w:val="00A92EC2"/>
    <w:rsid w:val="00A92F4F"/>
    <w:rsid w:val="00A93175"/>
    <w:rsid w:val="00A937D5"/>
    <w:rsid w:val="00A9397A"/>
    <w:rsid w:val="00A941D8"/>
    <w:rsid w:val="00A94227"/>
    <w:rsid w:val="00A94505"/>
    <w:rsid w:val="00A946D2"/>
    <w:rsid w:val="00A946EF"/>
    <w:rsid w:val="00A94816"/>
    <w:rsid w:val="00A9488D"/>
    <w:rsid w:val="00A949AD"/>
    <w:rsid w:val="00A94A9F"/>
    <w:rsid w:val="00A94C70"/>
    <w:rsid w:val="00A94DA5"/>
    <w:rsid w:val="00A95106"/>
    <w:rsid w:val="00A95399"/>
    <w:rsid w:val="00A958A9"/>
    <w:rsid w:val="00A95BA5"/>
    <w:rsid w:val="00A95E10"/>
    <w:rsid w:val="00A96124"/>
    <w:rsid w:val="00A96136"/>
    <w:rsid w:val="00A965CF"/>
    <w:rsid w:val="00A96689"/>
    <w:rsid w:val="00A966E4"/>
    <w:rsid w:val="00A96D8A"/>
    <w:rsid w:val="00A970A0"/>
    <w:rsid w:val="00A97185"/>
    <w:rsid w:val="00A974FC"/>
    <w:rsid w:val="00A9753A"/>
    <w:rsid w:val="00A975A2"/>
    <w:rsid w:val="00A97787"/>
    <w:rsid w:val="00A977CB"/>
    <w:rsid w:val="00A97AE9"/>
    <w:rsid w:val="00A97E4F"/>
    <w:rsid w:val="00AA0096"/>
    <w:rsid w:val="00AA028F"/>
    <w:rsid w:val="00AA0980"/>
    <w:rsid w:val="00AA0ACA"/>
    <w:rsid w:val="00AA0C8E"/>
    <w:rsid w:val="00AA0CF4"/>
    <w:rsid w:val="00AA0EE1"/>
    <w:rsid w:val="00AA110F"/>
    <w:rsid w:val="00AA1347"/>
    <w:rsid w:val="00AA13CB"/>
    <w:rsid w:val="00AA156F"/>
    <w:rsid w:val="00AA1B41"/>
    <w:rsid w:val="00AA1ED1"/>
    <w:rsid w:val="00AA1F1E"/>
    <w:rsid w:val="00AA1F81"/>
    <w:rsid w:val="00AA1FDF"/>
    <w:rsid w:val="00AA2314"/>
    <w:rsid w:val="00AA2329"/>
    <w:rsid w:val="00AA2441"/>
    <w:rsid w:val="00AA2473"/>
    <w:rsid w:val="00AA2BE0"/>
    <w:rsid w:val="00AA3045"/>
    <w:rsid w:val="00AA33AB"/>
    <w:rsid w:val="00AA34D9"/>
    <w:rsid w:val="00AA388F"/>
    <w:rsid w:val="00AA3A71"/>
    <w:rsid w:val="00AA3C03"/>
    <w:rsid w:val="00AA3FAF"/>
    <w:rsid w:val="00AA40C6"/>
    <w:rsid w:val="00AA45BC"/>
    <w:rsid w:val="00AA4CE4"/>
    <w:rsid w:val="00AA4DAF"/>
    <w:rsid w:val="00AA4F7E"/>
    <w:rsid w:val="00AA5189"/>
    <w:rsid w:val="00AA51F2"/>
    <w:rsid w:val="00AA5517"/>
    <w:rsid w:val="00AA5523"/>
    <w:rsid w:val="00AA5682"/>
    <w:rsid w:val="00AA5718"/>
    <w:rsid w:val="00AA5AD9"/>
    <w:rsid w:val="00AA5CDD"/>
    <w:rsid w:val="00AA6039"/>
    <w:rsid w:val="00AA6A5F"/>
    <w:rsid w:val="00AA6D3A"/>
    <w:rsid w:val="00AA7161"/>
    <w:rsid w:val="00AA727D"/>
    <w:rsid w:val="00AA74A2"/>
    <w:rsid w:val="00AA7579"/>
    <w:rsid w:val="00AA78C5"/>
    <w:rsid w:val="00AA7F75"/>
    <w:rsid w:val="00AA7F9C"/>
    <w:rsid w:val="00AB0010"/>
    <w:rsid w:val="00AB008E"/>
    <w:rsid w:val="00AB02C7"/>
    <w:rsid w:val="00AB0456"/>
    <w:rsid w:val="00AB07D9"/>
    <w:rsid w:val="00AB101E"/>
    <w:rsid w:val="00AB11D9"/>
    <w:rsid w:val="00AB13A4"/>
    <w:rsid w:val="00AB13AD"/>
    <w:rsid w:val="00AB15B1"/>
    <w:rsid w:val="00AB17F1"/>
    <w:rsid w:val="00AB18EB"/>
    <w:rsid w:val="00AB1B32"/>
    <w:rsid w:val="00AB27BB"/>
    <w:rsid w:val="00AB2B92"/>
    <w:rsid w:val="00AB30A5"/>
    <w:rsid w:val="00AB313A"/>
    <w:rsid w:val="00AB34A2"/>
    <w:rsid w:val="00AB34E3"/>
    <w:rsid w:val="00AB360F"/>
    <w:rsid w:val="00AB361B"/>
    <w:rsid w:val="00AB3717"/>
    <w:rsid w:val="00AB3BF3"/>
    <w:rsid w:val="00AB3BFC"/>
    <w:rsid w:val="00AB41C8"/>
    <w:rsid w:val="00AB49AE"/>
    <w:rsid w:val="00AB4A6B"/>
    <w:rsid w:val="00AB4B3C"/>
    <w:rsid w:val="00AB4B4C"/>
    <w:rsid w:val="00AB5124"/>
    <w:rsid w:val="00AB512E"/>
    <w:rsid w:val="00AB545A"/>
    <w:rsid w:val="00AB556B"/>
    <w:rsid w:val="00AB5647"/>
    <w:rsid w:val="00AB5803"/>
    <w:rsid w:val="00AB5AC3"/>
    <w:rsid w:val="00AB5C3B"/>
    <w:rsid w:val="00AB5D5F"/>
    <w:rsid w:val="00AB5DC0"/>
    <w:rsid w:val="00AB5E64"/>
    <w:rsid w:val="00AB5EC6"/>
    <w:rsid w:val="00AB602C"/>
    <w:rsid w:val="00AB6194"/>
    <w:rsid w:val="00AB650F"/>
    <w:rsid w:val="00AB69DA"/>
    <w:rsid w:val="00AB6E3F"/>
    <w:rsid w:val="00AB6EF8"/>
    <w:rsid w:val="00AB71A5"/>
    <w:rsid w:val="00AB76E4"/>
    <w:rsid w:val="00AB78EB"/>
    <w:rsid w:val="00AB7EEE"/>
    <w:rsid w:val="00AC0097"/>
    <w:rsid w:val="00AC010C"/>
    <w:rsid w:val="00AC02DF"/>
    <w:rsid w:val="00AC04FD"/>
    <w:rsid w:val="00AC0787"/>
    <w:rsid w:val="00AC0974"/>
    <w:rsid w:val="00AC09FE"/>
    <w:rsid w:val="00AC0A51"/>
    <w:rsid w:val="00AC0AD3"/>
    <w:rsid w:val="00AC0AE1"/>
    <w:rsid w:val="00AC11CB"/>
    <w:rsid w:val="00AC165C"/>
    <w:rsid w:val="00AC17FC"/>
    <w:rsid w:val="00AC1AA7"/>
    <w:rsid w:val="00AC1AAC"/>
    <w:rsid w:val="00AC1C52"/>
    <w:rsid w:val="00AC1DB4"/>
    <w:rsid w:val="00AC21F1"/>
    <w:rsid w:val="00AC23D2"/>
    <w:rsid w:val="00AC2438"/>
    <w:rsid w:val="00AC2DEB"/>
    <w:rsid w:val="00AC2F4F"/>
    <w:rsid w:val="00AC35B9"/>
    <w:rsid w:val="00AC37CA"/>
    <w:rsid w:val="00AC39DF"/>
    <w:rsid w:val="00AC3FFC"/>
    <w:rsid w:val="00AC4008"/>
    <w:rsid w:val="00AC4584"/>
    <w:rsid w:val="00AC4892"/>
    <w:rsid w:val="00AC4A8E"/>
    <w:rsid w:val="00AC4DF4"/>
    <w:rsid w:val="00AC50A4"/>
    <w:rsid w:val="00AC54DB"/>
    <w:rsid w:val="00AC59DE"/>
    <w:rsid w:val="00AC5D2F"/>
    <w:rsid w:val="00AC6072"/>
    <w:rsid w:val="00AC6744"/>
    <w:rsid w:val="00AC686C"/>
    <w:rsid w:val="00AC6966"/>
    <w:rsid w:val="00AC6A7B"/>
    <w:rsid w:val="00AC6B90"/>
    <w:rsid w:val="00AC704D"/>
    <w:rsid w:val="00AC709C"/>
    <w:rsid w:val="00AC70C5"/>
    <w:rsid w:val="00AC70E6"/>
    <w:rsid w:val="00AC70F6"/>
    <w:rsid w:val="00AC71A6"/>
    <w:rsid w:val="00AC72DF"/>
    <w:rsid w:val="00AC7596"/>
    <w:rsid w:val="00AC7B81"/>
    <w:rsid w:val="00AC7C00"/>
    <w:rsid w:val="00AC7F7F"/>
    <w:rsid w:val="00AD0046"/>
    <w:rsid w:val="00AD043F"/>
    <w:rsid w:val="00AD0443"/>
    <w:rsid w:val="00AD0996"/>
    <w:rsid w:val="00AD0B38"/>
    <w:rsid w:val="00AD0CED"/>
    <w:rsid w:val="00AD16EF"/>
    <w:rsid w:val="00AD1961"/>
    <w:rsid w:val="00AD1A20"/>
    <w:rsid w:val="00AD1C14"/>
    <w:rsid w:val="00AD1ECE"/>
    <w:rsid w:val="00AD1EDF"/>
    <w:rsid w:val="00AD2138"/>
    <w:rsid w:val="00AD2409"/>
    <w:rsid w:val="00AD2532"/>
    <w:rsid w:val="00AD28D9"/>
    <w:rsid w:val="00AD2AD2"/>
    <w:rsid w:val="00AD2C6C"/>
    <w:rsid w:val="00AD30AC"/>
    <w:rsid w:val="00AD3554"/>
    <w:rsid w:val="00AD35F0"/>
    <w:rsid w:val="00AD35F9"/>
    <w:rsid w:val="00AD3CC1"/>
    <w:rsid w:val="00AD471E"/>
    <w:rsid w:val="00AD4983"/>
    <w:rsid w:val="00AD4AE7"/>
    <w:rsid w:val="00AD5398"/>
    <w:rsid w:val="00AD577F"/>
    <w:rsid w:val="00AD6189"/>
    <w:rsid w:val="00AD624A"/>
    <w:rsid w:val="00AD6495"/>
    <w:rsid w:val="00AD64B4"/>
    <w:rsid w:val="00AD6901"/>
    <w:rsid w:val="00AD69D5"/>
    <w:rsid w:val="00AD6DF0"/>
    <w:rsid w:val="00AD73DE"/>
    <w:rsid w:val="00AD77A0"/>
    <w:rsid w:val="00AD78FA"/>
    <w:rsid w:val="00AD79A0"/>
    <w:rsid w:val="00AD7A8B"/>
    <w:rsid w:val="00AD7F0B"/>
    <w:rsid w:val="00AD7F8B"/>
    <w:rsid w:val="00AE0360"/>
    <w:rsid w:val="00AE064C"/>
    <w:rsid w:val="00AE0909"/>
    <w:rsid w:val="00AE0AB4"/>
    <w:rsid w:val="00AE0CE5"/>
    <w:rsid w:val="00AE0D44"/>
    <w:rsid w:val="00AE0E75"/>
    <w:rsid w:val="00AE124D"/>
    <w:rsid w:val="00AE177E"/>
    <w:rsid w:val="00AE1C87"/>
    <w:rsid w:val="00AE1D56"/>
    <w:rsid w:val="00AE1DB1"/>
    <w:rsid w:val="00AE23BF"/>
    <w:rsid w:val="00AE23FD"/>
    <w:rsid w:val="00AE2603"/>
    <w:rsid w:val="00AE26A5"/>
    <w:rsid w:val="00AE2772"/>
    <w:rsid w:val="00AE28A1"/>
    <w:rsid w:val="00AE2D25"/>
    <w:rsid w:val="00AE2FC3"/>
    <w:rsid w:val="00AE30ED"/>
    <w:rsid w:val="00AE3252"/>
    <w:rsid w:val="00AE34FC"/>
    <w:rsid w:val="00AE3773"/>
    <w:rsid w:val="00AE4478"/>
    <w:rsid w:val="00AE46CA"/>
    <w:rsid w:val="00AE494D"/>
    <w:rsid w:val="00AE499E"/>
    <w:rsid w:val="00AE49C6"/>
    <w:rsid w:val="00AE4FCF"/>
    <w:rsid w:val="00AE50D3"/>
    <w:rsid w:val="00AE556C"/>
    <w:rsid w:val="00AE5797"/>
    <w:rsid w:val="00AE5927"/>
    <w:rsid w:val="00AE5D3A"/>
    <w:rsid w:val="00AE5DB0"/>
    <w:rsid w:val="00AE5E59"/>
    <w:rsid w:val="00AE5F70"/>
    <w:rsid w:val="00AE5FF9"/>
    <w:rsid w:val="00AE64EB"/>
    <w:rsid w:val="00AE6951"/>
    <w:rsid w:val="00AE6E83"/>
    <w:rsid w:val="00AE74E2"/>
    <w:rsid w:val="00AE7B06"/>
    <w:rsid w:val="00AE7D05"/>
    <w:rsid w:val="00AF024D"/>
    <w:rsid w:val="00AF0668"/>
    <w:rsid w:val="00AF0A55"/>
    <w:rsid w:val="00AF0B93"/>
    <w:rsid w:val="00AF0BE5"/>
    <w:rsid w:val="00AF113E"/>
    <w:rsid w:val="00AF1822"/>
    <w:rsid w:val="00AF189B"/>
    <w:rsid w:val="00AF18C1"/>
    <w:rsid w:val="00AF1CF1"/>
    <w:rsid w:val="00AF1D76"/>
    <w:rsid w:val="00AF1DFB"/>
    <w:rsid w:val="00AF20B1"/>
    <w:rsid w:val="00AF21F9"/>
    <w:rsid w:val="00AF2352"/>
    <w:rsid w:val="00AF23C1"/>
    <w:rsid w:val="00AF24F8"/>
    <w:rsid w:val="00AF25DB"/>
    <w:rsid w:val="00AF2748"/>
    <w:rsid w:val="00AF2DE0"/>
    <w:rsid w:val="00AF2FD6"/>
    <w:rsid w:val="00AF3206"/>
    <w:rsid w:val="00AF333F"/>
    <w:rsid w:val="00AF34E4"/>
    <w:rsid w:val="00AF3532"/>
    <w:rsid w:val="00AF35AC"/>
    <w:rsid w:val="00AF36E5"/>
    <w:rsid w:val="00AF4935"/>
    <w:rsid w:val="00AF4AA4"/>
    <w:rsid w:val="00AF4D32"/>
    <w:rsid w:val="00AF4E53"/>
    <w:rsid w:val="00AF5440"/>
    <w:rsid w:val="00AF56D4"/>
    <w:rsid w:val="00AF5738"/>
    <w:rsid w:val="00AF583B"/>
    <w:rsid w:val="00AF5A90"/>
    <w:rsid w:val="00AF6030"/>
    <w:rsid w:val="00AF648E"/>
    <w:rsid w:val="00AF6955"/>
    <w:rsid w:val="00AF69BF"/>
    <w:rsid w:val="00AF6A64"/>
    <w:rsid w:val="00AF6B7C"/>
    <w:rsid w:val="00AF6B82"/>
    <w:rsid w:val="00AF715C"/>
    <w:rsid w:val="00AF71A0"/>
    <w:rsid w:val="00AF7249"/>
    <w:rsid w:val="00AF7251"/>
    <w:rsid w:val="00AF72D5"/>
    <w:rsid w:val="00AF7351"/>
    <w:rsid w:val="00AF737D"/>
    <w:rsid w:val="00AF7464"/>
    <w:rsid w:val="00AF7609"/>
    <w:rsid w:val="00B003CF"/>
    <w:rsid w:val="00B005CE"/>
    <w:rsid w:val="00B00689"/>
    <w:rsid w:val="00B009D4"/>
    <w:rsid w:val="00B00CF0"/>
    <w:rsid w:val="00B011CE"/>
    <w:rsid w:val="00B0147F"/>
    <w:rsid w:val="00B016AB"/>
    <w:rsid w:val="00B01776"/>
    <w:rsid w:val="00B0181D"/>
    <w:rsid w:val="00B018B3"/>
    <w:rsid w:val="00B01A92"/>
    <w:rsid w:val="00B01ABA"/>
    <w:rsid w:val="00B02209"/>
    <w:rsid w:val="00B02B2A"/>
    <w:rsid w:val="00B02B6E"/>
    <w:rsid w:val="00B02DD3"/>
    <w:rsid w:val="00B02EA9"/>
    <w:rsid w:val="00B02EBD"/>
    <w:rsid w:val="00B02ED8"/>
    <w:rsid w:val="00B03728"/>
    <w:rsid w:val="00B03BE7"/>
    <w:rsid w:val="00B03C8D"/>
    <w:rsid w:val="00B03CB6"/>
    <w:rsid w:val="00B03D41"/>
    <w:rsid w:val="00B03FDE"/>
    <w:rsid w:val="00B040B9"/>
    <w:rsid w:val="00B0426B"/>
    <w:rsid w:val="00B042A4"/>
    <w:rsid w:val="00B043D5"/>
    <w:rsid w:val="00B0471A"/>
    <w:rsid w:val="00B04A3F"/>
    <w:rsid w:val="00B04AE8"/>
    <w:rsid w:val="00B05043"/>
    <w:rsid w:val="00B050E8"/>
    <w:rsid w:val="00B05215"/>
    <w:rsid w:val="00B0523E"/>
    <w:rsid w:val="00B0544F"/>
    <w:rsid w:val="00B055B3"/>
    <w:rsid w:val="00B056CC"/>
    <w:rsid w:val="00B0593E"/>
    <w:rsid w:val="00B05976"/>
    <w:rsid w:val="00B05ACD"/>
    <w:rsid w:val="00B05CCE"/>
    <w:rsid w:val="00B05E7C"/>
    <w:rsid w:val="00B06019"/>
    <w:rsid w:val="00B06064"/>
    <w:rsid w:val="00B060EE"/>
    <w:rsid w:val="00B06139"/>
    <w:rsid w:val="00B06165"/>
    <w:rsid w:val="00B06335"/>
    <w:rsid w:val="00B0633D"/>
    <w:rsid w:val="00B063EB"/>
    <w:rsid w:val="00B0668A"/>
    <w:rsid w:val="00B06CEF"/>
    <w:rsid w:val="00B06E68"/>
    <w:rsid w:val="00B06FC2"/>
    <w:rsid w:val="00B07022"/>
    <w:rsid w:val="00B072B7"/>
    <w:rsid w:val="00B07D5D"/>
    <w:rsid w:val="00B101D8"/>
    <w:rsid w:val="00B1020E"/>
    <w:rsid w:val="00B10307"/>
    <w:rsid w:val="00B103FA"/>
    <w:rsid w:val="00B104D2"/>
    <w:rsid w:val="00B10799"/>
    <w:rsid w:val="00B1079D"/>
    <w:rsid w:val="00B10B11"/>
    <w:rsid w:val="00B10FDC"/>
    <w:rsid w:val="00B11082"/>
    <w:rsid w:val="00B118E0"/>
    <w:rsid w:val="00B11DD9"/>
    <w:rsid w:val="00B12064"/>
    <w:rsid w:val="00B1209A"/>
    <w:rsid w:val="00B120AA"/>
    <w:rsid w:val="00B120BC"/>
    <w:rsid w:val="00B121B6"/>
    <w:rsid w:val="00B12234"/>
    <w:rsid w:val="00B124C9"/>
    <w:rsid w:val="00B125D6"/>
    <w:rsid w:val="00B12792"/>
    <w:rsid w:val="00B12929"/>
    <w:rsid w:val="00B12957"/>
    <w:rsid w:val="00B129E4"/>
    <w:rsid w:val="00B12EA8"/>
    <w:rsid w:val="00B12FD9"/>
    <w:rsid w:val="00B136B2"/>
    <w:rsid w:val="00B13701"/>
    <w:rsid w:val="00B1371C"/>
    <w:rsid w:val="00B139C1"/>
    <w:rsid w:val="00B13A8D"/>
    <w:rsid w:val="00B13CD0"/>
    <w:rsid w:val="00B13CF1"/>
    <w:rsid w:val="00B13D38"/>
    <w:rsid w:val="00B13F23"/>
    <w:rsid w:val="00B14482"/>
    <w:rsid w:val="00B14903"/>
    <w:rsid w:val="00B14A05"/>
    <w:rsid w:val="00B14EC5"/>
    <w:rsid w:val="00B14F1B"/>
    <w:rsid w:val="00B14F62"/>
    <w:rsid w:val="00B150CD"/>
    <w:rsid w:val="00B1546A"/>
    <w:rsid w:val="00B155A6"/>
    <w:rsid w:val="00B16B0D"/>
    <w:rsid w:val="00B16F15"/>
    <w:rsid w:val="00B17078"/>
    <w:rsid w:val="00B17330"/>
    <w:rsid w:val="00B176F2"/>
    <w:rsid w:val="00B17E54"/>
    <w:rsid w:val="00B17EAC"/>
    <w:rsid w:val="00B17F14"/>
    <w:rsid w:val="00B17F23"/>
    <w:rsid w:val="00B20388"/>
    <w:rsid w:val="00B20394"/>
    <w:rsid w:val="00B2056C"/>
    <w:rsid w:val="00B2058A"/>
    <w:rsid w:val="00B20F72"/>
    <w:rsid w:val="00B20FBF"/>
    <w:rsid w:val="00B20FDF"/>
    <w:rsid w:val="00B2108D"/>
    <w:rsid w:val="00B210B5"/>
    <w:rsid w:val="00B2149C"/>
    <w:rsid w:val="00B21DE5"/>
    <w:rsid w:val="00B221EE"/>
    <w:rsid w:val="00B229F0"/>
    <w:rsid w:val="00B22C09"/>
    <w:rsid w:val="00B22C43"/>
    <w:rsid w:val="00B22C77"/>
    <w:rsid w:val="00B22D75"/>
    <w:rsid w:val="00B22E4A"/>
    <w:rsid w:val="00B2303B"/>
    <w:rsid w:val="00B2337D"/>
    <w:rsid w:val="00B23433"/>
    <w:rsid w:val="00B2347D"/>
    <w:rsid w:val="00B235DC"/>
    <w:rsid w:val="00B236E4"/>
    <w:rsid w:val="00B23797"/>
    <w:rsid w:val="00B237D7"/>
    <w:rsid w:val="00B23E05"/>
    <w:rsid w:val="00B2401D"/>
    <w:rsid w:val="00B241AA"/>
    <w:rsid w:val="00B24591"/>
    <w:rsid w:val="00B24AF1"/>
    <w:rsid w:val="00B24AF2"/>
    <w:rsid w:val="00B24BA7"/>
    <w:rsid w:val="00B24C5D"/>
    <w:rsid w:val="00B24C81"/>
    <w:rsid w:val="00B25090"/>
    <w:rsid w:val="00B25188"/>
    <w:rsid w:val="00B251BC"/>
    <w:rsid w:val="00B252AD"/>
    <w:rsid w:val="00B2534D"/>
    <w:rsid w:val="00B25445"/>
    <w:rsid w:val="00B25572"/>
    <w:rsid w:val="00B25590"/>
    <w:rsid w:val="00B25972"/>
    <w:rsid w:val="00B259C8"/>
    <w:rsid w:val="00B25BB3"/>
    <w:rsid w:val="00B25FFF"/>
    <w:rsid w:val="00B26058"/>
    <w:rsid w:val="00B2649D"/>
    <w:rsid w:val="00B2665B"/>
    <w:rsid w:val="00B2669A"/>
    <w:rsid w:val="00B27024"/>
    <w:rsid w:val="00B27171"/>
    <w:rsid w:val="00B2718E"/>
    <w:rsid w:val="00B271BE"/>
    <w:rsid w:val="00B271CE"/>
    <w:rsid w:val="00B271D4"/>
    <w:rsid w:val="00B272B6"/>
    <w:rsid w:val="00B277D4"/>
    <w:rsid w:val="00B27D3A"/>
    <w:rsid w:val="00B27F23"/>
    <w:rsid w:val="00B30736"/>
    <w:rsid w:val="00B30A66"/>
    <w:rsid w:val="00B30AE8"/>
    <w:rsid w:val="00B30C85"/>
    <w:rsid w:val="00B30E32"/>
    <w:rsid w:val="00B30E35"/>
    <w:rsid w:val="00B30E45"/>
    <w:rsid w:val="00B30F97"/>
    <w:rsid w:val="00B31303"/>
    <w:rsid w:val="00B3170C"/>
    <w:rsid w:val="00B318EE"/>
    <w:rsid w:val="00B3190B"/>
    <w:rsid w:val="00B32013"/>
    <w:rsid w:val="00B324DD"/>
    <w:rsid w:val="00B32562"/>
    <w:rsid w:val="00B32797"/>
    <w:rsid w:val="00B327E6"/>
    <w:rsid w:val="00B3296E"/>
    <w:rsid w:val="00B32D40"/>
    <w:rsid w:val="00B32DF0"/>
    <w:rsid w:val="00B33119"/>
    <w:rsid w:val="00B33233"/>
    <w:rsid w:val="00B3383C"/>
    <w:rsid w:val="00B3383D"/>
    <w:rsid w:val="00B33A00"/>
    <w:rsid w:val="00B33D7D"/>
    <w:rsid w:val="00B34134"/>
    <w:rsid w:val="00B343DB"/>
    <w:rsid w:val="00B34468"/>
    <w:rsid w:val="00B34A3F"/>
    <w:rsid w:val="00B34AC2"/>
    <w:rsid w:val="00B34B3F"/>
    <w:rsid w:val="00B34CBB"/>
    <w:rsid w:val="00B34CC4"/>
    <w:rsid w:val="00B34E70"/>
    <w:rsid w:val="00B34FAD"/>
    <w:rsid w:val="00B3586F"/>
    <w:rsid w:val="00B36133"/>
    <w:rsid w:val="00B362B2"/>
    <w:rsid w:val="00B36397"/>
    <w:rsid w:val="00B363AC"/>
    <w:rsid w:val="00B36546"/>
    <w:rsid w:val="00B3666E"/>
    <w:rsid w:val="00B36684"/>
    <w:rsid w:val="00B3680C"/>
    <w:rsid w:val="00B36EDD"/>
    <w:rsid w:val="00B370C8"/>
    <w:rsid w:val="00B40095"/>
    <w:rsid w:val="00B40469"/>
    <w:rsid w:val="00B405B3"/>
    <w:rsid w:val="00B405C7"/>
    <w:rsid w:val="00B40849"/>
    <w:rsid w:val="00B40B20"/>
    <w:rsid w:val="00B40D4D"/>
    <w:rsid w:val="00B4129A"/>
    <w:rsid w:val="00B41870"/>
    <w:rsid w:val="00B41917"/>
    <w:rsid w:val="00B41AF2"/>
    <w:rsid w:val="00B41E53"/>
    <w:rsid w:val="00B4201C"/>
    <w:rsid w:val="00B421F3"/>
    <w:rsid w:val="00B42474"/>
    <w:rsid w:val="00B4274D"/>
    <w:rsid w:val="00B428D8"/>
    <w:rsid w:val="00B428FC"/>
    <w:rsid w:val="00B42A98"/>
    <w:rsid w:val="00B42B0D"/>
    <w:rsid w:val="00B42D57"/>
    <w:rsid w:val="00B42DB7"/>
    <w:rsid w:val="00B430CD"/>
    <w:rsid w:val="00B4316C"/>
    <w:rsid w:val="00B431BF"/>
    <w:rsid w:val="00B431C3"/>
    <w:rsid w:val="00B43295"/>
    <w:rsid w:val="00B437AC"/>
    <w:rsid w:val="00B43F97"/>
    <w:rsid w:val="00B43FE6"/>
    <w:rsid w:val="00B4405E"/>
    <w:rsid w:val="00B443DB"/>
    <w:rsid w:val="00B44A18"/>
    <w:rsid w:val="00B44C3A"/>
    <w:rsid w:val="00B45476"/>
    <w:rsid w:val="00B455F7"/>
    <w:rsid w:val="00B456A2"/>
    <w:rsid w:val="00B4596C"/>
    <w:rsid w:val="00B45A59"/>
    <w:rsid w:val="00B4605B"/>
    <w:rsid w:val="00B461B2"/>
    <w:rsid w:val="00B46318"/>
    <w:rsid w:val="00B4698F"/>
    <w:rsid w:val="00B46E5E"/>
    <w:rsid w:val="00B46ECE"/>
    <w:rsid w:val="00B4718F"/>
    <w:rsid w:val="00B47355"/>
    <w:rsid w:val="00B4752E"/>
    <w:rsid w:val="00B47653"/>
    <w:rsid w:val="00B47905"/>
    <w:rsid w:val="00B479BD"/>
    <w:rsid w:val="00B47E0F"/>
    <w:rsid w:val="00B502ED"/>
    <w:rsid w:val="00B503F2"/>
    <w:rsid w:val="00B50458"/>
    <w:rsid w:val="00B504A5"/>
    <w:rsid w:val="00B50E4F"/>
    <w:rsid w:val="00B514EF"/>
    <w:rsid w:val="00B5152D"/>
    <w:rsid w:val="00B51534"/>
    <w:rsid w:val="00B515EC"/>
    <w:rsid w:val="00B51F6A"/>
    <w:rsid w:val="00B523CC"/>
    <w:rsid w:val="00B52457"/>
    <w:rsid w:val="00B525A6"/>
    <w:rsid w:val="00B5268E"/>
    <w:rsid w:val="00B52917"/>
    <w:rsid w:val="00B529CC"/>
    <w:rsid w:val="00B52AC8"/>
    <w:rsid w:val="00B531E7"/>
    <w:rsid w:val="00B5349A"/>
    <w:rsid w:val="00B5352D"/>
    <w:rsid w:val="00B5361F"/>
    <w:rsid w:val="00B53914"/>
    <w:rsid w:val="00B54050"/>
    <w:rsid w:val="00B540E6"/>
    <w:rsid w:val="00B5412E"/>
    <w:rsid w:val="00B5482C"/>
    <w:rsid w:val="00B5483D"/>
    <w:rsid w:val="00B54B0F"/>
    <w:rsid w:val="00B55320"/>
    <w:rsid w:val="00B5566A"/>
    <w:rsid w:val="00B559C1"/>
    <w:rsid w:val="00B55BFC"/>
    <w:rsid w:val="00B55CDB"/>
    <w:rsid w:val="00B55D0A"/>
    <w:rsid w:val="00B55EC0"/>
    <w:rsid w:val="00B56134"/>
    <w:rsid w:val="00B56504"/>
    <w:rsid w:val="00B568BD"/>
    <w:rsid w:val="00B56A9A"/>
    <w:rsid w:val="00B56E9B"/>
    <w:rsid w:val="00B56EB1"/>
    <w:rsid w:val="00B56F47"/>
    <w:rsid w:val="00B570CD"/>
    <w:rsid w:val="00B57288"/>
    <w:rsid w:val="00B57529"/>
    <w:rsid w:val="00B5763D"/>
    <w:rsid w:val="00B57DA7"/>
    <w:rsid w:val="00B6070C"/>
    <w:rsid w:val="00B60A13"/>
    <w:rsid w:val="00B60ACD"/>
    <w:rsid w:val="00B60C29"/>
    <w:rsid w:val="00B6136F"/>
    <w:rsid w:val="00B616C0"/>
    <w:rsid w:val="00B61885"/>
    <w:rsid w:val="00B61AD5"/>
    <w:rsid w:val="00B61C82"/>
    <w:rsid w:val="00B62662"/>
    <w:rsid w:val="00B62935"/>
    <w:rsid w:val="00B62A56"/>
    <w:rsid w:val="00B62E9D"/>
    <w:rsid w:val="00B630F4"/>
    <w:rsid w:val="00B630FD"/>
    <w:rsid w:val="00B63239"/>
    <w:rsid w:val="00B63404"/>
    <w:rsid w:val="00B635AC"/>
    <w:rsid w:val="00B63B5F"/>
    <w:rsid w:val="00B63C10"/>
    <w:rsid w:val="00B63C84"/>
    <w:rsid w:val="00B63D2A"/>
    <w:rsid w:val="00B64AD2"/>
    <w:rsid w:val="00B64C2A"/>
    <w:rsid w:val="00B64C9C"/>
    <w:rsid w:val="00B64EB3"/>
    <w:rsid w:val="00B65180"/>
    <w:rsid w:val="00B655AD"/>
    <w:rsid w:val="00B655E6"/>
    <w:rsid w:val="00B6585B"/>
    <w:rsid w:val="00B659E6"/>
    <w:rsid w:val="00B65D33"/>
    <w:rsid w:val="00B65D63"/>
    <w:rsid w:val="00B65E80"/>
    <w:rsid w:val="00B66555"/>
    <w:rsid w:val="00B66953"/>
    <w:rsid w:val="00B66A86"/>
    <w:rsid w:val="00B66B65"/>
    <w:rsid w:val="00B66D14"/>
    <w:rsid w:val="00B66FF7"/>
    <w:rsid w:val="00B674D2"/>
    <w:rsid w:val="00B6760D"/>
    <w:rsid w:val="00B6768A"/>
    <w:rsid w:val="00B67816"/>
    <w:rsid w:val="00B67CF8"/>
    <w:rsid w:val="00B7032F"/>
    <w:rsid w:val="00B70BE4"/>
    <w:rsid w:val="00B70E1D"/>
    <w:rsid w:val="00B70FEF"/>
    <w:rsid w:val="00B71282"/>
    <w:rsid w:val="00B716ED"/>
    <w:rsid w:val="00B71810"/>
    <w:rsid w:val="00B71B80"/>
    <w:rsid w:val="00B71BB8"/>
    <w:rsid w:val="00B71C9C"/>
    <w:rsid w:val="00B7205B"/>
    <w:rsid w:val="00B72270"/>
    <w:rsid w:val="00B726D9"/>
    <w:rsid w:val="00B72BC2"/>
    <w:rsid w:val="00B72DA2"/>
    <w:rsid w:val="00B73054"/>
    <w:rsid w:val="00B7347A"/>
    <w:rsid w:val="00B734EA"/>
    <w:rsid w:val="00B736E4"/>
    <w:rsid w:val="00B73B79"/>
    <w:rsid w:val="00B73BFC"/>
    <w:rsid w:val="00B73EA9"/>
    <w:rsid w:val="00B73EAF"/>
    <w:rsid w:val="00B73FCC"/>
    <w:rsid w:val="00B742FF"/>
    <w:rsid w:val="00B7482E"/>
    <w:rsid w:val="00B74A44"/>
    <w:rsid w:val="00B74C20"/>
    <w:rsid w:val="00B74CC8"/>
    <w:rsid w:val="00B74CE3"/>
    <w:rsid w:val="00B74D8C"/>
    <w:rsid w:val="00B74EDB"/>
    <w:rsid w:val="00B750DB"/>
    <w:rsid w:val="00B7531C"/>
    <w:rsid w:val="00B75675"/>
    <w:rsid w:val="00B7588C"/>
    <w:rsid w:val="00B75A79"/>
    <w:rsid w:val="00B75E42"/>
    <w:rsid w:val="00B75EBA"/>
    <w:rsid w:val="00B75FDD"/>
    <w:rsid w:val="00B76104"/>
    <w:rsid w:val="00B76439"/>
    <w:rsid w:val="00B76929"/>
    <w:rsid w:val="00B7709C"/>
    <w:rsid w:val="00B77358"/>
    <w:rsid w:val="00B775D4"/>
    <w:rsid w:val="00B77745"/>
    <w:rsid w:val="00B777C1"/>
    <w:rsid w:val="00B77816"/>
    <w:rsid w:val="00B77A52"/>
    <w:rsid w:val="00B77D2A"/>
    <w:rsid w:val="00B77D2E"/>
    <w:rsid w:val="00B77F3F"/>
    <w:rsid w:val="00B802F3"/>
    <w:rsid w:val="00B803B4"/>
    <w:rsid w:val="00B803F4"/>
    <w:rsid w:val="00B80440"/>
    <w:rsid w:val="00B80454"/>
    <w:rsid w:val="00B80528"/>
    <w:rsid w:val="00B80783"/>
    <w:rsid w:val="00B80CD7"/>
    <w:rsid w:val="00B80CF9"/>
    <w:rsid w:val="00B80E45"/>
    <w:rsid w:val="00B80EBD"/>
    <w:rsid w:val="00B81017"/>
    <w:rsid w:val="00B8101A"/>
    <w:rsid w:val="00B8123D"/>
    <w:rsid w:val="00B81328"/>
    <w:rsid w:val="00B81342"/>
    <w:rsid w:val="00B81CA6"/>
    <w:rsid w:val="00B81E65"/>
    <w:rsid w:val="00B82215"/>
    <w:rsid w:val="00B8227A"/>
    <w:rsid w:val="00B82537"/>
    <w:rsid w:val="00B82711"/>
    <w:rsid w:val="00B8288A"/>
    <w:rsid w:val="00B82D8F"/>
    <w:rsid w:val="00B82D95"/>
    <w:rsid w:val="00B82DCA"/>
    <w:rsid w:val="00B82E54"/>
    <w:rsid w:val="00B82E81"/>
    <w:rsid w:val="00B82FA0"/>
    <w:rsid w:val="00B830DC"/>
    <w:rsid w:val="00B83123"/>
    <w:rsid w:val="00B83181"/>
    <w:rsid w:val="00B83234"/>
    <w:rsid w:val="00B834B4"/>
    <w:rsid w:val="00B835CD"/>
    <w:rsid w:val="00B8375B"/>
    <w:rsid w:val="00B8381D"/>
    <w:rsid w:val="00B83ABF"/>
    <w:rsid w:val="00B83F34"/>
    <w:rsid w:val="00B84009"/>
    <w:rsid w:val="00B842EA"/>
    <w:rsid w:val="00B843D5"/>
    <w:rsid w:val="00B845F1"/>
    <w:rsid w:val="00B84655"/>
    <w:rsid w:val="00B84CEE"/>
    <w:rsid w:val="00B84D04"/>
    <w:rsid w:val="00B8508B"/>
    <w:rsid w:val="00B855CB"/>
    <w:rsid w:val="00B85A3F"/>
    <w:rsid w:val="00B86143"/>
    <w:rsid w:val="00B861B2"/>
    <w:rsid w:val="00B86614"/>
    <w:rsid w:val="00B867C8"/>
    <w:rsid w:val="00B86AEE"/>
    <w:rsid w:val="00B86BE4"/>
    <w:rsid w:val="00B86D6B"/>
    <w:rsid w:val="00B86F0D"/>
    <w:rsid w:val="00B87327"/>
    <w:rsid w:val="00B8749F"/>
    <w:rsid w:val="00B878D9"/>
    <w:rsid w:val="00B87B8C"/>
    <w:rsid w:val="00B87C37"/>
    <w:rsid w:val="00B87F3F"/>
    <w:rsid w:val="00B87F68"/>
    <w:rsid w:val="00B9024E"/>
    <w:rsid w:val="00B907D7"/>
    <w:rsid w:val="00B908C2"/>
    <w:rsid w:val="00B90907"/>
    <w:rsid w:val="00B90C4E"/>
    <w:rsid w:val="00B90EE9"/>
    <w:rsid w:val="00B9105E"/>
    <w:rsid w:val="00B911AD"/>
    <w:rsid w:val="00B91343"/>
    <w:rsid w:val="00B91424"/>
    <w:rsid w:val="00B91693"/>
    <w:rsid w:val="00B91720"/>
    <w:rsid w:val="00B92152"/>
    <w:rsid w:val="00B92318"/>
    <w:rsid w:val="00B93166"/>
    <w:rsid w:val="00B9326A"/>
    <w:rsid w:val="00B93372"/>
    <w:rsid w:val="00B93C34"/>
    <w:rsid w:val="00B944D3"/>
    <w:rsid w:val="00B946A2"/>
    <w:rsid w:val="00B9486C"/>
    <w:rsid w:val="00B94A99"/>
    <w:rsid w:val="00B94D42"/>
    <w:rsid w:val="00B954BF"/>
    <w:rsid w:val="00B9579A"/>
    <w:rsid w:val="00B959F3"/>
    <w:rsid w:val="00B95DF5"/>
    <w:rsid w:val="00B95E64"/>
    <w:rsid w:val="00B96175"/>
    <w:rsid w:val="00B96244"/>
    <w:rsid w:val="00B96393"/>
    <w:rsid w:val="00B96587"/>
    <w:rsid w:val="00B965C1"/>
    <w:rsid w:val="00B967CA"/>
    <w:rsid w:val="00B969E5"/>
    <w:rsid w:val="00B97AE0"/>
    <w:rsid w:val="00B97B05"/>
    <w:rsid w:val="00B97E8D"/>
    <w:rsid w:val="00B97EE9"/>
    <w:rsid w:val="00BA016E"/>
    <w:rsid w:val="00BA01F2"/>
    <w:rsid w:val="00BA0702"/>
    <w:rsid w:val="00BA0743"/>
    <w:rsid w:val="00BA0AF6"/>
    <w:rsid w:val="00BA0CBA"/>
    <w:rsid w:val="00BA0ED2"/>
    <w:rsid w:val="00BA0EFD"/>
    <w:rsid w:val="00BA102F"/>
    <w:rsid w:val="00BA1160"/>
    <w:rsid w:val="00BA16CB"/>
    <w:rsid w:val="00BA1717"/>
    <w:rsid w:val="00BA1E04"/>
    <w:rsid w:val="00BA223D"/>
    <w:rsid w:val="00BA22B6"/>
    <w:rsid w:val="00BA22E0"/>
    <w:rsid w:val="00BA2473"/>
    <w:rsid w:val="00BA2625"/>
    <w:rsid w:val="00BA26E2"/>
    <w:rsid w:val="00BA28D0"/>
    <w:rsid w:val="00BA2982"/>
    <w:rsid w:val="00BA2D16"/>
    <w:rsid w:val="00BA339F"/>
    <w:rsid w:val="00BA3D1C"/>
    <w:rsid w:val="00BA3EDC"/>
    <w:rsid w:val="00BA3F58"/>
    <w:rsid w:val="00BA47FE"/>
    <w:rsid w:val="00BA486C"/>
    <w:rsid w:val="00BA4AFC"/>
    <w:rsid w:val="00BA4B40"/>
    <w:rsid w:val="00BA4C75"/>
    <w:rsid w:val="00BA4F70"/>
    <w:rsid w:val="00BA5012"/>
    <w:rsid w:val="00BA5139"/>
    <w:rsid w:val="00BA52B1"/>
    <w:rsid w:val="00BA54E2"/>
    <w:rsid w:val="00BA56D7"/>
    <w:rsid w:val="00BA5832"/>
    <w:rsid w:val="00BA589F"/>
    <w:rsid w:val="00BA58CC"/>
    <w:rsid w:val="00BA5BC0"/>
    <w:rsid w:val="00BA5C74"/>
    <w:rsid w:val="00BA5E44"/>
    <w:rsid w:val="00BA61D8"/>
    <w:rsid w:val="00BA65FC"/>
    <w:rsid w:val="00BA6756"/>
    <w:rsid w:val="00BA67A7"/>
    <w:rsid w:val="00BA682E"/>
    <w:rsid w:val="00BA68DB"/>
    <w:rsid w:val="00BA6A11"/>
    <w:rsid w:val="00BA6AD8"/>
    <w:rsid w:val="00BA6B37"/>
    <w:rsid w:val="00BA6E52"/>
    <w:rsid w:val="00BA724F"/>
    <w:rsid w:val="00BA7735"/>
    <w:rsid w:val="00BA7751"/>
    <w:rsid w:val="00BA7917"/>
    <w:rsid w:val="00BA7B8A"/>
    <w:rsid w:val="00BB0405"/>
    <w:rsid w:val="00BB082D"/>
    <w:rsid w:val="00BB0C9B"/>
    <w:rsid w:val="00BB178F"/>
    <w:rsid w:val="00BB1BB4"/>
    <w:rsid w:val="00BB1DA6"/>
    <w:rsid w:val="00BB1E10"/>
    <w:rsid w:val="00BB1E8B"/>
    <w:rsid w:val="00BB2712"/>
    <w:rsid w:val="00BB28C2"/>
    <w:rsid w:val="00BB2969"/>
    <w:rsid w:val="00BB2A9E"/>
    <w:rsid w:val="00BB30BD"/>
    <w:rsid w:val="00BB39F0"/>
    <w:rsid w:val="00BB3C27"/>
    <w:rsid w:val="00BB3C5A"/>
    <w:rsid w:val="00BB3F02"/>
    <w:rsid w:val="00BB434F"/>
    <w:rsid w:val="00BB4393"/>
    <w:rsid w:val="00BB44EE"/>
    <w:rsid w:val="00BB4526"/>
    <w:rsid w:val="00BB45B2"/>
    <w:rsid w:val="00BB4945"/>
    <w:rsid w:val="00BB4A30"/>
    <w:rsid w:val="00BB4AC8"/>
    <w:rsid w:val="00BB4B72"/>
    <w:rsid w:val="00BB4CDE"/>
    <w:rsid w:val="00BB501C"/>
    <w:rsid w:val="00BB5103"/>
    <w:rsid w:val="00BB5259"/>
    <w:rsid w:val="00BB55F8"/>
    <w:rsid w:val="00BB56F1"/>
    <w:rsid w:val="00BB5737"/>
    <w:rsid w:val="00BB59DA"/>
    <w:rsid w:val="00BB5AC6"/>
    <w:rsid w:val="00BB5B3F"/>
    <w:rsid w:val="00BB5EC1"/>
    <w:rsid w:val="00BB6138"/>
    <w:rsid w:val="00BB622E"/>
    <w:rsid w:val="00BB63BA"/>
    <w:rsid w:val="00BB66A2"/>
    <w:rsid w:val="00BB676F"/>
    <w:rsid w:val="00BB6838"/>
    <w:rsid w:val="00BB6B9C"/>
    <w:rsid w:val="00BB6FBE"/>
    <w:rsid w:val="00BB70EE"/>
    <w:rsid w:val="00BB7670"/>
    <w:rsid w:val="00BB77FF"/>
    <w:rsid w:val="00BB787E"/>
    <w:rsid w:val="00BB78DF"/>
    <w:rsid w:val="00BC0003"/>
    <w:rsid w:val="00BC07D3"/>
    <w:rsid w:val="00BC09C0"/>
    <w:rsid w:val="00BC0A40"/>
    <w:rsid w:val="00BC0D0A"/>
    <w:rsid w:val="00BC11A9"/>
    <w:rsid w:val="00BC1247"/>
    <w:rsid w:val="00BC151D"/>
    <w:rsid w:val="00BC15AB"/>
    <w:rsid w:val="00BC17E6"/>
    <w:rsid w:val="00BC1977"/>
    <w:rsid w:val="00BC1C9A"/>
    <w:rsid w:val="00BC1D2A"/>
    <w:rsid w:val="00BC1ED0"/>
    <w:rsid w:val="00BC1EF1"/>
    <w:rsid w:val="00BC242D"/>
    <w:rsid w:val="00BC284B"/>
    <w:rsid w:val="00BC2D01"/>
    <w:rsid w:val="00BC2E94"/>
    <w:rsid w:val="00BC2F29"/>
    <w:rsid w:val="00BC3004"/>
    <w:rsid w:val="00BC30B3"/>
    <w:rsid w:val="00BC36C6"/>
    <w:rsid w:val="00BC3735"/>
    <w:rsid w:val="00BC3B48"/>
    <w:rsid w:val="00BC410F"/>
    <w:rsid w:val="00BC4443"/>
    <w:rsid w:val="00BC453C"/>
    <w:rsid w:val="00BC46FF"/>
    <w:rsid w:val="00BC48A7"/>
    <w:rsid w:val="00BC494D"/>
    <w:rsid w:val="00BC4BE7"/>
    <w:rsid w:val="00BC4C7B"/>
    <w:rsid w:val="00BC4D10"/>
    <w:rsid w:val="00BC4DCD"/>
    <w:rsid w:val="00BC4EB3"/>
    <w:rsid w:val="00BC5065"/>
    <w:rsid w:val="00BC525B"/>
    <w:rsid w:val="00BC56C2"/>
    <w:rsid w:val="00BC58DA"/>
    <w:rsid w:val="00BC5A31"/>
    <w:rsid w:val="00BC5A3B"/>
    <w:rsid w:val="00BC5CF0"/>
    <w:rsid w:val="00BC640D"/>
    <w:rsid w:val="00BC6829"/>
    <w:rsid w:val="00BC6CDF"/>
    <w:rsid w:val="00BC6CF3"/>
    <w:rsid w:val="00BC6E45"/>
    <w:rsid w:val="00BC7580"/>
    <w:rsid w:val="00BC7B87"/>
    <w:rsid w:val="00BC7ED3"/>
    <w:rsid w:val="00BD010C"/>
    <w:rsid w:val="00BD0149"/>
    <w:rsid w:val="00BD01C4"/>
    <w:rsid w:val="00BD01FF"/>
    <w:rsid w:val="00BD0284"/>
    <w:rsid w:val="00BD0569"/>
    <w:rsid w:val="00BD062D"/>
    <w:rsid w:val="00BD0909"/>
    <w:rsid w:val="00BD091A"/>
    <w:rsid w:val="00BD0B7F"/>
    <w:rsid w:val="00BD0C2F"/>
    <w:rsid w:val="00BD0DB9"/>
    <w:rsid w:val="00BD1083"/>
    <w:rsid w:val="00BD12C1"/>
    <w:rsid w:val="00BD136F"/>
    <w:rsid w:val="00BD1452"/>
    <w:rsid w:val="00BD169D"/>
    <w:rsid w:val="00BD1D53"/>
    <w:rsid w:val="00BD2129"/>
    <w:rsid w:val="00BD2345"/>
    <w:rsid w:val="00BD28AB"/>
    <w:rsid w:val="00BD2C18"/>
    <w:rsid w:val="00BD2D37"/>
    <w:rsid w:val="00BD2DBF"/>
    <w:rsid w:val="00BD3194"/>
    <w:rsid w:val="00BD31DD"/>
    <w:rsid w:val="00BD3266"/>
    <w:rsid w:val="00BD328C"/>
    <w:rsid w:val="00BD34C6"/>
    <w:rsid w:val="00BD374D"/>
    <w:rsid w:val="00BD39D3"/>
    <w:rsid w:val="00BD3A51"/>
    <w:rsid w:val="00BD4325"/>
    <w:rsid w:val="00BD444A"/>
    <w:rsid w:val="00BD478F"/>
    <w:rsid w:val="00BD493A"/>
    <w:rsid w:val="00BD4AE9"/>
    <w:rsid w:val="00BD4B4F"/>
    <w:rsid w:val="00BD4CA4"/>
    <w:rsid w:val="00BD516B"/>
    <w:rsid w:val="00BD5328"/>
    <w:rsid w:val="00BD532D"/>
    <w:rsid w:val="00BD543E"/>
    <w:rsid w:val="00BD5921"/>
    <w:rsid w:val="00BD5BBC"/>
    <w:rsid w:val="00BD5E11"/>
    <w:rsid w:val="00BD5FEB"/>
    <w:rsid w:val="00BD60E7"/>
    <w:rsid w:val="00BD62D7"/>
    <w:rsid w:val="00BD659D"/>
    <w:rsid w:val="00BD669C"/>
    <w:rsid w:val="00BD6765"/>
    <w:rsid w:val="00BD6886"/>
    <w:rsid w:val="00BD69A4"/>
    <w:rsid w:val="00BD6AE4"/>
    <w:rsid w:val="00BD6DE2"/>
    <w:rsid w:val="00BD7279"/>
    <w:rsid w:val="00BD739D"/>
    <w:rsid w:val="00BD73DC"/>
    <w:rsid w:val="00BD7AF1"/>
    <w:rsid w:val="00BD7D36"/>
    <w:rsid w:val="00BE01D2"/>
    <w:rsid w:val="00BE069C"/>
    <w:rsid w:val="00BE08C2"/>
    <w:rsid w:val="00BE091C"/>
    <w:rsid w:val="00BE0C23"/>
    <w:rsid w:val="00BE0F1F"/>
    <w:rsid w:val="00BE1138"/>
    <w:rsid w:val="00BE11BE"/>
    <w:rsid w:val="00BE1331"/>
    <w:rsid w:val="00BE1428"/>
    <w:rsid w:val="00BE14B5"/>
    <w:rsid w:val="00BE15BE"/>
    <w:rsid w:val="00BE1E13"/>
    <w:rsid w:val="00BE1EB0"/>
    <w:rsid w:val="00BE2302"/>
    <w:rsid w:val="00BE2383"/>
    <w:rsid w:val="00BE256E"/>
    <w:rsid w:val="00BE2B22"/>
    <w:rsid w:val="00BE2C1E"/>
    <w:rsid w:val="00BE32DA"/>
    <w:rsid w:val="00BE341D"/>
    <w:rsid w:val="00BE3478"/>
    <w:rsid w:val="00BE365F"/>
    <w:rsid w:val="00BE368D"/>
    <w:rsid w:val="00BE379A"/>
    <w:rsid w:val="00BE37C4"/>
    <w:rsid w:val="00BE39CD"/>
    <w:rsid w:val="00BE3B8F"/>
    <w:rsid w:val="00BE3B99"/>
    <w:rsid w:val="00BE3CD8"/>
    <w:rsid w:val="00BE3DAD"/>
    <w:rsid w:val="00BE3DE4"/>
    <w:rsid w:val="00BE3E71"/>
    <w:rsid w:val="00BE4348"/>
    <w:rsid w:val="00BE47A6"/>
    <w:rsid w:val="00BE4A4E"/>
    <w:rsid w:val="00BE4D06"/>
    <w:rsid w:val="00BE4D1C"/>
    <w:rsid w:val="00BE4D9D"/>
    <w:rsid w:val="00BE4F9D"/>
    <w:rsid w:val="00BE510C"/>
    <w:rsid w:val="00BE5129"/>
    <w:rsid w:val="00BE5136"/>
    <w:rsid w:val="00BE52E9"/>
    <w:rsid w:val="00BE5340"/>
    <w:rsid w:val="00BE5954"/>
    <w:rsid w:val="00BE5A9F"/>
    <w:rsid w:val="00BE607B"/>
    <w:rsid w:val="00BE626C"/>
    <w:rsid w:val="00BE632A"/>
    <w:rsid w:val="00BE63C3"/>
    <w:rsid w:val="00BE653A"/>
    <w:rsid w:val="00BE685B"/>
    <w:rsid w:val="00BE6F35"/>
    <w:rsid w:val="00BE7075"/>
    <w:rsid w:val="00BE750B"/>
    <w:rsid w:val="00BE7E6D"/>
    <w:rsid w:val="00BF0161"/>
    <w:rsid w:val="00BF029A"/>
    <w:rsid w:val="00BF045D"/>
    <w:rsid w:val="00BF09A1"/>
    <w:rsid w:val="00BF0A27"/>
    <w:rsid w:val="00BF0A76"/>
    <w:rsid w:val="00BF0B29"/>
    <w:rsid w:val="00BF0BFE"/>
    <w:rsid w:val="00BF0D4A"/>
    <w:rsid w:val="00BF103E"/>
    <w:rsid w:val="00BF13AA"/>
    <w:rsid w:val="00BF14E0"/>
    <w:rsid w:val="00BF1611"/>
    <w:rsid w:val="00BF17C9"/>
    <w:rsid w:val="00BF1906"/>
    <w:rsid w:val="00BF19D0"/>
    <w:rsid w:val="00BF1C0D"/>
    <w:rsid w:val="00BF1CED"/>
    <w:rsid w:val="00BF1F6B"/>
    <w:rsid w:val="00BF1FB4"/>
    <w:rsid w:val="00BF23B4"/>
    <w:rsid w:val="00BF247D"/>
    <w:rsid w:val="00BF2500"/>
    <w:rsid w:val="00BF281F"/>
    <w:rsid w:val="00BF2CF3"/>
    <w:rsid w:val="00BF2D26"/>
    <w:rsid w:val="00BF2D8D"/>
    <w:rsid w:val="00BF2F72"/>
    <w:rsid w:val="00BF3184"/>
    <w:rsid w:val="00BF32DE"/>
    <w:rsid w:val="00BF38BC"/>
    <w:rsid w:val="00BF3CA0"/>
    <w:rsid w:val="00BF3FBB"/>
    <w:rsid w:val="00BF4144"/>
    <w:rsid w:val="00BF432E"/>
    <w:rsid w:val="00BF4548"/>
    <w:rsid w:val="00BF4862"/>
    <w:rsid w:val="00BF4BDD"/>
    <w:rsid w:val="00BF4EB6"/>
    <w:rsid w:val="00BF4F37"/>
    <w:rsid w:val="00BF55FF"/>
    <w:rsid w:val="00BF56D1"/>
    <w:rsid w:val="00BF580B"/>
    <w:rsid w:val="00BF5B38"/>
    <w:rsid w:val="00BF5BBB"/>
    <w:rsid w:val="00BF5D33"/>
    <w:rsid w:val="00BF5F59"/>
    <w:rsid w:val="00BF6225"/>
    <w:rsid w:val="00BF62BD"/>
    <w:rsid w:val="00BF660E"/>
    <w:rsid w:val="00BF6681"/>
    <w:rsid w:val="00BF6898"/>
    <w:rsid w:val="00BF6AC6"/>
    <w:rsid w:val="00BF6B25"/>
    <w:rsid w:val="00BF6B81"/>
    <w:rsid w:val="00BF6E21"/>
    <w:rsid w:val="00BF6F29"/>
    <w:rsid w:val="00BF73D9"/>
    <w:rsid w:val="00BF7766"/>
    <w:rsid w:val="00BF7AB7"/>
    <w:rsid w:val="00BF7B05"/>
    <w:rsid w:val="00BF7E36"/>
    <w:rsid w:val="00C00324"/>
    <w:rsid w:val="00C008B7"/>
    <w:rsid w:val="00C00B43"/>
    <w:rsid w:val="00C00DC4"/>
    <w:rsid w:val="00C00EC0"/>
    <w:rsid w:val="00C0126F"/>
    <w:rsid w:val="00C014A5"/>
    <w:rsid w:val="00C014D3"/>
    <w:rsid w:val="00C01788"/>
    <w:rsid w:val="00C01BDC"/>
    <w:rsid w:val="00C01DED"/>
    <w:rsid w:val="00C01E4D"/>
    <w:rsid w:val="00C01FAC"/>
    <w:rsid w:val="00C0216B"/>
    <w:rsid w:val="00C0247D"/>
    <w:rsid w:val="00C027A2"/>
    <w:rsid w:val="00C02A6C"/>
    <w:rsid w:val="00C02AC2"/>
    <w:rsid w:val="00C033CA"/>
    <w:rsid w:val="00C033F7"/>
    <w:rsid w:val="00C03813"/>
    <w:rsid w:val="00C03A5C"/>
    <w:rsid w:val="00C03E76"/>
    <w:rsid w:val="00C0401C"/>
    <w:rsid w:val="00C0411F"/>
    <w:rsid w:val="00C044C5"/>
    <w:rsid w:val="00C048AE"/>
    <w:rsid w:val="00C04C67"/>
    <w:rsid w:val="00C04CE0"/>
    <w:rsid w:val="00C04CF6"/>
    <w:rsid w:val="00C04D0B"/>
    <w:rsid w:val="00C04FA5"/>
    <w:rsid w:val="00C05343"/>
    <w:rsid w:val="00C05B29"/>
    <w:rsid w:val="00C05EF9"/>
    <w:rsid w:val="00C065FD"/>
    <w:rsid w:val="00C06A25"/>
    <w:rsid w:val="00C06B39"/>
    <w:rsid w:val="00C06C47"/>
    <w:rsid w:val="00C06D29"/>
    <w:rsid w:val="00C06FF7"/>
    <w:rsid w:val="00C071A1"/>
    <w:rsid w:val="00C072D8"/>
    <w:rsid w:val="00C07632"/>
    <w:rsid w:val="00C076E2"/>
    <w:rsid w:val="00C07713"/>
    <w:rsid w:val="00C0774D"/>
    <w:rsid w:val="00C07970"/>
    <w:rsid w:val="00C07F88"/>
    <w:rsid w:val="00C102B6"/>
    <w:rsid w:val="00C1083C"/>
    <w:rsid w:val="00C10AD7"/>
    <w:rsid w:val="00C10F76"/>
    <w:rsid w:val="00C11267"/>
    <w:rsid w:val="00C1163C"/>
    <w:rsid w:val="00C11652"/>
    <w:rsid w:val="00C11A05"/>
    <w:rsid w:val="00C11B5B"/>
    <w:rsid w:val="00C11D9A"/>
    <w:rsid w:val="00C12382"/>
    <w:rsid w:val="00C123ED"/>
    <w:rsid w:val="00C12924"/>
    <w:rsid w:val="00C12929"/>
    <w:rsid w:val="00C12E3C"/>
    <w:rsid w:val="00C13337"/>
    <w:rsid w:val="00C133E6"/>
    <w:rsid w:val="00C13715"/>
    <w:rsid w:val="00C13D4C"/>
    <w:rsid w:val="00C13D64"/>
    <w:rsid w:val="00C1403B"/>
    <w:rsid w:val="00C148F2"/>
    <w:rsid w:val="00C14C2B"/>
    <w:rsid w:val="00C14ED0"/>
    <w:rsid w:val="00C14FA5"/>
    <w:rsid w:val="00C15096"/>
    <w:rsid w:val="00C1513A"/>
    <w:rsid w:val="00C1535B"/>
    <w:rsid w:val="00C157DC"/>
    <w:rsid w:val="00C1583F"/>
    <w:rsid w:val="00C15A5F"/>
    <w:rsid w:val="00C15B3D"/>
    <w:rsid w:val="00C15E3B"/>
    <w:rsid w:val="00C162D6"/>
    <w:rsid w:val="00C16563"/>
    <w:rsid w:val="00C16812"/>
    <w:rsid w:val="00C1681D"/>
    <w:rsid w:val="00C16AF8"/>
    <w:rsid w:val="00C16B1B"/>
    <w:rsid w:val="00C16D9A"/>
    <w:rsid w:val="00C16F63"/>
    <w:rsid w:val="00C17231"/>
    <w:rsid w:val="00C17234"/>
    <w:rsid w:val="00C17649"/>
    <w:rsid w:val="00C176E3"/>
    <w:rsid w:val="00C17890"/>
    <w:rsid w:val="00C1798C"/>
    <w:rsid w:val="00C17995"/>
    <w:rsid w:val="00C17DDE"/>
    <w:rsid w:val="00C17EFE"/>
    <w:rsid w:val="00C17F4D"/>
    <w:rsid w:val="00C20186"/>
    <w:rsid w:val="00C20194"/>
    <w:rsid w:val="00C204C6"/>
    <w:rsid w:val="00C2077C"/>
    <w:rsid w:val="00C207B0"/>
    <w:rsid w:val="00C20C3B"/>
    <w:rsid w:val="00C20DBA"/>
    <w:rsid w:val="00C20E01"/>
    <w:rsid w:val="00C2108D"/>
    <w:rsid w:val="00C21248"/>
    <w:rsid w:val="00C21297"/>
    <w:rsid w:val="00C213BE"/>
    <w:rsid w:val="00C213E3"/>
    <w:rsid w:val="00C2144C"/>
    <w:rsid w:val="00C2145B"/>
    <w:rsid w:val="00C2196C"/>
    <w:rsid w:val="00C21A1C"/>
    <w:rsid w:val="00C21C16"/>
    <w:rsid w:val="00C22140"/>
    <w:rsid w:val="00C22394"/>
    <w:rsid w:val="00C22538"/>
    <w:rsid w:val="00C2257B"/>
    <w:rsid w:val="00C2274A"/>
    <w:rsid w:val="00C22C76"/>
    <w:rsid w:val="00C22D40"/>
    <w:rsid w:val="00C22DA7"/>
    <w:rsid w:val="00C22FE5"/>
    <w:rsid w:val="00C231CC"/>
    <w:rsid w:val="00C235CA"/>
    <w:rsid w:val="00C236C3"/>
    <w:rsid w:val="00C238EB"/>
    <w:rsid w:val="00C23B77"/>
    <w:rsid w:val="00C23BBA"/>
    <w:rsid w:val="00C23CF1"/>
    <w:rsid w:val="00C24090"/>
    <w:rsid w:val="00C2419B"/>
    <w:rsid w:val="00C248A5"/>
    <w:rsid w:val="00C24CC4"/>
    <w:rsid w:val="00C24DA2"/>
    <w:rsid w:val="00C24FB5"/>
    <w:rsid w:val="00C24FE1"/>
    <w:rsid w:val="00C2500A"/>
    <w:rsid w:val="00C256B2"/>
    <w:rsid w:val="00C25873"/>
    <w:rsid w:val="00C26095"/>
    <w:rsid w:val="00C26142"/>
    <w:rsid w:val="00C26448"/>
    <w:rsid w:val="00C2659E"/>
    <w:rsid w:val="00C26790"/>
    <w:rsid w:val="00C2690C"/>
    <w:rsid w:val="00C269D9"/>
    <w:rsid w:val="00C26C11"/>
    <w:rsid w:val="00C26C7F"/>
    <w:rsid w:val="00C26CB9"/>
    <w:rsid w:val="00C26D98"/>
    <w:rsid w:val="00C27318"/>
    <w:rsid w:val="00C2737B"/>
    <w:rsid w:val="00C27843"/>
    <w:rsid w:val="00C27928"/>
    <w:rsid w:val="00C300AD"/>
    <w:rsid w:val="00C302BA"/>
    <w:rsid w:val="00C30701"/>
    <w:rsid w:val="00C30B8E"/>
    <w:rsid w:val="00C30CF6"/>
    <w:rsid w:val="00C3104A"/>
    <w:rsid w:val="00C3110D"/>
    <w:rsid w:val="00C31346"/>
    <w:rsid w:val="00C31385"/>
    <w:rsid w:val="00C31588"/>
    <w:rsid w:val="00C31722"/>
    <w:rsid w:val="00C31C32"/>
    <w:rsid w:val="00C31E0F"/>
    <w:rsid w:val="00C323BA"/>
    <w:rsid w:val="00C3240B"/>
    <w:rsid w:val="00C32A2B"/>
    <w:rsid w:val="00C32A41"/>
    <w:rsid w:val="00C32C7E"/>
    <w:rsid w:val="00C32E9E"/>
    <w:rsid w:val="00C3317E"/>
    <w:rsid w:val="00C336A7"/>
    <w:rsid w:val="00C33AFC"/>
    <w:rsid w:val="00C33B88"/>
    <w:rsid w:val="00C33D2B"/>
    <w:rsid w:val="00C33E18"/>
    <w:rsid w:val="00C33F87"/>
    <w:rsid w:val="00C33FCF"/>
    <w:rsid w:val="00C34165"/>
    <w:rsid w:val="00C347F4"/>
    <w:rsid w:val="00C34A49"/>
    <w:rsid w:val="00C34AE1"/>
    <w:rsid w:val="00C35093"/>
    <w:rsid w:val="00C351B4"/>
    <w:rsid w:val="00C355F8"/>
    <w:rsid w:val="00C35885"/>
    <w:rsid w:val="00C35ACD"/>
    <w:rsid w:val="00C35DEA"/>
    <w:rsid w:val="00C36195"/>
    <w:rsid w:val="00C361AC"/>
    <w:rsid w:val="00C362EB"/>
    <w:rsid w:val="00C363BB"/>
    <w:rsid w:val="00C36990"/>
    <w:rsid w:val="00C36F17"/>
    <w:rsid w:val="00C37291"/>
    <w:rsid w:val="00C372E0"/>
    <w:rsid w:val="00C373B6"/>
    <w:rsid w:val="00C37524"/>
    <w:rsid w:val="00C378B7"/>
    <w:rsid w:val="00C37EAD"/>
    <w:rsid w:val="00C4020B"/>
    <w:rsid w:val="00C403D3"/>
    <w:rsid w:val="00C403E0"/>
    <w:rsid w:val="00C409A8"/>
    <w:rsid w:val="00C41091"/>
    <w:rsid w:val="00C410C1"/>
    <w:rsid w:val="00C4114D"/>
    <w:rsid w:val="00C41554"/>
    <w:rsid w:val="00C415BC"/>
    <w:rsid w:val="00C417A8"/>
    <w:rsid w:val="00C419C8"/>
    <w:rsid w:val="00C41BFD"/>
    <w:rsid w:val="00C42255"/>
    <w:rsid w:val="00C4242C"/>
    <w:rsid w:val="00C42512"/>
    <w:rsid w:val="00C425BF"/>
    <w:rsid w:val="00C42856"/>
    <w:rsid w:val="00C4285A"/>
    <w:rsid w:val="00C4310F"/>
    <w:rsid w:val="00C432EB"/>
    <w:rsid w:val="00C432EC"/>
    <w:rsid w:val="00C43380"/>
    <w:rsid w:val="00C434D9"/>
    <w:rsid w:val="00C4353A"/>
    <w:rsid w:val="00C43735"/>
    <w:rsid w:val="00C438A8"/>
    <w:rsid w:val="00C43A6E"/>
    <w:rsid w:val="00C43E42"/>
    <w:rsid w:val="00C43F80"/>
    <w:rsid w:val="00C440DC"/>
    <w:rsid w:val="00C44289"/>
    <w:rsid w:val="00C443B9"/>
    <w:rsid w:val="00C44451"/>
    <w:rsid w:val="00C4459A"/>
    <w:rsid w:val="00C4459F"/>
    <w:rsid w:val="00C44768"/>
    <w:rsid w:val="00C44D69"/>
    <w:rsid w:val="00C44F11"/>
    <w:rsid w:val="00C4500E"/>
    <w:rsid w:val="00C45147"/>
    <w:rsid w:val="00C451EA"/>
    <w:rsid w:val="00C455B8"/>
    <w:rsid w:val="00C45628"/>
    <w:rsid w:val="00C45A62"/>
    <w:rsid w:val="00C45B9B"/>
    <w:rsid w:val="00C4623C"/>
    <w:rsid w:val="00C4632B"/>
    <w:rsid w:val="00C46602"/>
    <w:rsid w:val="00C46BF5"/>
    <w:rsid w:val="00C46DB2"/>
    <w:rsid w:val="00C46F6F"/>
    <w:rsid w:val="00C4749E"/>
    <w:rsid w:val="00C47A51"/>
    <w:rsid w:val="00C47E23"/>
    <w:rsid w:val="00C47E80"/>
    <w:rsid w:val="00C50292"/>
    <w:rsid w:val="00C502C4"/>
    <w:rsid w:val="00C5054D"/>
    <w:rsid w:val="00C50733"/>
    <w:rsid w:val="00C509F7"/>
    <w:rsid w:val="00C50B96"/>
    <w:rsid w:val="00C514DC"/>
    <w:rsid w:val="00C51533"/>
    <w:rsid w:val="00C51684"/>
    <w:rsid w:val="00C5178C"/>
    <w:rsid w:val="00C518FE"/>
    <w:rsid w:val="00C51DDF"/>
    <w:rsid w:val="00C51F5D"/>
    <w:rsid w:val="00C52027"/>
    <w:rsid w:val="00C52125"/>
    <w:rsid w:val="00C521C3"/>
    <w:rsid w:val="00C52394"/>
    <w:rsid w:val="00C52568"/>
    <w:rsid w:val="00C52E1F"/>
    <w:rsid w:val="00C52F70"/>
    <w:rsid w:val="00C531B0"/>
    <w:rsid w:val="00C531E1"/>
    <w:rsid w:val="00C53252"/>
    <w:rsid w:val="00C5352C"/>
    <w:rsid w:val="00C536F5"/>
    <w:rsid w:val="00C5371A"/>
    <w:rsid w:val="00C53D07"/>
    <w:rsid w:val="00C53E22"/>
    <w:rsid w:val="00C54305"/>
    <w:rsid w:val="00C54AF5"/>
    <w:rsid w:val="00C54D31"/>
    <w:rsid w:val="00C54D91"/>
    <w:rsid w:val="00C54D94"/>
    <w:rsid w:val="00C550EF"/>
    <w:rsid w:val="00C551E3"/>
    <w:rsid w:val="00C5568C"/>
    <w:rsid w:val="00C55999"/>
    <w:rsid w:val="00C55AD9"/>
    <w:rsid w:val="00C55B7B"/>
    <w:rsid w:val="00C55C80"/>
    <w:rsid w:val="00C55CCE"/>
    <w:rsid w:val="00C55F1A"/>
    <w:rsid w:val="00C55F23"/>
    <w:rsid w:val="00C5607A"/>
    <w:rsid w:val="00C5615A"/>
    <w:rsid w:val="00C561C7"/>
    <w:rsid w:val="00C562D0"/>
    <w:rsid w:val="00C562F9"/>
    <w:rsid w:val="00C5668E"/>
    <w:rsid w:val="00C56A73"/>
    <w:rsid w:val="00C56B15"/>
    <w:rsid w:val="00C56B5D"/>
    <w:rsid w:val="00C56C53"/>
    <w:rsid w:val="00C56C77"/>
    <w:rsid w:val="00C56D55"/>
    <w:rsid w:val="00C57113"/>
    <w:rsid w:val="00C572FF"/>
    <w:rsid w:val="00C5735F"/>
    <w:rsid w:val="00C5749F"/>
    <w:rsid w:val="00C57634"/>
    <w:rsid w:val="00C57A8C"/>
    <w:rsid w:val="00C57E02"/>
    <w:rsid w:val="00C57E14"/>
    <w:rsid w:val="00C57F73"/>
    <w:rsid w:val="00C57FAB"/>
    <w:rsid w:val="00C60054"/>
    <w:rsid w:val="00C600D9"/>
    <w:rsid w:val="00C602A5"/>
    <w:rsid w:val="00C60AA3"/>
    <w:rsid w:val="00C60DEC"/>
    <w:rsid w:val="00C611A7"/>
    <w:rsid w:val="00C6135C"/>
    <w:rsid w:val="00C61375"/>
    <w:rsid w:val="00C61467"/>
    <w:rsid w:val="00C615D8"/>
    <w:rsid w:val="00C6192A"/>
    <w:rsid w:val="00C6201B"/>
    <w:rsid w:val="00C6214D"/>
    <w:rsid w:val="00C62170"/>
    <w:rsid w:val="00C621F2"/>
    <w:rsid w:val="00C62249"/>
    <w:rsid w:val="00C624D2"/>
    <w:rsid w:val="00C624DE"/>
    <w:rsid w:val="00C62782"/>
    <w:rsid w:val="00C62885"/>
    <w:rsid w:val="00C62BC1"/>
    <w:rsid w:val="00C62C7A"/>
    <w:rsid w:val="00C62CB6"/>
    <w:rsid w:val="00C62D09"/>
    <w:rsid w:val="00C63422"/>
    <w:rsid w:val="00C634FD"/>
    <w:rsid w:val="00C63849"/>
    <w:rsid w:val="00C63BAE"/>
    <w:rsid w:val="00C63F85"/>
    <w:rsid w:val="00C642BD"/>
    <w:rsid w:val="00C64912"/>
    <w:rsid w:val="00C64B33"/>
    <w:rsid w:val="00C64BDE"/>
    <w:rsid w:val="00C64F2E"/>
    <w:rsid w:val="00C64FCA"/>
    <w:rsid w:val="00C65687"/>
    <w:rsid w:val="00C6581E"/>
    <w:rsid w:val="00C65C4F"/>
    <w:rsid w:val="00C65D02"/>
    <w:rsid w:val="00C663EA"/>
    <w:rsid w:val="00C667A5"/>
    <w:rsid w:val="00C66A4F"/>
    <w:rsid w:val="00C66B0B"/>
    <w:rsid w:val="00C66CF7"/>
    <w:rsid w:val="00C67190"/>
    <w:rsid w:val="00C6743E"/>
    <w:rsid w:val="00C6752B"/>
    <w:rsid w:val="00C67597"/>
    <w:rsid w:val="00C67ACF"/>
    <w:rsid w:val="00C67C87"/>
    <w:rsid w:val="00C67E3E"/>
    <w:rsid w:val="00C70040"/>
    <w:rsid w:val="00C7076F"/>
    <w:rsid w:val="00C7078F"/>
    <w:rsid w:val="00C707DD"/>
    <w:rsid w:val="00C71B3B"/>
    <w:rsid w:val="00C71CC3"/>
    <w:rsid w:val="00C71FC9"/>
    <w:rsid w:val="00C7207C"/>
    <w:rsid w:val="00C7222A"/>
    <w:rsid w:val="00C7226D"/>
    <w:rsid w:val="00C72408"/>
    <w:rsid w:val="00C7247E"/>
    <w:rsid w:val="00C7249F"/>
    <w:rsid w:val="00C726DD"/>
    <w:rsid w:val="00C73289"/>
    <w:rsid w:val="00C732C4"/>
    <w:rsid w:val="00C732D7"/>
    <w:rsid w:val="00C73E28"/>
    <w:rsid w:val="00C74191"/>
    <w:rsid w:val="00C741C7"/>
    <w:rsid w:val="00C742BA"/>
    <w:rsid w:val="00C750C8"/>
    <w:rsid w:val="00C757F3"/>
    <w:rsid w:val="00C75832"/>
    <w:rsid w:val="00C76327"/>
    <w:rsid w:val="00C763FB"/>
    <w:rsid w:val="00C770D0"/>
    <w:rsid w:val="00C77298"/>
    <w:rsid w:val="00C777AD"/>
    <w:rsid w:val="00C7782E"/>
    <w:rsid w:val="00C77A3B"/>
    <w:rsid w:val="00C77AD3"/>
    <w:rsid w:val="00C77E59"/>
    <w:rsid w:val="00C77EF3"/>
    <w:rsid w:val="00C800A9"/>
    <w:rsid w:val="00C802B3"/>
    <w:rsid w:val="00C803D8"/>
    <w:rsid w:val="00C80902"/>
    <w:rsid w:val="00C80D0F"/>
    <w:rsid w:val="00C80EE1"/>
    <w:rsid w:val="00C80FAE"/>
    <w:rsid w:val="00C81021"/>
    <w:rsid w:val="00C81239"/>
    <w:rsid w:val="00C81409"/>
    <w:rsid w:val="00C8144A"/>
    <w:rsid w:val="00C8150F"/>
    <w:rsid w:val="00C815C0"/>
    <w:rsid w:val="00C8170E"/>
    <w:rsid w:val="00C81986"/>
    <w:rsid w:val="00C81AF7"/>
    <w:rsid w:val="00C82052"/>
    <w:rsid w:val="00C8254C"/>
    <w:rsid w:val="00C828CF"/>
    <w:rsid w:val="00C82AE6"/>
    <w:rsid w:val="00C82CF0"/>
    <w:rsid w:val="00C82E40"/>
    <w:rsid w:val="00C83019"/>
    <w:rsid w:val="00C831FD"/>
    <w:rsid w:val="00C835CD"/>
    <w:rsid w:val="00C836C5"/>
    <w:rsid w:val="00C838E9"/>
    <w:rsid w:val="00C83E09"/>
    <w:rsid w:val="00C841C6"/>
    <w:rsid w:val="00C8423C"/>
    <w:rsid w:val="00C8433A"/>
    <w:rsid w:val="00C8450E"/>
    <w:rsid w:val="00C8468D"/>
    <w:rsid w:val="00C847A9"/>
    <w:rsid w:val="00C848D4"/>
    <w:rsid w:val="00C84DB3"/>
    <w:rsid w:val="00C8528F"/>
    <w:rsid w:val="00C856E4"/>
    <w:rsid w:val="00C85956"/>
    <w:rsid w:val="00C85E07"/>
    <w:rsid w:val="00C85E17"/>
    <w:rsid w:val="00C85ED8"/>
    <w:rsid w:val="00C86102"/>
    <w:rsid w:val="00C8616F"/>
    <w:rsid w:val="00C861B7"/>
    <w:rsid w:val="00C86727"/>
    <w:rsid w:val="00C86803"/>
    <w:rsid w:val="00C869B4"/>
    <w:rsid w:val="00C869BC"/>
    <w:rsid w:val="00C86C68"/>
    <w:rsid w:val="00C86D97"/>
    <w:rsid w:val="00C874F1"/>
    <w:rsid w:val="00C8789A"/>
    <w:rsid w:val="00C87977"/>
    <w:rsid w:val="00C87AE4"/>
    <w:rsid w:val="00C87C6E"/>
    <w:rsid w:val="00C90111"/>
    <w:rsid w:val="00C90483"/>
    <w:rsid w:val="00C90B8C"/>
    <w:rsid w:val="00C90C6D"/>
    <w:rsid w:val="00C90CA8"/>
    <w:rsid w:val="00C90D66"/>
    <w:rsid w:val="00C90E66"/>
    <w:rsid w:val="00C91221"/>
    <w:rsid w:val="00C91C5D"/>
    <w:rsid w:val="00C922A0"/>
    <w:rsid w:val="00C92325"/>
    <w:rsid w:val="00C927E5"/>
    <w:rsid w:val="00C92848"/>
    <w:rsid w:val="00C92CBA"/>
    <w:rsid w:val="00C92E98"/>
    <w:rsid w:val="00C936BA"/>
    <w:rsid w:val="00C9371A"/>
    <w:rsid w:val="00C937C4"/>
    <w:rsid w:val="00C93A6C"/>
    <w:rsid w:val="00C93BF2"/>
    <w:rsid w:val="00C93C8B"/>
    <w:rsid w:val="00C93D64"/>
    <w:rsid w:val="00C93E1D"/>
    <w:rsid w:val="00C93ED1"/>
    <w:rsid w:val="00C9402E"/>
    <w:rsid w:val="00C942A2"/>
    <w:rsid w:val="00C94888"/>
    <w:rsid w:val="00C94A0D"/>
    <w:rsid w:val="00C94A5B"/>
    <w:rsid w:val="00C9521F"/>
    <w:rsid w:val="00C954C3"/>
    <w:rsid w:val="00C955D6"/>
    <w:rsid w:val="00C955D8"/>
    <w:rsid w:val="00C95658"/>
    <w:rsid w:val="00C959FC"/>
    <w:rsid w:val="00C95B70"/>
    <w:rsid w:val="00C95C93"/>
    <w:rsid w:val="00C96212"/>
    <w:rsid w:val="00C968DD"/>
    <w:rsid w:val="00C96A5C"/>
    <w:rsid w:val="00C96E90"/>
    <w:rsid w:val="00C96EB8"/>
    <w:rsid w:val="00C9714B"/>
    <w:rsid w:val="00C97389"/>
    <w:rsid w:val="00C977F0"/>
    <w:rsid w:val="00C97969"/>
    <w:rsid w:val="00C97B8B"/>
    <w:rsid w:val="00C97F7C"/>
    <w:rsid w:val="00CA0B6A"/>
    <w:rsid w:val="00CA0D6F"/>
    <w:rsid w:val="00CA0FCE"/>
    <w:rsid w:val="00CA145C"/>
    <w:rsid w:val="00CA176D"/>
    <w:rsid w:val="00CA1BA2"/>
    <w:rsid w:val="00CA1BBC"/>
    <w:rsid w:val="00CA1E2F"/>
    <w:rsid w:val="00CA2003"/>
    <w:rsid w:val="00CA2132"/>
    <w:rsid w:val="00CA2198"/>
    <w:rsid w:val="00CA269A"/>
    <w:rsid w:val="00CA2812"/>
    <w:rsid w:val="00CA2873"/>
    <w:rsid w:val="00CA2896"/>
    <w:rsid w:val="00CA2981"/>
    <w:rsid w:val="00CA2E79"/>
    <w:rsid w:val="00CA2E87"/>
    <w:rsid w:val="00CA2E99"/>
    <w:rsid w:val="00CA2F01"/>
    <w:rsid w:val="00CA38A2"/>
    <w:rsid w:val="00CA3932"/>
    <w:rsid w:val="00CA3AFB"/>
    <w:rsid w:val="00CA3C08"/>
    <w:rsid w:val="00CA3DDA"/>
    <w:rsid w:val="00CA3EAA"/>
    <w:rsid w:val="00CA425E"/>
    <w:rsid w:val="00CA42C4"/>
    <w:rsid w:val="00CA43D2"/>
    <w:rsid w:val="00CA44E8"/>
    <w:rsid w:val="00CA4784"/>
    <w:rsid w:val="00CA4817"/>
    <w:rsid w:val="00CA497D"/>
    <w:rsid w:val="00CA49BA"/>
    <w:rsid w:val="00CA4B76"/>
    <w:rsid w:val="00CA4E1E"/>
    <w:rsid w:val="00CA4F75"/>
    <w:rsid w:val="00CA50A2"/>
    <w:rsid w:val="00CA50B1"/>
    <w:rsid w:val="00CA5121"/>
    <w:rsid w:val="00CA52BC"/>
    <w:rsid w:val="00CA54DA"/>
    <w:rsid w:val="00CA557B"/>
    <w:rsid w:val="00CA56CE"/>
    <w:rsid w:val="00CA58D6"/>
    <w:rsid w:val="00CA5923"/>
    <w:rsid w:val="00CA5A43"/>
    <w:rsid w:val="00CA5D95"/>
    <w:rsid w:val="00CA5F33"/>
    <w:rsid w:val="00CA5FB0"/>
    <w:rsid w:val="00CA6184"/>
    <w:rsid w:val="00CA61FA"/>
    <w:rsid w:val="00CA65D6"/>
    <w:rsid w:val="00CA6E05"/>
    <w:rsid w:val="00CA7112"/>
    <w:rsid w:val="00CA7250"/>
    <w:rsid w:val="00CA73AA"/>
    <w:rsid w:val="00CA7475"/>
    <w:rsid w:val="00CA74B8"/>
    <w:rsid w:val="00CA74C3"/>
    <w:rsid w:val="00CA7561"/>
    <w:rsid w:val="00CA78BB"/>
    <w:rsid w:val="00CA7A19"/>
    <w:rsid w:val="00CA7A34"/>
    <w:rsid w:val="00CA7D65"/>
    <w:rsid w:val="00CB053E"/>
    <w:rsid w:val="00CB0656"/>
    <w:rsid w:val="00CB0742"/>
    <w:rsid w:val="00CB0CAB"/>
    <w:rsid w:val="00CB125F"/>
    <w:rsid w:val="00CB1C85"/>
    <w:rsid w:val="00CB1D6D"/>
    <w:rsid w:val="00CB1E72"/>
    <w:rsid w:val="00CB1F8B"/>
    <w:rsid w:val="00CB1FB2"/>
    <w:rsid w:val="00CB20F1"/>
    <w:rsid w:val="00CB24B8"/>
    <w:rsid w:val="00CB26C5"/>
    <w:rsid w:val="00CB26E8"/>
    <w:rsid w:val="00CB2B64"/>
    <w:rsid w:val="00CB2C0B"/>
    <w:rsid w:val="00CB302D"/>
    <w:rsid w:val="00CB325D"/>
    <w:rsid w:val="00CB3468"/>
    <w:rsid w:val="00CB37FC"/>
    <w:rsid w:val="00CB3D50"/>
    <w:rsid w:val="00CB43CA"/>
    <w:rsid w:val="00CB463F"/>
    <w:rsid w:val="00CB47F6"/>
    <w:rsid w:val="00CB4B10"/>
    <w:rsid w:val="00CB4C29"/>
    <w:rsid w:val="00CB5589"/>
    <w:rsid w:val="00CB56C1"/>
    <w:rsid w:val="00CB5753"/>
    <w:rsid w:val="00CB5BBA"/>
    <w:rsid w:val="00CB5C79"/>
    <w:rsid w:val="00CB5DF7"/>
    <w:rsid w:val="00CB5FFE"/>
    <w:rsid w:val="00CB608B"/>
    <w:rsid w:val="00CB60A6"/>
    <w:rsid w:val="00CB63C8"/>
    <w:rsid w:val="00CB6549"/>
    <w:rsid w:val="00CB6593"/>
    <w:rsid w:val="00CB66DA"/>
    <w:rsid w:val="00CB676B"/>
    <w:rsid w:val="00CB67A4"/>
    <w:rsid w:val="00CB697E"/>
    <w:rsid w:val="00CB6E3F"/>
    <w:rsid w:val="00CB7582"/>
    <w:rsid w:val="00CB7628"/>
    <w:rsid w:val="00CB77A7"/>
    <w:rsid w:val="00CB7A65"/>
    <w:rsid w:val="00CB7C8F"/>
    <w:rsid w:val="00CB7ECE"/>
    <w:rsid w:val="00CC0108"/>
    <w:rsid w:val="00CC01F1"/>
    <w:rsid w:val="00CC0354"/>
    <w:rsid w:val="00CC0713"/>
    <w:rsid w:val="00CC072E"/>
    <w:rsid w:val="00CC0784"/>
    <w:rsid w:val="00CC09E7"/>
    <w:rsid w:val="00CC0A44"/>
    <w:rsid w:val="00CC0A4B"/>
    <w:rsid w:val="00CC0BD2"/>
    <w:rsid w:val="00CC0C53"/>
    <w:rsid w:val="00CC0F73"/>
    <w:rsid w:val="00CC0F8F"/>
    <w:rsid w:val="00CC109A"/>
    <w:rsid w:val="00CC10FD"/>
    <w:rsid w:val="00CC141D"/>
    <w:rsid w:val="00CC14A7"/>
    <w:rsid w:val="00CC1586"/>
    <w:rsid w:val="00CC16A3"/>
    <w:rsid w:val="00CC1AB0"/>
    <w:rsid w:val="00CC1AD4"/>
    <w:rsid w:val="00CC1DCF"/>
    <w:rsid w:val="00CC2001"/>
    <w:rsid w:val="00CC201E"/>
    <w:rsid w:val="00CC207D"/>
    <w:rsid w:val="00CC2105"/>
    <w:rsid w:val="00CC21AE"/>
    <w:rsid w:val="00CC289A"/>
    <w:rsid w:val="00CC2BDC"/>
    <w:rsid w:val="00CC2C17"/>
    <w:rsid w:val="00CC2DF1"/>
    <w:rsid w:val="00CC306A"/>
    <w:rsid w:val="00CC386E"/>
    <w:rsid w:val="00CC39DF"/>
    <w:rsid w:val="00CC3D9A"/>
    <w:rsid w:val="00CC3DBF"/>
    <w:rsid w:val="00CC43B0"/>
    <w:rsid w:val="00CC4630"/>
    <w:rsid w:val="00CC473D"/>
    <w:rsid w:val="00CC486F"/>
    <w:rsid w:val="00CC49A5"/>
    <w:rsid w:val="00CC4EB9"/>
    <w:rsid w:val="00CC4F4F"/>
    <w:rsid w:val="00CC5441"/>
    <w:rsid w:val="00CC5842"/>
    <w:rsid w:val="00CC58D8"/>
    <w:rsid w:val="00CC596D"/>
    <w:rsid w:val="00CC5AEF"/>
    <w:rsid w:val="00CC5C2F"/>
    <w:rsid w:val="00CC5E0A"/>
    <w:rsid w:val="00CC60A2"/>
    <w:rsid w:val="00CC6130"/>
    <w:rsid w:val="00CC62EE"/>
    <w:rsid w:val="00CC62FC"/>
    <w:rsid w:val="00CC64F8"/>
    <w:rsid w:val="00CC65C2"/>
    <w:rsid w:val="00CC660C"/>
    <w:rsid w:val="00CC661A"/>
    <w:rsid w:val="00CC661D"/>
    <w:rsid w:val="00CC69ED"/>
    <w:rsid w:val="00CC6EE0"/>
    <w:rsid w:val="00CC6F9D"/>
    <w:rsid w:val="00CC729C"/>
    <w:rsid w:val="00CC73A9"/>
    <w:rsid w:val="00CC77A1"/>
    <w:rsid w:val="00CC77DB"/>
    <w:rsid w:val="00CC7B92"/>
    <w:rsid w:val="00CD01C5"/>
    <w:rsid w:val="00CD06C8"/>
    <w:rsid w:val="00CD073D"/>
    <w:rsid w:val="00CD07B5"/>
    <w:rsid w:val="00CD07C9"/>
    <w:rsid w:val="00CD094F"/>
    <w:rsid w:val="00CD0AA1"/>
    <w:rsid w:val="00CD0FD8"/>
    <w:rsid w:val="00CD1476"/>
    <w:rsid w:val="00CD1766"/>
    <w:rsid w:val="00CD1A04"/>
    <w:rsid w:val="00CD1AB5"/>
    <w:rsid w:val="00CD1B65"/>
    <w:rsid w:val="00CD1BC4"/>
    <w:rsid w:val="00CD1E22"/>
    <w:rsid w:val="00CD22B5"/>
    <w:rsid w:val="00CD2652"/>
    <w:rsid w:val="00CD2854"/>
    <w:rsid w:val="00CD2A21"/>
    <w:rsid w:val="00CD2BE6"/>
    <w:rsid w:val="00CD304D"/>
    <w:rsid w:val="00CD322B"/>
    <w:rsid w:val="00CD3364"/>
    <w:rsid w:val="00CD3840"/>
    <w:rsid w:val="00CD3997"/>
    <w:rsid w:val="00CD39CC"/>
    <w:rsid w:val="00CD3D0B"/>
    <w:rsid w:val="00CD449F"/>
    <w:rsid w:val="00CD45E1"/>
    <w:rsid w:val="00CD45F2"/>
    <w:rsid w:val="00CD4857"/>
    <w:rsid w:val="00CD4B63"/>
    <w:rsid w:val="00CD4CF0"/>
    <w:rsid w:val="00CD4EC7"/>
    <w:rsid w:val="00CD4EF2"/>
    <w:rsid w:val="00CD4F96"/>
    <w:rsid w:val="00CD52F9"/>
    <w:rsid w:val="00CD53FB"/>
    <w:rsid w:val="00CD5437"/>
    <w:rsid w:val="00CD54D0"/>
    <w:rsid w:val="00CD5518"/>
    <w:rsid w:val="00CD5556"/>
    <w:rsid w:val="00CD560A"/>
    <w:rsid w:val="00CD584C"/>
    <w:rsid w:val="00CD5860"/>
    <w:rsid w:val="00CD5CAE"/>
    <w:rsid w:val="00CD5E47"/>
    <w:rsid w:val="00CD602D"/>
    <w:rsid w:val="00CD60DC"/>
    <w:rsid w:val="00CD6192"/>
    <w:rsid w:val="00CD6D2A"/>
    <w:rsid w:val="00CD6E0B"/>
    <w:rsid w:val="00CD6E0D"/>
    <w:rsid w:val="00CD6EB0"/>
    <w:rsid w:val="00CD6F98"/>
    <w:rsid w:val="00CD6FEF"/>
    <w:rsid w:val="00CD7B0E"/>
    <w:rsid w:val="00CD7C3A"/>
    <w:rsid w:val="00CD7E01"/>
    <w:rsid w:val="00CD7F0A"/>
    <w:rsid w:val="00CE0103"/>
    <w:rsid w:val="00CE024A"/>
    <w:rsid w:val="00CE030C"/>
    <w:rsid w:val="00CE0877"/>
    <w:rsid w:val="00CE0A81"/>
    <w:rsid w:val="00CE0B73"/>
    <w:rsid w:val="00CE0F84"/>
    <w:rsid w:val="00CE10C1"/>
    <w:rsid w:val="00CE1107"/>
    <w:rsid w:val="00CE12EB"/>
    <w:rsid w:val="00CE15F8"/>
    <w:rsid w:val="00CE1600"/>
    <w:rsid w:val="00CE1A00"/>
    <w:rsid w:val="00CE1AFB"/>
    <w:rsid w:val="00CE1D29"/>
    <w:rsid w:val="00CE1EB1"/>
    <w:rsid w:val="00CE260A"/>
    <w:rsid w:val="00CE26B0"/>
    <w:rsid w:val="00CE2885"/>
    <w:rsid w:val="00CE2AAA"/>
    <w:rsid w:val="00CE2C94"/>
    <w:rsid w:val="00CE2E19"/>
    <w:rsid w:val="00CE30BF"/>
    <w:rsid w:val="00CE31C5"/>
    <w:rsid w:val="00CE36F3"/>
    <w:rsid w:val="00CE3A0F"/>
    <w:rsid w:val="00CE3EB5"/>
    <w:rsid w:val="00CE3F67"/>
    <w:rsid w:val="00CE42E7"/>
    <w:rsid w:val="00CE4320"/>
    <w:rsid w:val="00CE444C"/>
    <w:rsid w:val="00CE4955"/>
    <w:rsid w:val="00CE4E08"/>
    <w:rsid w:val="00CE531A"/>
    <w:rsid w:val="00CE534C"/>
    <w:rsid w:val="00CE547B"/>
    <w:rsid w:val="00CE57B7"/>
    <w:rsid w:val="00CE57F0"/>
    <w:rsid w:val="00CE58ED"/>
    <w:rsid w:val="00CE596A"/>
    <w:rsid w:val="00CE5A6B"/>
    <w:rsid w:val="00CE6195"/>
    <w:rsid w:val="00CE621C"/>
    <w:rsid w:val="00CE6446"/>
    <w:rsid w:val="00CE66C6"/>
    <w:rsid w:val="00CE6968"/>
    <w:rsid w:val="00CE6F49"/>
    <w:rsid w:val="00CE7278"/>
    <w:rsid w:val="00CE7502"/>
    <w:rsid w:val="00CE772C"/>
    <w:rsid w:val="00CE7D89"/>
    <w:rsid w:val="00CF04FC"/>
    <w:rsid w:val="00CF0712"/>
    <w:rsid w:val="00CF0729"/>
    <w:rsid w:val="00CF08CC"/>
    <w:rsid w:val="00CF08E2"/>
    <w:rsid w:val="00CF08ED"/>
    <w:rsid w:val="00CF0B79"/>
    <w:rsid w:val="00CF0D6F"/>
    <w:rsid w:val="00CF124A"/>
    <w:rsid w:val="00CF1836"/>
    <w:rsid w:val="00CF1A4A"/>
    <w:rsid w:val="00CF1BE6"/>
    <w:rsid w:val="00CF1DD5"/>
    <w:rsid w:val="00CF205D"/>
    <w:rsid w:val="00CF2095"/>
    <w:rsid w:val="00CF228A"/>
    <w:rsid w:val="00CF22A6"/>
    <w:rsid w:val="00CF23ED"/>
    <w:rsid w:val="00CF260F"/>
    <w:rsid w:val="00CF275F"/>
    <w:rsid w:val="00CF2953"/>
    <w:rsid w:val="00CF2BE4"/>
    <w:rsid w:val="00CF2D2C"/>
    <w:rsid w:val="00CF2F5E"/>
    <w:rsid w:val="00CF3387"/>
    <w:rsid w:val="00CF3741"/>
    <w:rsid w:val="00CF3842"/>
    <w:rsid w:val="00CF3B29"/>
    <w:rsid w:val="00CF40ED"/>
    <w:rsid w:val="00CF4468"/>
    <w:rsid w:val="00CF4815"/>
    <w:rsid w:val="00CF4872"/>
    <w:rsid w:val="00CF4D44"/>
    <w:rsid w:val="00CF50C0"/>
    <w:rsid w:val="00CF51C4"/>
    <w:rsid w:val="00CF581F"/>
    <w:rsid w:val="00CF5B7B"/>
    <w:rsid w:val="00CF607B"/>
    <w:rsid w:val="00CF65CB"/>
    <w:rsid w:val="00CF67AE"/>
    <w:rsid w:val="00CF68EF"/>
    <w:rsid w:val="00CF6A26"/>
    <w:rsid w:val="00CF6E62"/>
    <w:rsid w:val="00CF6F52"/>
    <w:rsid w:val="00CF7462"/>
    <w:rsid w:val="00CF752F"/>
    <w:rsid w:val="00CF75D3"/>
    <w:rsid w:val="00CF7852"/>
    <w:rsid w:val="00CF78C8"/>
    <w:rsid w:val="00CF7B4B"/>
    <w:rsid w:val="00CF7D83"/>
    <w:rsid w:val="00D00056"/>
    <w:rsid w:val="00D0012A"/>
    <w:rsid w:val="00D0029E"/>
    <w:rsid w:val="00D006B2"/>
    <w:rsid w:val="00D00800"/>
    <w:rsid w:val="00D01019"/>
    <w:rsid w:val="00D01041"/>
    <w:rsid w:val="00D01538"/>
    <w:rsid w:val="00D01847"/>
    <w:rsid w:val="00D01C8B"/>
    <w:rsid w:val="00D01CB0"/>
    <w:rsid w:val="00D01DF5"/>
    <w:rsid w:val="00D01E76"/>
    <w:rsid w:val="00D01E9C"/>
    <w:rsid w:val="00D01FF8"/>
    <w:rsid w:val="00D024DD"/>
    <w:rsid w:val="00D025FD"/>
    <w:rsid w:val="00D02673"/>
    <w:rsid w:val="00D02790"/>
    <w:rsid w:val="00D02947"/>
    <w:rsid w:val="00D02B43"/>
    <w:rsid w:val="00D02E29"/>
    <w:rsid w:val="00D03131"/>
    <w:rsid w:val="00D031C8"/>
    <w:rsid w:val="00D0341A"/>
    <w:rsid w:val="00D0357D"/>
    <w:rsid w:val="00D03789"/>
    <w:rsid w:val="00D03856"/>
    <w:rsid w:val="00D03903"/>
    <w:rsid w:val="00D03B39"/>
    <w:rsid w:val="00D03BD0"/>
    <w:rsid w:val="00D03CFA"/>
    <w:rsid w:val="00D03E9A"/>
    <w:rsid w:val="00D041C7"/>
    <w:rsid w:val="00D043E0"/>
    <w:rsid w:val="00D04642"/>
    <w:rsid w:val="00D04726"/>
    <w:rsid w:val="00D04986"/>
    <w:rsid w:val="00D04AB3"/>
    <w:rsid w:val="00D04AC1"/>
    <w:rsid w:val="00D04B9E"/>
    <w:rsid w:val="00D04DB9"/>
    <w:rsid w:val="00D05483"/>
    <w:rsid w:val="00D05B10"/>
    <w:rsid w:val="00D05D4D"/>
    <w:rsid w:val="00D05DF2"/>
    <w:rsid w:val="00D05EF8"/>
    <w:rsid w:val="00D05F20"/>
    <w:rsid w:val="00D060D5"/>
    <w:rsid w:val="00D06419"/>
    <w:rsid w:val="00D06441"/>
    <w:rsid w:val="00D06CDD"/>
    <w:rsid w:val="00D07401"/>
    <w:rsid w:val="00D07491"/>
    <w:rsid w:val="00D07565"/>
    <w:rsid w:val="00D0758A"/>
    <w:rsid w:val="00D07A46"/>
    <w:rsid w:val="00D07F14"/>
    <w:rsid w:val="00D1001E"/>
    <w:rsid w:val="00D1018D"/>
    <w:rsid w:val="00D10536"/>
    <w:rsid w:val="00D10551"/>
    <w:rsid w:val="00D105EC"/>
    <w:rsid w:val="00D10613"/>
    <w:rsid w:val="00D10627"/>
    <w:rsid w:val="00D106BF"/>
    <w:rsid w:val="00D1078D"/>
    <w:rsid w:val="00D10B68"/>
    <w:rsid w:val="00D10F0F"/>
    <w:rsid w:val="00D10FF3"/>
    <w:rsid w:val="00D1105D"/>
    <w:rsid w:val="00D1106B"/>
    <w:rsid w:val="00D11073"/>
    <w:rsid w:val="00D111B0"/>
    <w:rsid w:val="00D1126D"/>
    <w:rsid w:val="00D113CD"/>
    <w:rsid w:val="00D115B1"/>
    <w:rsid w:val="00D1162C"/>
    <w:rsid w:val="00D11783"/>
    <w:rsid w:val="00D11A3C"/>
    <w:rsid w:val="00D11A77"/>
    <w:rsid w:val="00D11F20"/>
    <w:rsid w:val="00D11FCE"/>
    <w:rsid w:val="00D12335"/>
    <w:rsid w:val="00D12A01"/>
    <w:rsid w:val="00D12B09"/>
    <w:rsid w:val="00D12BD9"/>
    <w:rsid w:val="00D12F1A"/>
    <w:rsid w:val="00D13132"/>
    <w:rsid w:val="00D13178"/>
    <w:rsid w:val="00D134D8"/>
    <w:rsid w:val="00D13584"/>
    <w:rsid w:val="00D1368E"/>
    <w:rsid w:val="00D138BB"/>
    <w:rsid w:val="00D138D8"/>
    <w:rsid w:val="00D13ADD"/>
    <w:rsid w:val="00D14050"/>
    <w:rsid w:val="00D1413F"/>
    <w:rsid w:val="00D143E5"/>
    <w:rsid w:val="00D14558"/>
    <w:rsid w:val="00D145D6"/>
    <w:rsid w:val="00D146A0"/>
    <w:rsid w:val="00D146C8"/>
    <w:rsid w:val="00D14727"/>
    <w:rsid w:val="00D14977"/>
    <w:rsid w:val="00D149C4"/>
    <w:rsid w:val="00D14AB4"/>
    <w:rsid w:val="00D14B39"/>
    <w:rsid w:val="00D14BFA"/>
    <w:rsid w:val="00D151CF"/>
    <w:rsid w:val="00D151E9"/>
    <w:rsid w:val="00D1521E"/>
    <w:rsid w:val="00D1536C"/>
    <w:rsid w:val="00D153D4"/>
    <w:rsid w:val="00D159EB"/>
    <w:rsid w:val="00D15DE8"/>
    <w:rsid w:val="00D1637C"/>
    <w:rsid w:val="00D1690E"/>
    <w:rsid w:val="00D16BCA"/>
    <w:rsid w:val="00D16C41"/>
    <w:rsid w:val="00D16D42"/>
    <w:rsid w:val="00D170F3"/>
    <w:rsid w:val="00D17116"/>
    <w:rsid w:val="00D1778E"/>
    <w:rsid w:val="00D177F1"/>
    <w:rsid w:val="00D178EB"/>
    <w:rsid w:val="00D1793D"/>
    <w:rsid w:val="00D1799C"/>
    <w:rsid w:val="00D17AC3"/>
    <w:rsid w:val="00D17BBA"/>
    <w:rsid w:val="00D17C5B"/>
    <w:rsid w:val="00D17E25"/>
    <w:rsid w:val="00D17FAE"/>
    <w:rsid w:val="00D20131"/>
    <w:rsid w:val="00D201E6"/>
    <w:rsid w:val="00D20316"/>
    <w:rsid w:val="00D20386"/>
    <w:rsid w:val="00D2061D"/>
    <w:rsid w:val="00D20737"/>
    <w:rsid w:val="00D20789"/>
    <w:rsid w:val="00D2094D"/>
    <w:rsid w:val="00D2095E"/>
    <w:rsid w:val="00D20A3D"/>
    <w:rsid w:val="00D20D91"/>
    <w:rsid w:val="00D21041"/>
    <w:rsid w:val="00D21228"/>
    <w:rsid w:val="00D2134A"/>
    <w:rsid w:val="00D214F9"/>
    <w:rsid w:val="00D215D5"/>
    <w:rsid w:val="00D21658"/>
    <w:rsid w:val="00D2191D"/>
    <w:rsid w:val="00D219B7"/>
    <w:rsid w:val="00D21DD5"/>
    <w:rsid w:val="00D21E34"/>
    <w:rsid w:val="00D21F0C"/>
    <w:rsid w:val="00D2213E"/>
    <w:rsid w:val="00D221B9"/>
    <w:rsid w:val="00D22277"/>
    <w:rsid w:val="00D2257C"/>
    <w:rsid w:val="00D225E4"/>
    <w:rsid w:val="00D2266C"/>
    <w:rsid w:val="00D22681"/>
    <w:rsid w:val="00D226C4"/>
    <w:rsid w:val="00D22B6F"/>
    <w:rsid w:val="00D22E9C"/>
    <w:rsid w:val="00D23439"/>
    <w:rsid w:val="00D234EA"/>
    <w:rsid w:val="00D237A4"/>
    <w:rsid w:val="00D23A90"/>
    <w:rsid w:val="00D23B12"/>
    <w:rsid w:val="00D23BCA"/>
    <w:rsid w:val="00D23E98"/>
    <w:rsid w:val="00D23E9D"/>
    <w:rsid w:val="00D2424A"/>
    <w:rsid w:val="00D24450"/>
    <w:rsid w:val="00D24718"/>
    <w:rsid w:val="00D24ABA"/>
    <w:rsid w:val="00D24B51"/>
    <w:rsid w:val="00D24E30"/>
    <w:rsid w:val="00D2515E"/>
    <w:rsid w:val="00D25215"/>
    <w:rsid w:val="00D254C9"/>
    <w:rsid w:val="00D2566A"/>
    <w:rsid w:val="00D257FD"/>
    <w:rsid w:val="00D2627A"/>
    <w:rsid w:val="00D26474"/>
    <w:rsid w:val="00D26994"/>
    <w:rsid w:val="00D269E8"/>
    <w:rsid w:val="00D26B52"/>
    <w:rsid w:val="00D26D30"/>
    <w:rsid w:val="00D27350"/>
    <w:rsid w:val="00D27378"/>
    <w:rsid w:val="00D27391"/>
    <w:rsid w:val="00D2750A"/>
    <w:rsid w:val="00D27587"/>
    <w:rsid w:val="00D27E6F"/>
    <w:rsid w:val="00D3020C"/>
    <w:rsid w:val="00D3034A"/>
    <w:rsid w:val="00D3036C"/>
    <w:rsid w:val="00D304F0"/>
    <w:rsid w:val="00D306EE"/>
    <w:rsid w:val="00D3094F"/>
    <w:rsid w:val="00D311B1"/>
    <w:rsid w:val="00D3134B"/>
    <w:rsid w:val="00D31859"/>
    <w:rsid w:val="00D318A2"/>
    <w:rsid w:val="00D31D6A"/>
    <w:rsid w:val="00D32015"/>
    <w:rsid w:val="00D32165"/>
    <w:rsid w:val="00D323BA"/>
    <w:rsid w:val="00D32698"/>
    <w:rsid w:val="00D3277B"/>
    <w:rsid w:val="00D3280C"/>
    <w:rsid w:val="00D32A40"/>
    <w:rsid w:val="00D32A6C"/>
    <w:rsid w:val="00D32CF9"/>
    <w:rsid w:val="00D3309F"/>
    <w:rsid w:val="00D33242"/>
    <w:rsid w:val="00D3329E"/>
    <w:rsid w:val="00D332CB"/>
    <w:rsid w:val="00D33629"/>
    <w:rsid w:val="00D336C5"/>
    <w:rsid w:val="00D336C6"/>
    <w:rsid w:val="00D33903"/>
    <w:rsid w:val="00D33AAB"/>
    <w:rsid w:val="00D33B75"/>
    <w:rsid w:val="00D33B84"/>
    <w:rsid w:val="00D33D2E"/>
    <w:rsid w:val="00D33DBA"/>
    <w:rsid w:val="00D34017"/>
    <w:rsid w:val="00D344D3"/>
    <w:rsid w:val="00D34547"/>
    <w:rsid w:val="00D34B3A"/>
    <w:rsid w:val="00D34D57"/>
    <w:rsid w:val="00D3502F"/>
    <w:rsid w:val="00D35417"/>
    <w:rsid w:val="00D35807"/>
    <w:rsid w:val="00D35A68"/>
    <w:rsid w:val="00D36024"/>
    <w:rsid w:val="00D36246"/>
    <w:rsid w:val="00D36AC1"/>
    <w:rsid w:val="00D37240"/>
    <w:rsid w:val="00D378E6"/>
    <w:rsid w:val="00D37B11"/>
    <w:rsid w:val="00D37BE2"/>
    <w:rsid w:val="00D402DE"/>
    <w:rsid w:val="00D4042B"/>
    <w:rsid w:val="00D4045E"/>
    <w:rsid w:val="00D40A6B"/>
    <w:rsid w:val="00D40A8E"/>
    <w:rsid w:val="00D40C39"/>
    <w:rsid w:val="00D40C62"/>
    <w:rsid w:val="00D40DAC"/>
    <w:rsid w:val="00D40E2F"/>
    <w:rsid w:val="00D40F41"/>
    <w:rsid w:val="00D411BD"/>
    <w:rsid w:val="00D4128E"/>
    <w:rsid w:val="00D41373"/>
    <w:rsid w:val="00D415F3"/>
    <w:rsid w:val="00D41D12"/>
    <w:rsid w:val="00D41F96"/>
    <w:rsid w:val="00D422AE"/>
    <w:rsid w:val="00D425C2"/>
    <w:rsid w:val="00D42BD5"/>
    <w:rsid w:val="00D42F1D"/>
    <w:rsid w:val="00D42F6F"/>
    <w:rsid w:val="00D437E0"/>
    <w:rsid w:val="00D43A5D"/>
    <w:rsid w:val="00D43AAE"/>
    <w:rsid w:val="00D43AEF"/>
    <w:rsid w:val="00D43B51"/>
    <w:rsid w:val="00D43C5E"/>
    <w:rsid w:val="00D43C8A"/>
    <w:rsid w:val="00D43DFF"/>
    <w:rsid w:val="00D44176"/>
    <w:rsid w:val="00D44213"/>
    <w:rsid w:val="00D44998"/>
    <w:rsid w:val="00D449D7"/>
    <w:rsid w:val="00D44E9D"/>
    <w:rsid w:val="00D450B8"/>
    <w:rsid w:val="00D45272"/>
    <w:rsid w:val="00D4545E"/>
    <w:rsid w:val="00D4561B"/>
    <w:rsid w:val="00D45719"/>
    <w:rsid w:val="00D45807"/>
    <w:rsid w:val="00D45F82"/>
    <w:rsid w:val="00D4622A"/>
    <w:rsid w:val="00D462B0"/>
    <w:rsid w:val="00D462D0"/>
    <w:rsid w:val="00D46452"/>
    <w:rsid w:val="00D46645"/>
    <w:rsid w:val="00D4688C"/>
    <w:rsid w:val="00D468C0"/>
    <w:rsid w:val="00D46D00"/>
    <w:rsid w:val="00D46DBB"/>
    <w:rsid w:val="00D471A1"/>
    <w:rsid w:val="00D475B7"/>
    <w:rsid w:val="00D476DC"/>
    <w:rsid w:val="00D47859"/>
    <w:rsid w:val="00D479C5"/>
    <w:rsid w:val="00D47A06"/>
    <w:rsid w:val="00D500F5"/>
    <w:rsid w:val="00D50169"/>
    <w:rsid w:val="00D503F7"/>
    <w:rsid w:val="00D50417"/>
    <w:rsid w:val="00D505F0"/>
    <w:rsid w:val="00D506A9"/>
    <w:rsid w:val="00D506CA"/>
    <w:rsid w:val="00D5081E"/>
    <w:rsid w:val="00D50DFE"/>
    <w:rsid w:val="00D512C3"/>
    <w:rsid w:val="00D515CE"/>
    <w:rsid w:val="00D517F0"/>
    <w:rsid w:val="00D518A0"/>
    <w:rsid w:val="00D5192C"/>
    <w:rsid w:val="00D51AB6"/>
    <w:rsid w:val="00D51B2F"/>
    <w:rsid w:val="00D5200F"/>
    <w:rsid w:val="00D52119"/>
    <w:rsid w:val="00D522D1"/>
    <w:rsid w:val="00D524A5"/>
    <w:rsid w:val="00D527A4"/>
    <w:rsid w:val="00D52853"/>
    <w:rsid w:val="00D52B2D"/>
    <w:rsid w:val="00D52EFF"/>
    <w:rsid w:val="00D52FC5"/>
    <w:rsid w:val="00D5315A"/>
    <w:rsid w:val="00D5339B"/>
    <w:rsid w:val="00D533CA"/>
    <w:rsid w:val="00D5359A"/>
    <w:rsid w:val="00D53615"/>
    <w:rsid w:val="00D5361A"/>
    <w:rsid w:val="00D53A65"/>
    <w:rsid w:val="00D53A7A"/>
    <w:rsid w:val="00D53AB8"/>
    <w:rsid w:val="00D53B3B"/>
    <w:rsid w:val="00D53C04"/>
    <w:rsid w:val="00D53CBA"/>
    <w:rsid w:val="00D53D68"/>
    <w:rsid w:val="00D53ED1"/>
    <w:rsid w:val="00D53FFA"/>
    <w:rsid w:val="00D5412C"/>
    <w:rsid w:val="00D54266"/>
    <w:rsid w:val="00D542E1"/>
    <w:rsid w:val="00D543E6"/>
    <w:rsid w:val="00D54AC7"/>
    <w:rsid w:val="00D54EC7"/>
    <w:rsid w:val="00D55012"/>
    <w:rsid w:val="00D553CD"/>
    <w:rsid w:val="00D5545A"/>
    <w:rsid w:val="00D55460"/>
    <w:rsid w:val="00D5557F"/>
    <w:rsid w:val="00D55DC5"/>
    <w:rsid w:val="00D55EC8"/>
    <w:rsid w:val="00D56225"/>
    <w:rsid w:val="00D562B0"/>
    <w:rsid w:val="00D5654B"/>
    <w:rsid w:val="00D56A38"/>
    <w:rsid w:val="00D56BB9"/>
    <w:rsid w:val="00D56E78"/>
    <w:rsid w:val="00D56F9C"/>
    <w:rsid w:val="00D574C4"/>
    <w:rsid w:val="00D57515"/>
    <w:rsid w:val="00D577AF"/>
    <w:rsid w:val="00D57BA1"/>
    <w:rsid w:val="00D57CDF"/>
    <w:rsid w:val="00D60002"/>
    <w:rsid w:val="00D601C0"/>
    <w:rsid w:val="00D602DC"/>
    <w:rsid w:val="00D603B0"/>
    <w:rsid w:val="00D603F4"/>
    <w:rsid w:val="00D6045D"/>
    <w:rsid w:val="00D60678"/>
    <w:rsid w:val="00D608FC"/>
    <w:rsid w:val="00D60955"/>
    <w:rsid w:val="00D60AA8"/>
    <w:rsid w:val="00D611F1"/>
    <w:rsid w:val="00D613F5"/>
    <w:rsid w:val="00D61930"/>
    <w:rsid w:val="00D61A1D"/>
    <w:rsid w:val="00D62327"/>
    <w:rsid w:val="00D6242F"/>
    <w:rsid w:val="00D6251D"/>
    <w:rsid w:val="00D62724"/>
    <w:rsid w:val="00D62815"/>
    <w:rsid w:val="00D62E05"/>
    <w:rsid w:val="00D632A7"/>
    <w:rsid w:val="00D6354B"/>
    <w:rsid w:val="00D6356C"/>
    <w:rsid w:val="00D63601"/>
    <w:rsid w:val="00D63895"/>
    <w:rsid w:val="00D63BB7"/>
    <w:rsid w:val="00D63EDF"/>
    <w:rsid w:val="00D64AE3"/>
    <w:rsid w:val="00D64B9F"/>
    <w:rsid w:val="00D64BA1"/>
    <w:rsid w:val="00D64CB9"/>
    <w:rsid w:val="00D64E50"/>
    <w:rsid w:val="00D650F0"/>
    <w:rsid w:val="00D65394"/>
    <w:rsid w:val="00D654D0"/>
    <w:rsid w:val="00D65DBB"/>
    <w:rsid w:val="00D65E94"/>
    <w:rsid w:val="00D6630D"/>
    <w:rsid w:val="00D667FC"/>
    <w:rsid w:val="00D6689F"/>
    <w:rsid w:val="00D66DAE"/>
    <w:rsid w:val="00D66EB2"/>
    <w:rsid w:val="00D6724D"/>
    <w:rsid w:val="00D6764D"/>
    <w:rsid w:val="00D67AAA"/>
    <w:rsid w:val="00D67C04"/>
    <w:rsid w:val="00D67C19"/>
    <w:rsid w:val="00D7005E"/>
    <w:rsid w:val="00D7035A"/>
    <w:rsid w:val="00D7046F"/>
    <w:rsid w:val="00D7072C"/>
    <w:rsid w:val="00D70DA1"/>
    <w:rsid w:val="00D70DF8"/>
    <w:rsid w:val="00D70FD4"/>
    <w:rsid w:val="00D71024"/>
    <w:rsid w:val="00D710EA"/>
    <w:rsid w:val="00D7129C"/>
    <w:rsid w:val="00D71BDE"/>
    <w:rsid w:val="00D71EE2"/>
    <w:rsid w:val="00D7242C"/>
    <w:rsid w:val="00D7261F"/>
    <w:rsid w:val="00D726A9"/>
    <w:rsid w:val="00D72AB9"/>
    <w:rsid w:val="00D7315C"/>
    <w:rsid w:val="00D731B6"/>
    <w:rsid w:val="00D735ED"/>
    <w:rsid w:val="00D73AF7"/>
    <w:rsid w:val="00D73F46"/>
    <w:rsid w:val="00D741A0"/>
    <w:rsid w:val="00D74577"/>
    <w:rsid w:val="00D746E5"/>
    <w:rsid w:val="00D7480D"/>
    <w:rsid w:val="00D748E2"/>
    <w:rsid w:val="00D748F4"/>
    <w:rsid w:val="00D74FE0"/>
    <w:rsid w:val="00D7509F"/>
    <w:rsid w:val="00D751CE"/>
    <w:rsid w:val="00D754A8"/>
    <w:rsid w:val="00D75746"/>
    <w:rsid w:val="00D75ABB"/>
    <w:rsid w:val="00D762B4"/>
    <w:rsid w:val="00D762C4"/>
    <w:rsid w:val="00D76796"/>
    <w:rsid w:val="00D7683D"/>
    <w:rsid w:val="00D76898"/>
    <w:rsid w:val="00D76CEC"/>
    <w:rsid w:val="00D774A7"/>
    <w:rsid w:val="00D775B0"/>
    <w:rsid w:val="00D779C1"/>
    <w:rsid w:val="00D77CE8"/>
    <w:rsid w:val="00D77CFE"/>
    <w:rsid w:val="00D80208"/>
    <w:rsid w:val="00D8040A"/>
    <w:rsid w:val="00D8069A"/>
    <w:rsid w:val="00D8077A"/>
    <w:rsid w:val="00D809A1"/>
    <w:rsid w:val="00D809BB"/>
    <w:rsid w:val="00D80C38"/>
    <w:rsid w:val="00D80D39"/>
    <w:rsid w:val="00D80E29"/>
    <w:rsid w:val="00D81896"/>
    <w:rsid w:val="00D81921"/>
    <w:rsid w:val="00D82033"/>
    <w:rsid w:val="00D822B4"/>
    <w:rsid w:val="00D82369"/>
    <w:rsid w:val="00D826E6"/>
    <w:rsid w:val="00D8281E"/>
    <w:rsid w:val="00D82883"/>
    <w:rsid w:val="00D82BCF"/>
    <w:rsid w:val="00D83138"/>
    <w:rsid w:val="00D83177"/>
    <w:rsid w:val="00D8318F"/>
    <w:rsid w:val="00D831B5"/>
    <w:rsid w:val="00D833BA"/>
    <w:rsid w:val="00D83410"/>
    <w:rsid w:val="00D83594"/>
    <w:rsid w:val="00D835B8"/>
    <w:rsid w:val="00D836B9"/>
    <w:rsid w:val="00D8390B"/>
    <w:rsid w:val="00D83AE3"/>
    <w:rsid w:val="00D83B32"/>
    <w:rsid w:val="00D83BA7"/>
    <w:rsid w:val="00D83E39"/>
    <w:rsid w:val="00D83E54"/>
    <w:rsid w:val="00D83FE2"/>
    <w:rsid w:val="00D84451"/>
    <w:rsid w:val="00D844B1"/>
    <w:rsid w:val="00D84637"/>
    <w:rsid w:val="00D846DF"/>
    <w:rsid w:val="00D849DE"/>
    <w:rsid w:val="00D84AF7"/>
    <w:rsid w:val="00D84D1F"/>
    <w:rsid w:val="00D84FDA"/>
    <w:rsid w:val="00D8547B"/>
    <w:rsid w:val="00D85589"/>
    <w:rsid w:val="00D85BC9"/>
    <w:rsid w:val="00D8680D"/>
    <w:rsid w:val="00D86827"/>
    <w:rsid w:val="00D86D71"/>
    <w:rsid w:val="00D8720C"/>
    <w:rsid w:val="00D8739D"/>
    <w:rsid w:val="00D87473"/>
    <w:rsid w:val="00D875EC"/>
    <w:rsid w:val="00D8776F"/>
    <w:rsid w:val="00D87893"/>
    <w:rsid w:val="00D87911"/>
    <w:rsid w:val="00D8792A"/>
    <w:rsid w:val="00D87B41"/>
    <w:rsid w:val="00D87B42"/>
    <w:rsid w:val="00D87D58"/>
    <w:rsid w:val="00D87F2B"/>
    <w:rsid w:val="00D87F8E"/>
    <w:rsid w:val="00D90102"/>
    <w:rsid w:val="00D90293"/>
    <w:rsid w:val="00D90320"/>
    <w:rsid w:val="00D90522"/>
    <w:rsid w:val="00D90836"/>
    <w:rsid w:val="00D90A4F"/>
    <w:rsid w:val="00D90CDD"/>
    <w:rsid w:val="00D90F76"/>
    <w:rsid w:val="00D9134A"/>
    <w:rsid w:val="00D913D7"/>
    <w:rsid w:val="00D914B8"/>
    <w:rsid w:val="00D91784"/>
    <w:rsid w:val="00D91996"/>
    <w:rsid w:val="00D919B9"/>
    <w:rsid w:val="00D91D07"/>
    <w:rsid w:val="00D9210F"/>
    <w:rsid w:val="00D924F7"/>
    <w:rsid w:val="00D92500"/>
    <w:rsid w:val="00D92632"/>
    <w:rsid w:val="00D926AD"/>
    <w:rsid w:val="00D92710"/>
    <w:rsid w:val="00D92AA2"/>
    <w:rsid w:val="00D92C1E"/>
    <w:rsid w:val="00D92CCE"/>
    <w:rsid w:val="00D92E8E"/>
    <w:rsid w:val="00D931C8"/>
    <w:rsid w:val="00D93285"/>
    <w:rsid w:val="00D9345E"/>
    <w:rsid w:val="00D936AD"/>
    <w:rsid w:val="00D93708"/>
    <w:rsid w:val="00D93B10"/>
    <w:rsid w:val="00D93E33"/>
    <w:rsid w:val="00D93FC5"/>
    <w:rsid w:val="00D941C7"/>
    <w:rsid w:val="00D9434F"/>
    <w:rsid w:val="00D947B0"/>
    <w:rsid w:val="00D94B1A"/>
    <w:rsid w:val="00D94C07"/>
    <w:rsid w:val="00D94FB3"/>
    <w:rsid w:val="00D95098"/>
    <w:rsid w:val="00D951E3"/>
    <w:rsid w:val="00D952DD"/>
    <w:rsid w:val="00D953B0"/>
    <w:rsid w:val="00D95625"/>
    <w:rsid w:val="00D956B6"/>
    <w:rsid w:val="00D95C62"/>
    <w:rsid w:val="00D95E34"/>
    <w:rsid w:val="00D9609D"/>
    <w:rsid w:val="00D96193"/>
    <w:rsid w:val="00D963F7"/>
    <w:rsid w:val="00D965C4"/>
    <w:rsid w:val="00D96663"/>
    <w:rsid w:val="00D96C3B"/>
    <w:rsid w:val="00D96CA6"/>
    <w:rsid w:val="00D96DEA"/>
    <w:rsid w:val="00D9705D"/>
    <w:rsid w:val="00D974CE"/>
    <w:rsid w:val="00D9769D"/>
    <w:rsid w:val="00D97A6E"/>
    <w:rsid w:val="00D97B6A"/>
    <w:rsid w:val="00D97D6D"/>
    <w:rsid w:val="00DA0171"/>
    <w:rsid w:val="00DA05FB"/>
    <w:rsid w:val="00DA0638"/>
    <w:rsid w:val="00DA0E9A"/>
    <w:rsid w:val="00DA0FD7"/>
    <w:rsid w:val="00DA1101"/>
    <w:rsid w:val="00DA195E"/>
    <w:rsid w:val="00DA19CB"/>
    <w:rsid w:val="00DA19DB"/>
    <w:rsid w:val="00DA19FE"/>
    <w:rsid w:val="00DA1A8A"/>
    <w:rsid w:val="00DA1DCD"/>
    <w:rsid w:val="00DA233B"/>
    <w:rsid w:val="00DA2709"/>
    <w:rsid w:val="00DA2867"/>
    <w:rsid w:val="00DA2951"/>
    <w:rsid w:val="00DA2C5D"/>
    <w:rsid w:val="00DA31ED"/>
    <w:rsid w:val="00DA363D"/>
    <w:rsid w:val="00DA37AA"/>
    <w:rsid w:val="00DA3805"/>
    <w:rsid w:val="00DA3B27"/>
    <w:rsid w:val="00DA3B40"/>
    <w:rsid w:val="00DA3B42"/>
    <w:rsid w:val="00DA442F"/>
    <w:rsid w:val="00DA46D1"/>
    <w:rsid w:val="00DA48F7"/>
    <w:rsid w:val="00DA4908"/>
    <w:rsid w:val="00DA4A69"/>
    <w:rsid w:val="00DA4E60"/>
    <w:rsid w:val="00DA531B"/>
    <w:rsid w:val="00DA5790"/>
    <w:rsid w:val="00DA5D29"/>
    <w:rsid w:val="00DA61B6"/>
    <w:rsid w:val="00DA6A3A"/>
    <w:rsid w:val="00DA6AE6"/>
    <w:rsid w:val="00DA7599"/>
    <w:rsid w:val="00DA759E"/>
    <w:rsid w:val="00DA75C7"/>
    <w:rsid w:val="00DA7886"/>
    <w:rsid w:val="00DA7B28"/>
    <w:rsid w:val="00DA7C7C"/>
    <w:rsid w:val="00DA7EC9"/>
    <w:rsid w:val="00DB0189"/>
    <w:rsid w:val="00DB02F5"/>
    <w:rsid w:val="00DB04A5"/>
    <w:rsid w:val="00DB0611"/>
    <w:rsid w:val="00DB080B"/>
    <w:rsid w:val="00DB080E"/>
    <w:rsid w:val="00DB09C5"/>
    <w:rsid w:val="00DB0B22"/>
    <w:rsid w:val="00DB0BC7"/>
    <w:rsid w:val="00DB1107"/>
    <w:rsid w:val="00DB11E0"/>
    <w:rsid w:val="00DB1731"/>
    <w:rsid w:val="00DB1A58"/>
    <w:rsid w:val="00DB1D23"/>
    <w:rsid w:val="00DB22BF"/>
    <w:rsid w:val="00DB241C"/>
    <w:rsid w:val="00DB2520"/>
    <w:rsid w:val="00DB276C"/>
    <w:rsid w:val="00DB28DB"/>
    <w:rsid w:val="00DB2A2D"/>
    <w:rsid w:val="00DB2E15"/>
    <w:rsid w:val="00DB2FDB"/>
    <w:rsid w:val="00DB31F6"/>
    <w:rsid w:val="00DB3465"/>
    <w:rsid w:val="00DB353B"/>
    <w:rsid w:val="00DB3971"/>
    <w:rsid w:val="00DB3993"/>
    <w:rsid w:val="00DB3C2F"/>
    <w:rsid w:val="00DB3C39"/>
    <w:rsid w:val="00DB4121"/>
    <w:rsid w:val="00DB435C"/>
    <w:rsid w:val="00DB47F4"/>
    <w:rsid w:val="00DB49CB"/>
    <w:rsid w:val="00DB4D1C"/>
    <w:rsid w:val="00DB4FA9"/>
    <w:rsid w:val="00DB50B5"/>
    <w:rsid w:val="00DB5273"/>
    <w:rsid w:val="00DB54BE"/>
    <w:rsid w:val="00DB5666"/>
    <w:rsid w:val="00DB5713"/>
    <w:rsid w:val="00DB5786"/>
    <w:rsid w:val="00DB5B79"/>
    <w:rsid w:val="00DB5B8B"/>
    <w:rsid w:val="00DB5DB6"/>
    <w:rsid w:val="00DB6046"/>
    <w:rsid w:val="00DB61C3"/>
    <w:rsid w:val="00DB68C5"/>
    <w:rsid w:val="00DB6964"/>
    <w:rsid w:val="00DB6DC7"/>
    <w:rsid w:val="00DB7236"/>
    <w:rsid w:val="00DB72F8"/>
    <w:rsid w:val="00DB732E"/>
    <w:rsid w:val="00DB7B3B"/>
    <w:rsid w:val="00DB7FF8"/>
    <w:rsid w:val="00DC0202"/>
    <w:rsid w:val="00DC023F"/>
    <w:rsid w:val="00DC029A"/>
    <w:rsid w:val="00DC03E0"/>
    <w:rsid w:val="00DC0493"/>
    <w:rsid w:val="00DC05FA"/>
    <w:rsid w:val="00DC0739"/>
    <w:rsid w:val="00DC0AB5"/>
    <w:rsid w:val="00DC0AD8"/>
    <w:rsid w:val="00DC1493"/>
    <w:rsid w:val="00DC156E"/>
    <w:rsid w:val="00DC185A"/>
    <w:rsid w:val="00DC18D6"/>
    <w:rsid w:val="00DC1902"/>
    <w:rsid w:val="00DC1BB4"/>
    <w:rsid w:val="00DC1DED"/>
    <w:rsid w:val="00DC2061"/>
    <w:rsid w:val="00DC289A"/>
    <w:rsid w:val="00DC2A55"/>
    <w:rsid w:val="00DC2BCE"/>
    <w:rsid w:val="00DC2CEE"/>
    <w:rsid w:val="00DC30BD"/>
    <w:rsid w:val="00DC333F"/>
    <w:rsid w:val="00DC365F"/>
    <w:rsid w:val="00DC3809"/>
    <w:rsid w:val="00DC3A19"/>
    <w:rsid w:val="00DC3A8F"/>
    <w:rsid w:val="00DC3CFD"/>
    <w:rsid w:val="00DC3D77"/>
    <w:rsid w:val="00DC3EFE"/>
    <w:rsid w:val="00DC4467"/>
    <w:rsid w:val="00DC4491"/>
    <w:rsid w:val="00DC450A"/>
    <w:rsid w:val="00DC492C"/>
    <w:rsid w:val="00DC494B"/>
    <w:rsid w:val="00DC4AE5"/>
    <w:rsid w:val="00DC4BA1"/>
    <w:rsid w:val="00DC5224"/>
    <w:rsid w:val="00DC52DA"/>
    <w:rsid w:val="00DC5332"/>
    <w:rsid w:val="00DC569B"/>
    <w:rsid w:val="00DC57FC"/>
    <w:rsid w:val="00DC5CD7"/>
    <w:rsid w:val="00DC5FBB"/>
    <w:rsid w:val="00DC6002"/>
    <w:rsid w:val="00DC6150"/>
    <w:rsid w:val="00DC638C"/>
    <w:rsid w:val="00DC63C1"/>
    <w:rsid w:val="00DC648A"/>
    <w:rsid w:val="00DC65A2"/>
    <w:rsid w:val="00DC6732"/>
    <w:rsid w:val="00DC68FD"/>
    <w:rsid w:val="00DC69F1"/>
    <w:rsid w:val="00DC6C99"/>
    <w:rsid w:val="00DC6EAB"/>
    <w:rsid w:val="00DC7092"/>
    <w:rsid w:val="00DC7569"/>
    <w:rsid w:val="00DC7772"/>
    <w:rsid w:val="00DC7AEB"/>
    <w:rsid w:val="00DC7E2B"/>
    <w:rsid w:val="00DD04DE"/>
    <w:rsid w:val="00DD09BB"/>
    <w:rsid w:val="00DD0CF6"/>
    <w:rsid w:val="00DD1025"/>
    <w:rsid w:val="00DD134B"/>
    <w:rsid w:val="00DD13FD"/>
    <w:rsid w:val="00DD1452"/>
    <w:rsid w:val="00DD16E9"/>
    <w:rsid w:val="00DD16F2"/>
    <w:rsid w:val="00DD16FC"/>
    <w:rsid w:val="00DD17B7"/>
    <w:rsid w:val="00DD1A03"/>
    <w:rsid w:val="00DD1BEC"/>
    <w:rsid w:val="00DD1C70"/>
    <w:rsid w:val="00DD1EA0"/>
    <w:rsid w:val="00DD209B"/>
    <w:rsid w:val="00DD2143"/>
    <w:rsid w:val="00DD21A0"/>
    <w:rsid w:val="00DD2485"/>
    <w:rsid w:val="00DD26F6"/>
    <w:rsid w:val="00DD2AB2"/>
    <w:rsid w:val="00DD2B15"/>
    <w:rsid w:val="00DD2D7F"/>
    <w:rsid w:val="00DD3038"/>
    <w:rsid w:val="00DD3238"/>
    <w:rsid w:val="00DD3335"/>
    <w:rsid w:val="00DD346D"/>
    <w:rsid w:val="00DD34A8"/>
    <w:rsid w:val="00DD3A67"/>
    <w:rsid w:val="00DD3DCD"/>
    <w:rsid w:val="00DD3F25"/>
    <w:rsid w:val="00DD42B2"/>
    <w:rsid w:val="00DD4780"/>
    <w:rsid w:val="00DD48CB"/>
    <w:rsid w:val="00DD4A5E"/>
    <w:rsid w:val="00DD4E13"/>
    <w:rsid w:val="00DD4E45"/>
    <w:rsid w:val="00DD4FFB"/>
    <w:rsid w:val="00DD5103"/>
    <w:rsid w:val="00DD5209"/>
    <w:rsid w:val="00DD52AE"/>
    <w:rsid w:val="00DD541A"/>
    <w:rsid w:val="00DD563E"/>
    <w:rsid w:val="00DD570E"/>
    <w:rsid w:val="00DD5747"/>
    <w:rsid w:val="00DD57CD"/>
    <w:rsid w:val="00DD5C26"/>
    <w:rsid w:val="00DD6155"/>
    <w:rsid w:val="00DD638B"/>
    <w:rsid w:val="00DD6478"/>
    <w:rsid w:val="00DD6796"/>
    <w:rsid w:val="00DD6C44"/>
    <w:rsid w:val="00DD6CBD"/>
    <w:rsid w:val="00DD7100"/>
    <w:rsid w:val="00DD754A"/>
    <w:rsid w:val="00DD76ED"/>
    <w:rsid w:val="00DD7BB4"/>
    <w:rsid w:val="00DD7EBE"/>
    <w:rsid w:val="00DE024E"/>
    <w:rsid w:val="00DE02CF"/>
    <w:rsid w:val="00DE03E7"/>
    <w:rsid w:val="00DE0569"/>
    <w:rsid w:val="00DE05F3"/>
    <w:rsid w:val="00DE0D52"/>
    <w:rsid w:val="00DE0DAF"/>
    <w:rsid w:val="00DE152D"/>
    <w:rsid w:val="00DE188E"/>
    <w:rsid w:val="00DE1AF0"/>
    <w:rsid w:val="00DE1B85"/>
    <w:rsid w:val="00DE1CA0"/>
    <w:rsid w:val="00DE1F44"/>
    <w:rsid w:val="00DE2154"/>
    <w:rsid w:val="00DE2250"/>
    <w:rsid w:val="00DE240F"/>
    <w:rsid w:val="00DE29B5"/>
    <w:rsid w:val="00DE29D3"/>
    <w:rsid w:val="00DE2BFD"/>
    <w:rsid w:val="00DE2D36"/>
    <w:rsid w:val="00DE2FC4"/>
    <w:rsid w:val="00DE3238"/>
    <w:rsid w:val="00DE333B"/>
    <w:rsid w:val="00DE37B0"/>
    <w:rsid w:val="00DE385C"/>
    <w:rsid w:val="00DE3A33"/>
    <w:rsid w:val="00DE3E4F"/>
    <w:rsid w:val="00DE4172"/>
    <w:rsid w:val="00DE41A5"/>
    <w:rsid w:val="00DE468A"/>
    <w:rsid w:val="00DE4837"/>
    <w:rsid w:val="00DE4AAF"/>
    <w:rsid w:val="00DE4CA4"/>
    <w:rsid w:val="00DE4FAC"/>
    <w:rsid w:val="00DE4FBE"/>
    <w:rsid w:val="00DE5079"/>
    <w:rsid w:val="00DE515E"/>
    <w:rsid w:val="00DE5355"/>
    <w:rsid w:val="00DE55EA"/>
    <w:rsid w:val="00DE57F3"/>
    <w:rsid w:val="00DE5940"/>
    <w:rsid w:val="00DE59AA"/>
    <w:rsid w:val="00DE5D45"/>
    <w:rsid w:val="00DE6659"/>
    <w:rsid w:val="00DE66E6"/>
    <w:rsid w:val="00DE6702"/>
    <w:rsid w:val="00DE67D2"/>
    <w:rsid w:val="00DE6C8E"/>
    <w:rsid w:val="00DE6FF4"/>
    <w:rsid w:val="00DE753F"/>
    <w:rsid w:val="00DE7691"/>
    <w:rsid w:val="00DE7889"/>
    <w:rsid w:val="00DE7A11"/>
    <w:rsid w:val="00DE7A9F"/>
    <w:rsid w:val="00DE7D07"/>
    <w:rsid w:val="00DE7FE6"/>
    <w:rsid w:val="00DF049E"/>
    <w:rsid w:val="00DF0A76"/>
    <w:rsid w:val="00DF0CB5"/>
    <w:rsid w:val="00DF0DE2"/>
    <w:rsid w:val="00DF0E61"/>
    <w:rsid w:val="00DF1183"/>
    <w:rsid w:val="00DF1652"/>
    <w:rsid w:val="00DF17D8"/>
    <w:rsid w:val="00DF1BC5"/>
    <w:rsid w:val="00DF1F73"/>
    <w:rsid w:val="00DF22AE"/>
    <w:rsid w:val="00DF2B37"/>
    <w:rsid w:val="00DF2BFC"/>
    <w:rsid w:val="00DF2FDC"/>
    <w:rsid w:val="00DF3197"/>
    <w:rsid w:val="00DF35A9"/>
    <w:rsid w:val="00DF35B2"/>
    <w:rsid w:val="00DF37FD"/>
    <w:rsid w:val="00DF3944"/>
    <w:rsid w:val="00DF3B07"/>
    <w:rsid w:val="00DF3C3A"/>
    <w:rsid w:val="00DF3C99"/>
    <w:rsid w:val="00DF40AC"/>
    <w:rsid w:val="00DF40CF"/>
    <w:rsid w:val="00DF42D1"/>
    <w:rsid w:val="00DF44B1"/>
    <w:rsid w:val="00DF4675"/>
    <w:rsid w:val="00DF49B3"/>
    <w:rsid w:val="00DF4C2A"/>
    <w:rsid w:val="00DF4F7E"/>
    <w:rsid w:val="00DF5226"/>
    <w:rsid w:val="00DF5365"/>
    <w:rsid w:val="00DF5786"/>
    <w:rsid w:val="00DF58DF"/>
    <w:rsid w:val="00DF58EF"/>
    <w:rsid w:val="00DF5A04"/>
    <w:rsid w:val="00DF61FE"/>
    <w:rsid w:val="00DF6531"/>
    <w:rsid w:val="00DF66BE"/>
    <w:rsid w:val="00DF6CDF"/>
    <w:rsid w:val="00DF6D2F"/>
    <w:rsid w:val="00DF70A6"/>
    <w:rsid w:val="00DF72CB"/>
    <w:rsid w:val="00DF740C"/>
    <w:rsid w:val="00DF75A4"/>
    <w:rsid w:val="00DF76F3"/>
    <w:rsid w:val="00DF7F41"/>
    <w:rsid w:val="00E0003F"/>
    <w:rsid w:val="00E0037E"/>
    <w:rsid w:val="00E00579"/>
    <w:rsid w:val="00E007C6"/>
    <w:rsid w:val="00E00DDD"/>
    <w:rsid w:val="00E00FF4"/>
    <w:rsid w:val="00E01290"/>
    <w:rsid w:val="00E013CF"/>
    <w:rsid w:val="00E01770"/>
    <w:rsid w:val="00E0196A"/>
    <w:rsid w:val="00E01B90"/>
    <w:rsid w:val="00E01CEB"/>
    <w:rsid w:val="00E01D61"/>
    <w:rsid w:val="00E01E30"/>
    <w:rsid w:val="00E01E38"/>
    <w:rsid w:val="00E02591"/>
    <w:rsid w:val="00E02696"/>
    <w:rsid w:val="00E027EC"/>
    <w:rsid w:val="00E02859"/>
    <w:rsid w:val="00E028E3"/>
    <w:rsid w:val="00E02A17"/>
    <w:rsid w:val="00E02B7B"/>
    <w:rsid w:val="00E02BDC"/>
    <w:rsid w:val="00E02F96"/>
    <w:rsid w:val="00E02FED"/>
    <w:rsid w:val="00E0358C"/>
    <w:rsid w:val="00E0376A"/>
    <w:rsid w:val="00E03B56"/>
    <w:rsid w:val="00E03DB8"/>
    <w:rsid w:val="00E03F69"/>
    <w:rsid w:val="00E04014"/>
    <w:rsid w:val="00E048D6"/>
    <w:rsid w:val="00E04A3B"/>
    <w:rsid w:val="00E04C26"/>
    <w:rsid w:val="00E04D43"/>
    <w:rsid w:val="00E04D87"/>
    <w:rsid w:val="00E04ED6"/>
    <w:rsid w:val="00E04FDC"/>
    <w:rsid w:val="00E05096"/>
    <w:rsid w:val="00E05312"/>
    <w:rsid w:val="00E05786"/>
    <w:rsid w:val="00E059CD"/>
    <w:rsid w:val="00E05A93"/>
    <w:rsid w:val="00E05D4C"/>
    <w:rsid w:val="00E06088"/>
    <w:rsid w:val="00E060F9"/>
    <w:rsid w:val="00E06151"/>
    <w:rsid w:val="00E062E4"/>
    <w:rsid w:val="00E06457"/>
    <w:rsid w:val="00E06588"/>
    <w:rsid w:val="00E0677D"/>
    <w:rsid w:val="00E067CC"/>
    <w:rsid w:val="00E06ACF"/>
    <w:rsid w:val="00E06AFB"/>
    <w:rsid w:val="00E07230"/>
    <w:rsid w:val="00E1017D"/>
    <w:rsid w:val="00E102F4"/>
    <w:rsid w:val="00E10512"/>
    <w:rsid w:val="00E1058A"/>
    <w:rsid w:val="00E106B8"/>
    <w:rsid w:val="00E106C1"/>
    <w:rsid w:val="00E10CB0"/>
    <w:rsid w:val="00E10F7D"/>
    <w:rsid w:val="00E10FAE"/>
    <w:rsid w:val="00E10FB8"/>
    <w:rsid w:val="00E11128"/>
    <w:rsid w:val="00E114D6"/>
    <w:rsid w:val="00E114E0"/>
    <w:rsid w:val="00E116B3"/>
    <w:rsid w:val="00E11789"/>
    <w:rsid w:val="00E117E8"/>
    <w:rsid w:val="00E11DA2"/>
    <w:rsid w:val="00E12058"/>
    <w:rsid w:val="00E12249"/>
    <w:rsid w:val="00E12298"/>
    <w:rsid w:val="00E122F6"/>
    <w:rsid w:val="00E12702"/>
    <w:rsid w:val="00E127AD"/>
    <w:rsid w:val="00E127FF"/>
    <w:rsid w:val="00E12A42"/>
    <w:rsid w:val="00E12A96"/>
    <w:rsid w:val="00E12C8D"/>
    <w:rsid w:val="00E12CD3"/>
    <w:rsid w:val="00E12E27"/>
    <w:rsid w:val="00E12F26"/>
    <w:rsid w:val="00E12F9A"/>
    <w:rsid w:val="00E12FD8"/>
    <w:rsid w:val="00E130CC"/>
    <w:rsid w:val="00E1311D"/>
    <w:rsid w:val="00E1315F"/>
    <w:rsid w:val="00E1331D"/>
    <w:rsid w:val="00E13345"/>
    <w:rsid w:val="00E13355"/>
    <w:rsid w:val="00E136BB"/>
    <w:rsid w:val="00E13746"/>
    <w:rsid w:val="00E13761"/>
    <w:rsid w:val="00E13A9C"/>
    <w:rsid w:val="00E13B43"/>
    <w:rsid w:val="00E13C72"/>
    <w:rsid w:val="00E13F56"/>
    <w:rsid w:val="00E1426F"/>
    <w:rsid w:val="00E1439E"/>
    <w:rsid w:val="00E1448C"/>
    <w:rsid w:val="00E1456C"/>
    <w:rsid w:val="00E14716"/>
    <w:rsid w:val="00E14860"/>
    <w:rsid w:val="00E14B70"/>
    <w:rsid w:val="00E14BF6"/>
    <w:rsid w:val="00E14C4A"/>
    <w:rsid w:val="00E1564A"/>
    <w:rsid w:val="00E157F2"/>
    <w:rsid w:val="00E15B0D"/>
    <w:rsid w:val="00E15F21"/>
    <w:rsid w:val="00E160DA"/>
    <w:rsid w:val="00E1616C"/>
    <w:rsid w:val="00E161FE"/>
    <w:rsid w:val="00E16342"/>
    <w:rsid w:val="00E1656F"/>
    <w:rsid w:val="00E166B6"/>
    <w:rsid w:val="00E166CC"/>
    <w:rsid w:val="00E16C73"/>
    <w:rsid w:val="00E16FBF"/>
    <w:rsid w:val="00E1742B"/>
    <w:rsid w:val="00E175D4"/>
    <w:rsid w:val="00E175F0"/>
    <w:rsid w:val="00E178F5"/>
    <w:rsid w:val="00E17970"/>
    <w:rsid w:val="00E17A39"/>
    <w:rsid w:val="00E17DB7"/>
    <w:rsid w:val="00E17ECD"/>
    <w:rsid w:val="00E202B2"/>
    <w:rsid w:val="00E20301"/>
    <w:rsid w:val="00E20349"/>
    <w:rsid w:val="00E2043C"/>
    <w:rsid w:val="00E2063E"/>
    <w:rsid w:val="00E20668"/>
    <w:rsid w:val="00E2080F"/>
    <w:rsid w:val="00E209CC"/>
    <w:rsid w:val="00E20CD2"/>
    <w:rsid w:val="00E214B0"/>
    <w:rsid w:val="00E21608"/>
    <w:rsid w:val="00E217A5"/>
    <w:rsid w:val="00E21AFB"/>
    <w:rsid w:val="00E21BE1"/>
    <w:rsid w:val="00E21F4D"/>
    <w:rsid w:val="00E21FED"/>
    <w:rsid w:val="00E222D8"/>
    <w:rsid w:val="00E22716"/>
    <w:rsid w:val="00E22905"/>
    <w:rsid w:val="00E22A2D"/>
    <w:rsid w:val="00E22D3E"/>
    <w:rsid w:val="00E2340E"/>
    <w:rsid w:val="00E23837"/>
    <w:rsid w:val="00E23B81"/>
    <w:rsid w:val="00E240D3"/>
    <w:rsid w:val="00E24405"/>
    <w:rsid w:val="00E246F5"/>
    <w:rsid w:val="00E2480E"/>
    <w:rsid w:val="00E2492A"/>
    <w:rsid w:val="00E24AB5"/>
    <w:rsid w:val="00E24CA3"/>
    <w:rsid w:val="00E24E9A"/>
    <w:rsid w:val="00E24F09"/>
    <w:rsid w:val="00E24FD3"/>
    <w:rsid w:val="00E2506F"/>
    <w:rsid w:val="00E2545B"/>
    <w:rsid w:val="00E2555F"/>
    <w:rsid w:val="00E255F4"/>
    <w:rsid w:val="00E258CA"/>
    <w:rsid w:val="00E25984"/>
    <w:rsid w:val="00E26212"/>
    <w:rsid w:val="00E266E6"/>
    <w:rsid w:val="00E26C51"/>
    <w:rsid w:val="00E2750F"/>
    <w:rsid w:val="00E276F4"/>
    <w:rsid w:val="00E27961"/>
    <w:rsid w:val="00E27A5E"/>
    <w:rsid w:val="00E27ADE"/>
    <w:rsid w:val="00E27D1F"/>
    <w:rsid w:val="00E27DDC"/>
    <w:rsid w:val="00E27EE1"/>
    <w:rsid w:val="00E30227"/>
    <w:rsid w:val="00E302F2"/>
    <w:rsid w:val="00E3042F"/>
    <w:rsid w:val="00E30892"/>
    <w:rsid w:val="00E30CC3"/>
    <w:rsid w:val="00E30EC7"/>
    <w:rsid w:val="00E3119E"/>
    <w:rsid w:val="00E31272"/>
    <w:rsid w:val="00E312C0"/>
    <w:rsid w:val="00E312CD"/>
    <w:rsid w:val="00E313EC"/>
    <w:rsid w:val="00E31406"/>
    <w:rsid w:val="00E31567"/>
    <w:rsid w:val="00E318C7"/>
    <w:rsid w:val="00E31C09"/>
    <w:rsid w:val="00E31E13"/>
    <w:rsid w:val="00E31F0D"/>
    <w:rsid w:val="00E32069"/>
    <w:rsid w:val="00E3226E"/>
    <w:rsid w:val="00E32343"/>
    <w:rsid w:val="00E32429"/>
    <w:rsid w:val="00E3253D"/>
    <w:rsid w:val="00E327EB"/>
    <w:rsid w:val="00E32826"/>
    <w:rsid w:val="00E32830"/>
    <w:rsid w:val="00E32AE6"/>
    <w:rsid w:val="00E32D6F"/>
    <w:rsid w:val="00E32E88"/>
    <w:rsid w:val="00E33857"/>
    <w:rsid w:val="00E338F4"/>
    <w:rsid w:val="00E33EE8"/>
    <w:rsid w:val="00E33F8C"/>
    <w:rsid w:val="00E33FF9"/>
    <w:rsid w:val="00E34132"/>
    <w:rsid w:val="00E34253"/>
    <w:rsid w:val="00E34292"/>
    <w:rsid w:val="00E3434C"/>
    <w:rsid w:val="00E34414"/>
    <w:rsid w:val="00E34621"/>
    <w:rsid w:val="00E348C4"/>
    <w:rsid w:val="00E34A8A"/>
    <w:rsid w:val="00E34EF8"/>
    <w:rsid w:val="00E352C4"/>
    <w:rsid w:val="00E356BB"/>
    <w:rsid w:val="00E3587C"/>
    <w:rsid w:val="00E35BFF"/>
    <w:rsid w:val="00E35F3A"/>
    <w:rsid w:val="00E3670A"/>
    <w:rsid w:val="00E3679B"/>
    <w:rsid w:val="00E36A45"/>
    <w:rsid w:val="00E36A7D"/>
    <w:rsid w:val="00E36ADA"/>
    <w:rsid w:val="00E3741D"/>
    <w:rsid w:val="00E375B0"/>
    <w:rsid w:val="00E37601"/>
    <w:rsid w:val="00E37619"/>
    <w:rsid w:val="00E3767C"/>
    <w:rsid w:val="00E37A16"/>
    <w:rsid w:val="00E37DF3"/>
    <w:rsid w:val="00E40022"/>
    <w:rsid w:val="00E401DF"/>
    <w:rsid w:val="00E40328"/>
    <w:rsid w:val="00E40413"/>
    <w:rsid w:val="00E409D0"/>
    <w:rsid w:val="00E40B7D"/>
    <w:rsid w:val="00E40C67"/>
    <w:rsid w:val="00E40E33"/>
    <w:rsid w:val="00E40F6F"/>
    <w:rsid w:val="00E4111B"/>
    <w:rsid w:val="00E412FC"/>
    <w:rsid w:val="00E414D9"/>
    <w:rsid w:val="00E41641"/>
    <w:rsid w:val="00E4182C"/>
    <w:rsid w:val="00E419C8"/>
    <w:rsid w:val="00E41C68"/>
    <w:rsid w:val="00E41DBC"/>
    <w:rsid w:val="00E41E54"/>
    <w:rsid w:val="00E41E8F"/>
    <w:rsid w:val="00E42013"/>
    <w:rsid w:val="00E420C2"/>
    <w:rsid w:val="00E42249"/>
    <w:rsid w:val="00E4227E"/>
    <w:rsid w:val="00E4244E"/>
    <w:rsid w:val="00E426BC"/>
    <w:rsid w:val="00E42CF0"/>
    <w:rsid w:val="00E42DD2"/>
    <w:rsid w:val="00E42F36"/>
    <w:rsid w:val="00E42F48"/>
    <w:rsid w:val="00E43072"/>
    <w:rsid w:val="00E4326C"/>
    <w:rsid w:val="00E433BF"/>
    <w:rsid w:val="00E434F5"/>
    <w:rsid w:val="00E437E5"/>
    <w:rsid w:val="00E439E6"/>
    <w:rsid w:val="00E43FC7"/>
    <w:rsid w:val="00E44250"/>
    <w:rsid w:val="00E444F8"/>
    <w:rsid w:val="00E44769"/>
    <w:rsid w:val="00E447BA"/>
    <w:rsid w:val="00E44921"/>
    <w:rsid w:val="00E44CF5"/>
    <w:rsid w:val="00E44D2F"/>
    <w:rsid w:val="00E44EB7"/>
    <w:rsid w:val="00E44FEB"/>
    <w:rsid w:val="00E451B8"/>
    <w:rsid w:val="00E45370"/>
    <w:rsid w:val="00E45A43"/>
    <w:rsid w:val="00E45C32"/>
    <w:rsid w:val="00E45D8A"/>
    <w:rsid w:val="00E45F3D"/>
    <w:rsid w:val="00E467D2"/>
    <w:rsid w:val="00E469A6"/>
    <w:rsid w:val="00E46B42"/>
    <w:rsid w:val="00E46F35"/>
    <w:rsid w:val="00E47152"/>
    <w:rsid w:val="00E473D6"/>
    <w:rsid w:val="00E47A77"/>
    <w:rsid w:val="00E47D8F"/>
    <w:rsid w:val="00E501FA"/>
    <w:rsid w:val="00E504AF"/>
    <w:rsid w:val="00E50614"/>
    <w:rsid w:val="00E50673"/>
    <w:rsid w:val="00E50E75"/>
    <w:rsid w:val="00E50EE6"/>
    <w:rsid w:val="00E51096"/>
    <w:rsid w:val="00E51274"/>
    <w:rsid w:val="00E51553"/>
    <w:rsid w:val="00E51B08"/>
    <w:rsid w:val="00E51EE2"/>
    <w:rsid w:val="00E51F32"/>
    <w:rsid w:val="00E51F92"/>
    <w:rsid w:val="00E51FC2"/>
    <w:rsid w:val="00E523DD"/>
    <w:rsid w:val="00E5252F"/>
    <w:rsid w:val="00E525B8"/>
    <w:rsid w:val="00E5288B"/>
    <w:rsid w:val="00E52BB6"/>
    <w:rsid w:val="00E52CF1"/>
    <w:rsid w:val="00E52E60"/>
    <w:rsid w:val="00E52F3A"/>
    <w:rsid w:val="00E52FD6"/>
    <w:rsid w:val="00E532C6"/>
    <w:rsid w:val="00E537AC"/>
    <w:rsid w:val="00E53AA9"/>
    <w:rsid w:val="00E53B44"/>
    <w:rsid w:val="00E53C52"/>
    <w:rsid w:val="00E53EDD"/>
    <w:rsid w:val="00E54120"/>
    <w:rsid w:val="00E542EB"/>
    <w:rsid w:val="00E54310"/>
    <w:rsid w:val="00E54502"/>
    <w:rsid w:val="00E5466F"/>
    <w:rsid w:val="00E54744"/>
    <w:rsid w:val="00E5481F"/>
    <w:rsid w:val="00E54A44"/>
    <w:rsid w:val="00E54BF6"/>
    <w:rsid w:val="00E54E65"/>
    <w:rsid w:val="00E54FF7"/>
    <w:rsid w:val="00E55229"/>
    <w:rsid w:val="00E552FB"/>
    <w:rsid w:val="00E55591"/>
    <w:rsid w:val="00E556E0"/>
    <w:rsid w:val="00E55A18"/>
    <w:rsid w:val="00E55E2C"/>
    <w:rsid w:val="00E55F46"/>
    <w:rsid w:val="00E55F5A"/>
    <w:rsid w:val="00E56D79"/>
    <w:rsid w:val="00E57143"/>
    <w:rsid w:val="00E57AB2"/>
    <w:rsid w:val="00E6035D"/>
    <w:rsid w:val="00E60368"/>
    <w:rsid w:val="00E60396"/>
    <w:rsid w:val="00E60422"/>
    <w:rsid w:val="00E604BF"/>
    <w:rsid w:val="00E60751"/>
    <w:rsid w:val="00E60C79"/>
    <w:rsid w:val="00E61784"/>
    <w:rsid w:val="00E619D8"/>
    <w:rsid w:val="00E61BFF"/>
    <w:rsid w:val="00E61FF2"/>
    <w:rsid w:val="00E6200F"/>
    <w:rsid w:val="00E622F5"/>
    <w:rsid w:val="00E62337"/>
    <w:rsid w:val="00E62461"/>
    <w:rsid w:val="00E624FB"/>
    <w:rsid w:val="00E62D00"/>
    <w:rsid w:val="00E62F46"/>
    <w:rsid w:val="00E63229"/>
    <w:rsid w:val="00E63736"/>
    <w:rsid w:val="00E6397E"/>
    <w:rsid w:val="00E6416A"/>
    <w:rsid w:val="00E64EBD"/>
    <w:rsid w:val="00E65192"/>
    <w:rsid w:val="00E652B2"/>
    <w:rsid w:val="00E652F5"/>
    <w:rsid w:val="00E65815"/>
    <w:rsid w:val="00E6581E"/>
    <w:rsid w:val="00E65DFD"/>
    <w:rsid w:val="00E65FC2"/>
    <w:rsid w:val="00E6610F"/>
    <w:rsid w:val="00E663F6"/>
    <w:rsid w:val="00E66560"/>
    <w:rsid w:val="00E6664E"/>
    <w:rsid w:val="00E6665E"/>
    <w:rsid w:val="00E6691F"/>
    <w:rsid w:val="00E66AFB"/>
    <w:rsid w:val="00E66C5A"/>
    <w:rsid w:val="00E66DB4"/>
    <w:rsid w:val="00E6723A"/>
    <w:rsid w:val="00E672DC"/>
    <w:rsid w:val="00E67F5B"/>
    <w:rsid w:val="00E7011F"/>
    <w:rsid w:val="00E702C6"/>
    <w:rsid w:val="00E702E4"/>
    <w:rsid w:val="00E7031B"/>
    <w:rsid w:val="00E7036A"/>
    <w:rsid w:val="00E70843"/>
    <w:rsid w:val="00E70A1D"/>
    <w:rsid w:val="00E70C73"/>
    <w:rsid w:val="00E70CE3"/>
    <w:rsid w:val="00E70FD3"/>
    <w:rsid w:val="00E71146"/>
    <w:rsid w:val="00E71438"/>
    <w:rsid w:val="00E71499"/>
    <w:rsid w:val="00E71806"/>
    <w:rsid w:val="00E7192B"/>
    <w:rsid w:val="00E71A2E"/>
    <w:rsid w:val="00E71DD0"/>
    <w:rsid w:val="00E71EB0"/>
    <w:rsid w:val="00E7227B"/>
    <w:rsid w:val="00E7247B"/>
    <w:rsid w:val="00E72A91"/>
    <w:rsid w:val="00E72ACB"/>
    <w:rsid w:val="00E72B8A"/>
    <w:rsid w:val="00E72DD0"/>
    <w:rsid w:val="00E72E93"/>
    <w:rsid w:val="00E72FF2"/>
    <w:rsid w:val="00E731E8"/>
    <w:rsid w:val="00E733DC"/>
    <w:rsid w:val="00E73A62"/>
    <w:rsid w:val="00E73CD6"/>
    <w:rsid w:val="00E742A0"/>
    <w:rsid w:val="00E74509"/>
    <w:rsid w:val="00E7495C"/>
    <w:rsid w:val="00E74F92"/>
    <w:rsid w:val="00E7505E"/>
    <w:rsid w:val="00E75548"/>
    <w:rsid w:val="00E75694"/>
    <w:rsid w:val="00E757A3"/>
    <w:rsid w:val="00E760E2"/>
    <w:rsid w:val="00E761ED"/>
    <w:rsid w:val="00E768A2"/>
    <w:rsid w:val="00E76A78"/>
    <w:rsid w:val="00E76C2F"/>
    <w:rsid w:val="00E76E14"/>
    <w:rsid w:val="00E77066"/>
    <w:rsid w:val="00E771C1"/>
    <w:rsid w:val="00E7738C"/>
    <w:rsid w:val="00E773F4"/>
    <w:rsid w:val="00E77451"/>
    <w:rsid w:val="00E774B6"/>
    <w:rsid w:val="00E779A8"/>
    <w:rsid w:val="00E77AE4"/>
    <w:rsid w:val="00E77C14"/>
    <w:rsid w:val="00E8031E"/>
    <w:rsid w:val="00E8066C"/>
    <w:rsid w:val="00E807B7"/>
    <w:rsid w:val="00E809A9"/>
    <w:rsid w:val="00E80B69"/>
    <w:rsid w:val="00E80D3F"/>
    <w:rsid w:val="00E8108B"/>
    <w:rsid w:val="00E81107"/>
    <w:rsid w:val="00E812CA"/>
    <w:rsid w:val="00E81545"/>
    <w:rsid w:val="00E81915"/>
    <w:rsid w:val="00E81A2D"/>
    <w:rsid w:val="00E81E9F"/>
    <w:rsid w:val="00E82080"/>
    <w:rsid w:val="00E8214B"/>
    <w:rsid w:val="00E82213"/>
    <w:rsid w:val="00E825F6"/>
    <w:rsid w:val="00E82696"/>
    <w:rsid w:val="00E826D5"/>
    <w:rsid w:val="00E82C13"/>
    <w:rsid w:val="00E82C1F"/>
    <w:rsid w:val="00E82C3C"/>
    <w:rsid w:val="00E830B2"/>
    <w:rsid w:val="00E830B5"/>
    <w:rsid w:val="00E830BF"/>
    <w:rsid w:val="00E83461"/>
    <w:rsid w:val="00E83704"/>
    <w:rsid w:val="00E8373A"/>
    <w:rsid w:val="00E83916"/>
    <w:rsid w:val="00E83BF1"/>
    <w:rsid w:val="00E83C8F"/>
    <w:rsid w:val="00E83EED"/>
    <w:rsid w:val="00E842EA"/>
    <w:rsid w:val="00E84430"/>
    <w:rsid w:val="00E84436"/>
    <w:rsid w:val="00E848D2"/>
    <w:rsid w:val="00E849F3"/>
    <w:rsid w:val="00E84A7E"/>
    <w:rsid w:val="00E84DFB"/>
    <w:rsid w:val="00E852B5"/>
    <w:rsid w:val="00E8544C"/>
    <w:rsid w:val="00E85753"/>
    <w:rsid w:val="00E85B7B"/>
    <w:rsid w:val="00E85C4E"/>
    <w:rsid w:val="00E85E9D"/>
    <w:rsid w:val="00E8618B"/>
    <w:rsid w:val="00E865F0"/>
    <w:rsid w:val="00E867AB"/>
    <w:rsid w:val="00E867BB"/>
    <w:rsid w:val="00E86961"/>
    <w:rsid w:val="00E869DA"/>
    <w:rsid w:val="00E86A79"/>
    <w:rsid w:val="00E86C78"/>
    <w:rsid w:val="00E86E26"/>
    <w:rsid w:val="00E86EED"/>
    <w:rsid w:val="00E86F1B"/>
    <w:rsid w:val="00E871B9"/>
    <w:rsid w:val="00E8729B"/>
    <w:rsid w:val="00E872E4"/>
    <w:rsid w:val="00E87842"/>
    <w:rsid w:val="00E87ED5"/>
    <w:rsid w:val="00E901E8"/>
    <w:rsid w:val="00E90992"/>
    <w:rsid w:val="00E909D8"/>
    <w:rsid w:val="00E90F21"/>
    <w:rsid w:val="00E91353"/>
    <w:rsid w:val="00E916A2"/>
    <w:rsid w:val="00E91D37"/>
    <w:rsid w:val="00E91FAB"/>
    <w:rsid w:val="00E920A5"/>
    <w:rsid w:val="00E92126"/>
    <w:rsid w:val="00E9213C"/>
    <w:rsid w:val="00E922D7"/>
    <w:rsid w:val="00E924BD"/>
    <w:rsid w:val="00E92561"/>
    <w:rsid w:val="00E92735"/>
    <w:rsid w:val="00E92E69"/>
    <w:rsid w:val="00E92F8E"/>
    <w:rsid w:val="00E936EE"/>
    <w:rsid w:val="00E93985"/>
    <w:rsid w:val="00E943A4"/>
    <w:rsid w:val="00E943F9"/>
    <w:rsid w:val="00E9447B"/>
    <w:rsid w:val="00E946E8"/>
    <w:rsid w:val="00E94BC2"/>
    <w:rsid w:val="00E94C68"/>
    <w:rsid w:val="00E94EE5"/>
    <w:rsid w:val="00E9534E"/>
    <w:rsid w:val="00E95460"/>
    <w:rsid w:val="00E9599B"/>
    <w:rsid w:val="00E95B45"/>
    <w:rsid w:val="00E95F52"/>
    <w:rsid w:val="00E9657B"/>
    <w:rsid w:val="00E967C0"/>
    <w:rsid w:val="00E9694D"/>
    <w:rsid w:val="00E96B07"/>
    <w:rsid w:val="00E97143"/>
    <w:rsid w:val="00E971DF"/>
    <w:rsid w:val="00E9723A"/>
    <w:rsid w:val="00E97957"/>
    <w:rsid w:val="00E9797E"/>
    <w:rsid w:val="00E97B14"/>
    <w:rsid w:val="00E97B29"/>
    <w:rsid w:val="00E97EEC"/>
    <w:rsid w:val="00EA006A"/>
    <w:rsid w:val="00EA089B"/>
    <w:rsid w:val="00EA08B8"/>
    <w:rsid w:val="00EA0965"/>
    <w:rsid w:val="00EA0ADE"/>
    <w:rsid w:val="00EA0F33"/>
    <w:rsid w:val="00EA1259"/>
    <w:rsid w:val="00EA158E"/>
    <w:rsid w:val="00EA1591"/>
    <w:rsid w:val="00EA17E6"/>
    <w:rsid w:val="00EA1999"/>
    <w:rsid w:val="00EA1BDC"/>
    <w:rsid w:val="00EA1CD5"/>
    <w:rsid w:val="00EA20FD"/>
    <w:rsid w:val="00EA2278"/>
    <w:rsid w:val="00EA28F6"/>
    <w:rsid w:val="00EA29CA"/>
    <w:rsid w:val="00EA2B9E"/>
    <w:rsid w:val="00EA2C0B"/>
    <w:rsid w:val="00EA2D93"/>
    <w:rsid w:val="00EA3235"/>
    <w:rsid w:val="00EA32C3"/>
    <w:rsid w:val="00EA3543"/>
    <w:rsid w:val="00EA359B"/>
    <w:rsid w:val="00EA3735"/>
    <w:rsid w:val="00EA3CE9"/>
    <w:rsid w:val="00EA3E28"/>
    <w:rsid w:val="00EA41E2"/>
    <w:rsid w:val="00EA485E"/>
    <w:rsid w:val="00EA4A56"/>
    <w:rsid w:val="00EA4A8A"/>
    <w:rsid w:val="00EA4BCB"/>
    <w:rsid w:val="00EA4C6C"/>
    <w:rsid w:val="00EA522F"/>
    <w:rsid w:val="00EA5429"/>
    <w:rsid w:val="00EA5589"/>
    <w:rsid w:val="00EA570B"/>
    <w:rsid w:val="00EA5FF0"/>
    <w:rsid w:val="00EA60F2"/>
    <w:rsid w:val="00EA6966"/>
    <w:rsid w:val="00EA69D0"/>
    <w:rsid w:val="00EA6C7D"/>
    <w:rsid w:val="00EA6C93"/>
    <w:rsid w:val="00EA6CB4"/>
    <w:rsid w:val="00EA6CCA"/>
    <w:rsid w:val="00EA6EB5"/>
    <w:rsid w:val="00EA7348"/>
    <w:rsid w:val="00EA7481"/>
    <w:rsid w:val="00EA798C"/>
    <w:rsid w:val="00EA7B88"/>
    <w:rsid w:val="00EA7E91"/>
    <w:rsid w:val="00EA7EE6"/>
    <w:rsid w:val="00EB046F"/>
    <w:rsid w:val="00EB0AB4"/>
    <w:rsid w:val="00EB0CCF"/>
    <w:rsid w:val="00EB1199"/>
    <w:rsid w:val="00EB11CF"/>
    <w:rsid w:val="00EB129F"/>
    <w:rsid w:val="00EB131D"/>
    <w:rsid w:val="00EB148A"/>
    <w:rsid w:val="00EB153A"/>
    <w:rsid w:val="00EB171D"/>
    <w:rsid w:val="00EB1B0C"/>
    <w:rsid w:val="00EB1EDB"/>
    <w:rsid w:val="00EB215E"/>
    <w:rsid w:val="00EB252D"/>
    <w:rsid w:val="00EB2570"/>
    <w:rsid w:val="00EB2617"/>
    <w:rsid w:val="00EB2929"/>
    <w:rsid w:val="00EB2AF9"/>
    <w:rsid w:val="00EB2DE4"/>
    <w:rsid w:val="00EB2F8D"/>
    <w:rsid w:val="00EB3000"/>
    <w:rsid w:val="00EB3139"/>
    <w:rsid w:val="00EB319C"/>
    <w:rsid w:val="00EB32D8"/>
    <w:rsid w:val="00EB3314"/>
    <w:rsid w:val="00EB3836"/>
    <w:rsid w:val="00EB3A6F"/>
    <w:rsid w:val="00EB44A2"/>
    <w:rsid w:val="00EB44C3"/>
    <w:rsid w:val="00EB45ED"/>
    <w:rsid w:val="00EB50AE"/>
    <w:rsid w:val="00EB55F0"/>
    <w:rsid w:val="00EB5963"/>
    <w:rsid w:val="00EB5B31"/>
    <w:rsid w:val="00EB5C3A"/>
    <w:rsid w:val="00EB5C5B"/>
    <w:rsid w:val="00EB5D59"/>
    <w:rsid w:val="00EB60DD"/>
    <w:rsid w:val="00EB61AC"/>
    <w:rsid w:val="00EB684D"/>
    <w:rsid w:val="00EB6878"/>
    <w:rsid w:val="00EB6895"/>
    <w:rsid w:val="00EB6B23"/>
    <w:rsid w:val="00EB6DCF"/>
    <w:rsid w:val="00EB76AE"/>
    <w:rsid w:val="00EB792D"/>
    <w:rsid w:val="00EB7B03"/>
    <w:rsid w:val="00EB7C6F"/>
    <w:rsid w:val="00EC052F"/>
    <w:rsid w:val="00EC0634"/>
    <w:rsid w:val="00EC084F"/>
    <w:rsid w:val="00EC08BC"/>
    <w:rsid w:val="00EC09C8"/>
    <w:rsid w:val="00EC0C8C"/>
    <w:rsid w:val="00EC0FA0"/>
    <w:rsid w:val="00EC0FF8"/>
    <w:rsid w:val="00EC101C"/>
    <w:rsid w:val="00EC1074"/>
    <w:rsid w:val="00EC1155"/>
    <w:rsid w:val="00EC13AD"/>
    <w:rsid w:val="00EC141C"/>
    <w:rsid w:val="00EC14A3"/>
    <w:rsid w:val="00EC15EE"/>
    <w:rsid w:val="00EC17E3"/>
    <w:rsid w:val="00EC17F9"/>
    <w:rsid w:val="00EC1A54"/>
    <w:rsid w:val="00EC20AC"/>
    <w:rsid w:val="00EC24A3"/>
    <w:rsid w:val="00EC263B"/>
    <w:rsid w:val="00EC278D"/>
    <w:rsid w:val="00EC2A78"/>
    <w:rsid w:val="00EC3007"/>
    <w:rsid w:val="00EC31FF"/>
    <w:rsid w:val="00EC3274"/>
    <w:rsid w:val="00EC33AF"/>
    <w:rsid w:val="00EC33D9"/>
    <w:rsid w:val="00EC3648"/>
    <w:rsid w:val="00EC3958"/>
    <w:rsid w:val="00EC3D08"/>
    <w:rsid w:val="00EC3D1C"/>
    <w:rsid w:val="00EC3D69"/>
    <w:rsid w:val="00EC44DB"/>
    <w:rsid w:val="00EC495E"/>
    <w:rsid w:val="00EC4C86"/>
    <w:rsid w:val="00EC4D74"/>
    <w:rsid w:val="00EC4E4D"/>
    <w:rsid w:val="00EC4EEB"/>
    <w:rsid w:val="00EC5183"/>
    <w:rsid w:val="00EC58C0"/>
    <w:rsid w:val="00EC5B7E"/>
    <w:rsid w:val="00EC69B5"/>
    <w:rsid w:val="00EC6AEE"/>
    <w:rsid w:val="00EC6B03"/>
    <w:rsid w:val="00EC6DCF"/>
    <w:rsid w:val="00EC6FAA"/>
    <w:rsid w:val="00EC7133"/>
    <w:rsid w:val="00EC7381"/>
    <w:rsid w:val="00EC79EA"/>
    <w:rsid w:val="00EC7CA5"/>
    <w:rsid w:val="00ED00D9"/>
    <w:rsid w:val="00ED0416"/>
    <w:rsid w:val="00ED0628"/>
    <w:rsid w:val="00ED0632"/>
    <w:rsid w:val="00ED09B4"/>
    <w:rsid w:val="00ED0A1F"/>
    <w:rsid w:val="00ED0B7E"/>
    <w:rsid w:val="00ED0DD5"/>
    <w:rsid w:val="00ED116F"/>
    <w:rsid w:val="00ED1602"/>
    <w:rsid w:val="00ED16CA"/>
    <w:rsid w:val="00ED17BB"/>
    <w:rsid w:val="00ED1AFC"/>
    <w:rsid w:val="00ED1C54"/>
    <w:rsid w:val="00ED1D52"/>
    <w:rsid w:val="00ED1E22"/>
    <w:rsid w:val="00ED20FE"/>
    <w:rsid w:val="00ED2110"/>
    <w:rsid w:val="00ED242E"/>
    <w:rsid w:val="00ED246D"/>
    <w:rsid w:val="00ED24AD"/>
    <w:rsid w:val="00ED2634"/>
    <w:rsid w:val="00ED2697"/>
    <w:rsid w:val="00ED28F0"/>
    <w:rsid w:val="00ED2991"/>
    <w:rsid w:val="00ED29FC"/>
    <w:rsid w:val="00ED2EDC"/>
    <w:rsid w:val="00ED30E1"/>
    <w:rsid w:val="00ED3761"/>
    <w:rsid w:val="00ED39EC"/>
    <w:rsid w:val="00ED3C33"/>
    <w:rsid w:val="00ED3FC1"/>
    <w:rsid w:val="00ED4091"/>
    <w:rsid w:val="00ED4123"/>
    <w:rsid w:val="00ED432D"/>
    <w:rsid w:val="00ED4356"/>
    <w:rsid w:val="00ED4D40"/>
    <w:rsid w:val="00ED4D8B"/>
    <w:rsid w:val="00ED51C3"/>
    <w:rsid w:val="00ED520D"/>
    <w:rsid w:val="00ED544D"/>
    <w:rsid w:val="00ED56D5"/>
    <w:rsid w:val="00ED56E1"/>
    <w:rsid w:val="00ED595D"/>
    <w:rsid w:val="00ED5980"/>
    <w:rsid w:val="00ED5B72"/>
    <w:rsid w:val="00ED5BEE"/>
    <w:rsid w:val="00ED5C09"/>
    <w:rsid w:val="00ED5D76"/>
    <w:rsid w:val="00ED5FA4"/>
    <w:rsid w:val="00ED655B"/>
    <w:rsid w:val="00ED668B"/>
    <w:rsid w:val="00ED6913"/>
    <w:rsid w:val="00ED6A3B"/>
    <w:rsid w:val="00ED6C5C"/>
    <w:rsid w:val="00ED72CD"/>
    <w:rsid w:val="00ED745C"/>
    <w:rsid w:val="00ED76E9"/>
    <w:rsid w:val="00ED79EA"/>
    <w:rsid w:val="00ED7B7E"/>
    <w:rsid w:val="00ED7CDE"/>
    <w:rsid w:val="00EE032C"/>
    <w:rsid w:val="00EE0649"/>
    <w:rsid w:val="00EE06D7"/>
    <w:rsid w:val="00EE084A"/>
    <w:rsid w:val="00EE084E"/>
    <w:rsid w:val="00EE0A79"/>
    <w:rsid w:val="00EE0DF5"/>
    <w:rsid w:val="00EE0F4E"/>
    <w:rsid w:val="00EE1169"/>
    <w:rsid w:val="00EE1372"/>
    <w:rsid w:val="00EE1879"/>
    <w:rsid w:val="00EE18C6"/>
    <w:rsid w:val="00EE1AEB"/>
    <w:rsid w:val="00EE1B55"/>
    <w:rsid w:val="00EE1B6E"/>
    <w:rsid w:val="00EE2077"/>
    <w:rsid w:val="00EE2578"/>
    <w:rsid w:val="00EE25EE"/>
    <w:rsid w:val="00EE26C8"/>
    <w:rsid w:val="00EE27D3"/>
    <w:rsid w:val="00EE2852"/>
    <w:rsid w:val="00EE2C17"/>
    <w:rsid w:val="00EE314C"/>
    <w:rsid w:val="00EE346E"/>
    <w:rsid w:val="00EE3AE2"/>
    <w:rsid w:val="00EE3D52"/>
    <w:rsid w:val="00EE3FCB"/>
    <w:rsid w:val="00EE42BC"/>
    <w:rsid w:val="00EE42E0"/>
    <w:rsid w:val="00EE43CF"/>
    <w:rsid w:val="00EE460B"/>
    <w:rsid w:val="00EE48A8"/>
    <w:rsid w:val="00EE48F7"/>
    <w:rsid w:val="00EE4A1D"/>
    <w:rsid w:val="00EE4ACB"/>
    <w:rsid w:val="00EE4FE6"/>
    <w:rsid w:val="00EE5157"/>
    <w:rsid w:val="00EE528C"/>
    <w:rsid w:val="00EE52A2"/>
    <w:rsid w:val="00EE549E"/>
    <w:rsid w:val="00EE54DB"/>
    <w:rsid w:val="00EE55DA"/>
    <w:rsid w:val="00EE5616"/>
    <w:rsid w:val="00EE5A82"/>
    <w:rsid w:val="00EE5D6A"/>
    <w:rsid w:val="00EE61FF"/>
    <w:rsid w:val="00EE622B"/>
    <w:rsid w:val="00EE6266"/>
    <w:rsid w:val="00EE63FD"/>
    <w:rsid w:val="00EE683C"/>
    <w:rsid w:val="00EE6E36"/>
    <w:rsid w:val="00EE6EFD"/>
    <w:rsid w:val="00EE6F11"/>
    <w:rsid w:val="00EE6F70"/>
    <w:rsid w:val="00EE72AC"/>
    <w:rsid w:val="00EE7556"/>
    <w:rsid w:val="00EE759A"/>
    <w:rsid w:val="00EE7724"/>
    <w:rsid w:val="00EE77C9"/>
    <w:rsid w:val="00EE7827"/>
    <w:rsid w:val="00EE7D84"/>
    <w:rsid w:val="00EE7F92"/>
    <w:rsid w:val="00EF0189"/>
    <w:rsid w:val="00EF0467"/>
    <w:rsid w:val="00EF07E1"/>
    <w:rsid w:val="00EF0AD9"/>
    <w:rsid w:val="00EF0DE1"/>
    <w:rsid w:val="00EF0E18"/>
    <w:rsid w:val="00EF0EF6"/>
    <w:rsid w:val="00EF10C6"/>
    <w:rsid w:val="00EF10CA"/>
    <w:rsid w:val="00EF15F1"/>
    <w:rsid w:val="00EF17F7"/>
    <w:rsid w:val="00EF1C1E"/>
    <w:rsid w:val="00EF1D96"/>
    <w:rsid w:val="00EF25C9"/>
    <w:rsid w:val="00EF2852"/>
    <w:rsid w:val="00EF2B41"/>
    <w:rsid w:val="00EF2F97"/>
    <w:rsid w:val="00EF319C"/>
    <w:rsid w:val="00EF330A"/>
    <w:rsid w:val="00EF3428"/>
    <w:rsid w:val="00EF35D5"/>
    <w:rsid w:val="00EF3B53"/>
    <w:rsid w:val="00EF3BCE"/>
    <w:rsid w:val="00EF3D23"/>
    <w:rsid w:val="00EF3F71"/>
    <w:rsid w:val="00EF41A2"/>
    <w:rsid w:val="00EF42A1"/>
    <w:rsid w:val="00EF43A9"/>
    <w:rsid w:val="00EF4BBC"/>
    <w:rsid w:val="00EF4D38"/>
    <w:rsid w:val="00EF4E58"/>
    <w:rsid w:val="00EF500E"/>
    <w:rsid w:val="00EF50CE"/>
    <w:rsid w:val="00EF50D4"/>
    <w:rsid w:val="00EF50DC"/>
    <w:rsid w:val="00EF51F6"/>
    <w:rsid w:val="00EF56C7"/>
    <w:rsid w:val="00EF5779"/>
    <w:rsid w:val="00EF580D"/>
    <w:rsid w:val="00EF5828"/>
    <w:rsid w:val="00EF589E"/>
    <w:rsid w:val="00EF5A96"/>
    <w:rsid w:val="00EF5C02"/>
    <w:rsid w:val="00EF5C46"/>
    <w:rsid w:val="00EF5E8A"/>
    <w:rsid w:val="00EF616E"/>
    <w:rsid w:val="00EF6445"/>
    <w:rsid w:val="00EF647F"/>
    <w:rsid w:val="00EF6BF2"/>
    <w:rsid w:val="00EF6D12"/>
    <w:rsid w:val="00EF6EFF"/>
    <w:rsid w:val="00EF7070"/>
    <w:rsid w:val="00EF7140"/>
    <w:rsid w:val="00EF7386"/>
    <w:rsid w:val="00EF7618"/>
    <w:rsid w:val="00EF7865"/>
    <w:rsid w:val="00EF7890"/>
    <w:rsid w:val="00EF799E"/>
    <w:rsid w:val="00EF79C0"/>
    <w:rsid w:val="00EF7BA7"/>
    <w:rsid w:val="00F0001E"/>
    <w:rsid w:val="00F004CE"/>
    <w:rsid w:val="00F00931"/>
    <w:rsid w:val="00F009D9"/>
    <w:rsid w:val="00F00CA4"/>
    <w:rsid w:val="00F00CC6"/>
    <w:rsid w:val="00F011C2"/>
    <w:rsid w:val="00F0120C"/>
    <w:rsid w:val="00F01248"/>
    <w:rsid w:val="00F01325"/>
    <w:rsid w:val="00F0185F"/>
    <w:rsid w:val="00F01D6C"/>
    <w:rsid w:val="00F01EE8"/>
    <w:rsid w:val="00F01F8B"/>
    <w:rsid w:val="00F0236D"/>
    <w:rsid w:val="00F023AB"/>
    <w:rsid w:val="00F0256B"/>
    <w:rsid w:val="00F02661"/>
    <w:rsid w:val="00F029A8"/>
    <w:rsid w:val="00F035B4"/>
    <w:rsid w:val="00F039A6"/>
    <w:rsid w:val="00F03ECF"/>
    <w:rsid w:val="00F03F41"/>
    <w:rsid w:val="00F0426A"/>
    <w:rsid w:val="00F04334"/>
    <w:rsid w:val="00F0469E"/>
    <w:rsid w:val="00F04709"/>
    <w:rsid w:val="00F04A98"/>
    <w:rsid w:val="00F04CE4"/>
    <w:rsid w:val="00F05046"/>
    <w:rsid w:val="00F0526A"/>
    <w:rsid w:val="00F053BD"/>
    <w:rsid w:val="00F054A7"/>
    <w:rsid w:val="00F05950"/>
    <w:rsid w:val="00F05B33"/>
    <w:rsid w:val="00F05DA3"/>
    <w:rsid w:val="00F063BA"/>
    <w:rsid w:val="00F0650E"/>
    <w:rsid w:val="00F06A6F"/>
    <w:rsid w:val="00F06B54"/>
    <w:rsid w:val="00F06E1E"/>
    <w:rsid w:val="00F06EFA"/>
    <w:rsid w:val="00F0719B"/>
    <w:rsid w:val="00F071F1"/>
    <w:rsid w:val="00F075FB"/>
    <w:rsid w:val="00F07B48"/>
    <w:rsid w:val="00F07F95"/>
    <w:rsid w:val="00F10558"/>
    <w:rsid w:val="00F1066D"/>
    <w:rsid w:val="00F108A0"/>
    <w:rsid w:val="00F10AEB"/>
    <w:rsid w:val="00F10C89"/>
    <w:rsid w:val="00F10CD9"/>
    <w:rsid w:val="00F10E42"/>
    <w:rsid w:val="00F10EF0"/>
    <w:rsid w:val="00F110DC"/>
    <w:rsid w:val="00F11376"/>
    <w:rsid w:val="00F1148D"/>
    <w:rsid w:val="00F1157D"/>
    <w:rsid w:val="00F116BB"/>
    <w:rsid w:val="00F117DF"/>
    <w:rsid w:val="00F11C06"/>
    <w:rsid w:val="00F11C21"/>
    <w:rsid w:val="00F11CBC"/>
    <w:rsid w:val="00F124FE"/>
    <w:rsid w:val="00F12565"/>
    <w:rsid w:val="00F125A6"/>
    <w:rsid w:val="00F128AF"/>
    <w:rsid w:val="00F12910"/>
    <w:rsid w:val="00F12AF2"/>
    <w:rsid w:val="00F12CC9"/>
    <w:rsid w:val="00F12F03"/>
    <w:rsid w:val="00F131A6"/>
    <w:rsid w:val="00F13596"/>
    <w:rsid w:val="00F138CD"/>
    <w:rsid w:val="00F13B3E"/>
    <w:rsid w:val="00F13E8F"/>
    <w:rsid w:val="00F14380"/>
    <w:rsid w:val="00F14582"/>
    <w:rsid w:val="00F147A9"/>
    <w:rsid w:val="00F14989"/>
    <w:rsid w:val="00F14C7A"/>
    <w:rsid w:val="00F15012"/>
    <w:rsid w:val="00F150C5"/>
    <w:rsid w:val="00F1516A"/>
    <w:rsid w:val="00F151B7"/>
    <w:rsid w:val="00F15683"/>
    <w:rsid w:val="00F15A8E"/>
    <w:rsid w:val="00F15B8D"/>
    <w:rsid w:val="00F15BB9"/>
    <w:rsid w:val="00F15C7E"/>
    <w:rsid w:val="00F1633B"/>
    <w:rsid w:val="00F16600"/>
    <w:rsid w:val="00F16613"/>
    <w:rsid w:val="00F166E7"/>
    <w:rsid w:val="00F16988"/>
    <w:rsid w:val="00F17109"/>
    <w:rsid w:val="00F1714C"/>
    <w:rsid w:val="00F1735B"/>
    <w:rsid w:val="00F17392"/>
    <w:rsid w:val="00F17B16"/>
    <w:rsid w:val="00F20029"/>
    <w:rsid w:val="00F2007E"/>
    <w:rsid w:val="00F201A7"/>
    <w:rsid w:val="00F201AB"/>
    <w:rsid w:val="00F20399"/>
    <w:rsid w:val="00F203EA"/>
    <w:rsid w:val="00F20463"/>
    <w:rsid w:val="00F20480"/>
    <w:rsid w:val="00F2098D"/>
    <w:rsid w:val="00F209E1"/>
    <w:rsid w:val="00F21211"/>
    <w:rsid w:val="00F2128C"/>
    <w:rsid w:val="00F21301"/>
    <w:rsid w:val="00F2143D"/>
    <w:rsid w:val="00F21D2F"/>
    <w:rsid w:val="00F221B8"/>
    <w:rsid w:val="00F228EA"/>
    <w:rsid w:val="00F22A75"/>
    <w:rsid w:val="00F22EB7"/>
    <w:rsid w:val="00F234CC"/>
    <w:rsid w:val="00F236A3"/>
    <w:rsid w:val="00F24028"/>
    <w:rsid w:val="00F244FC"/>
    <w:rsid w:val="00F246A3"/>
    <w:rsid w:val="00F246EB"/>
    <w:rsid w:val="00F24984"/>
    <w:rsid w:val="00F249AD"/>
    <w:rsid w:val="00F24DBE"/>
    <w:rsid w:val="00F24E29"/>
    <w:rsid w:val="00F2545C"/>
    <w:rsid w:val="00F25F69"/>
    <w:rsid w:val="00F261E9"/>
    <w:rsid w:val="00F26237"/>
    <w:rsid w:val="00F26592"/>
    <w:rsid w:val="00F2683C"/>
    <w:rsid w:val="00F269EC"/>
    <w:rsid w:val="00F26F17"/>
    <w:rsid w:val="00F26F95"/>
    <w:rsid w:val="00F2707C"/>
    <w:rsid w:val="00F275D9"/>
    <w:rsid w:val="00F2796A"/>
    <w:rsid w:val="00F279BC"/>
    <w:rsid w:val="00F27D68"/>
    <w:rsid w:val="00F27DF9"/>
    <w:rsid w:val="00F300C3"/>
    <w:rsid w:val="00F302E8"/>
    <w:rsid w:val="00F30345"/>
    <w:rsid w:val="00F304EB"/>
    <w:rsid w:val="00F30808"/>
    <w:rsid w:val="00F30886"/>
    <w:rsid w:val="00F308B8"/>
    <w:rsid w:val="00F30A5E"/>
    <w:rsid w:val="00F30E7A"/>
    <w:rsid w:val="00F312FB"/>
    <w:rsid w:val="00F313CD"/>
    <w:rsid w:val="00F31DE4"/>
    <w:rsid w:val="00F31EA1"/>
    <w:rsid w:val="00F32521"/>
    <w:rsid w:val="00F325E2"/>
    <w:rsid w:val="00F32874"/>
    <w:rsid w:val="00F32CEF"/>
    <w:rsid w:val="00F332EE"/>
    <w:rsid w:val="00F333AE"/>
    <w:rsid w:val="00F33466"/>
    <w:rsid w:val="00F334E7"/>
    <w:rsid w:val="00F3380F"/>
    <w:rsid w:val="00F33AAD"/>
    <w:rsid w:val="00F33D5C"/>
    <w:rsid w:val="00F33DB4"/>
    <w:rsid w:val="00F33E99"/>
    <w:rsid w:val="00F345F9"/>
    <w:rsid w:val="00F34624"/>
    <w:rsid w:val="00F34650"/>
    <w:rsid w:val="00F34770"/>
    <w:rsid w:val="00F34A64"/>
    <w:rsid w:val="00F34C31"/>
    <w:rsid w:val="00F34F0E"/>
    <w:rsid w:val="00F3502A"/>
    <w:rsid w:val="00F350E5"/>
    <w:rsid w:val="00F35446"/>
    <w:rsid w:val="00F355CE"/>
    <w:rsid w:val="00F355DB"/>
    <w:rsid w:val="00F359BE"/>
    <w:rsid w:val="00F35BCD"/>
    <w:rsid w:val="00F35D46"/>
    <w:rsid w:val="00F360C6"/>
    <w:rsid w:val="00F365B9"/>
    <w:rsid w:val="00F367DA"/>
    <w:rsid w:val="00F37076"/>
    <w:rsid w:val="00F3716C"/>
    <w:rsid w:val="00F37236"/>
    <w:rsid w:val="00F374B2"/>
    <w:rsid w:val="00F37695"/>
    <w:rsid w:val="00F37735"/>
    <w:rsid w:val="00F37C49"/>
    <w:rsid w:val="00F37D88"/>
    <w:rsid w:val="00F37E15"/>
    <w:rsid w:val="00F37F2E"/>
    <w:rsid w:val="00F400DE"/>
    <w:rsid w:val="00F4033D"/>
    <w:rsid w:val="00F4074D"/>
    <w:rsid w:val="00F4082A"/>
    <w:rsid w:val="00F40893"/>
    <w:rsid w:val="00F40A2A"/>
    <w:rsid w:val="00F40A35"/>
    <w:rsid w:val="00F40B4D"/>
    <w:rsid w:val="00F40FAF"/>
    <w:rsid w:val="00F41189"/>
    <w:rsid w:val="00F41688"/>
    <w:rsid w:val="00F41A1D"/>
    <w:rsid w:val="00F41A2E"/>
    <w:rsid w:val="00F41EF4"/>
    <w:rsid w:val="00F422F9"/>
    <w:rsid w:val="00F42413"/>
    <w:rsid w:val="00F428B8"/>
    <w:rsid w:val="00F42D13"/>
    <w:rsid w:val="00F43098"/>
    <w:rsid w:val="00F43792"/>
    <w:rsid w:val="00F437C1"/>
    <w:rsid w:val="00F43D5E"/>
    <w:rsid w:val="00F43E79"/>
    <w:rsid w:val="00F443FE"/>
    <w:rsid w:val="00F44761"/>
    <w:rsid w:val="00F448CF"/>
    <w:rsid w:val="00F44A07"/>
    <w:rsid w:val="00F44A5C"/>
    <w:rsid w:val="00F44B7B"/>
    <w:rsid w:val="00F44D42"/>
    <w:rsid w:val="00F44F12"/>
    <w:rsid w:val="00F44FD2"/>
    <w:rsid w:val="00F450FA"/>
    <w:rsid w:val="00F45152"/>
    <w:rsid w:val="00F45E61"/>
    <w:rsid w:val="00F45F11"/>
    <w:rsid w:val="00F45F8E"/>
    <w:rsid w:val="00F4603A"/>
    <w:rsid w:val="00F467E6"/>
    <w:rsid w:val="00F468EC"/>
    <w:rsid w:val="00F46D8F"/>
    <w:rsid w:val="00F4727B"/>
    <w:rsid w:val="00F47375"/>
    <w:rsid w:val="00F47514"/>
    <w:rsid w:val="00F47C50"/>
    <w:rsid w:val="00F47D61"/>
    <w:rsid w:val="00F47E1D"/>
    <w:rsid w:val="00F50016"/>
    <w:rsid w:val="00F501DB"/>
    <w:rsid w:val="00F5040A"/>
    <w:rsid w:val="00F504A8"/>
    <w:rsid w:val="00F50692"/>
    <w:rsid w:val="00F509E7"/>
    <w:rsid w:val="00F50B82"/>
    <w:rsid w:val="00F50EC6"/>
    <w:rsid w:val="00F512BC"/>
    <w:rsid w:val="00F5158A"/>
    <w:rsid w:val="00F516AA"/>
    <w:rsid w:val="00F51ACC"/>
    <w:rsid w:val="00F51B07"/>
    <w:rsid w:val="00F51BB8"/>
    <w:rsid w:val="00F52161"/>
    <w:rsid w:val="00F5221B"/>
    <w:rsid w:val="00F52300"/>
    <w:rsid w:val="00F52378"/>
    <w:rsid w:val="00F5248D"/>
    <w:rsid w:val="00F524BA"/>
    <w:rsid w:val="00F5257D"/>
    <w:rsid w:val="00F52608"/>
    <w:rsid w:val="00F52755"/>
    <w:rsid w:val="00F528EA"/>
    <w:rsid w:val="00F52CDD"/>
    <w:rsid w:val="00F52E80"/>
    <w:rsid w:val="00F5302A"/>
    <w:rsid w:val="00F53863"/>
    <w:rsid w:val="00F53E58"/>
    <w:rsid w:val="00F540C7"/>
    <w:rsid w:val="00F541B7"/>
    <w:rsid w:val="00F54427"/>
    <w:rsid w:val="00F546D8"/>
    <w:rsid w:val="00F5488A"/>
    <w:rsid w:val="00F54996"/>
    <w:rsid w:val="00F54B28"/>
    <w:rsid w:val="00F54DFC"/>
    <w:rsid w:val="00F54E88"/>
    <w:rsid w:val="00F54E9C"/>
    <w:rsid w:val="00F55012"/>
    <w:rsid w:val="00F55097"/>
    <w:rsid w:val="00F55233"/>
    <w:rsid w:val="00F5527D"/>
    <w:rsid w:val="00F559DA"/>
    <w:rsid w:val="00F55A03"/>
    <w:rsid w:val="00F55AEC"/>
    <w:rsid w:val="00F55AF1"/>
    <w:rsid w:val="00F55B77"/>
    <w:rsid w:val="00F55C4D"/>
    <w:rsid w:val="00F55E4A"/>
    <w:rsid w:val="00F55FC9"/>
    <w:rsid w:val="00F56249"/>
    <w:rsid w:val="00F56345"/>
    <w:rsid w:val="00F563B7"/>
    <w:rsid w:val="00F563BD"/>
    <w:rsid w:val="00F563BF"/>
    <w:rsid w:val="00F565AE"/>
    <w:rsid w:val="00F56652"/>
    <w:rsid w:val="00F56785"/>
    <w:rsid w:val="00F56850"/>
    <w:rsid w:val="00F569B1"/>
    <w:rsid w:val="00F56B42"/>
    <w:rsid w:val="00F56B8B"/>
    <w:rsid w:val="00F56DAE"/>
    <w:rsid w:val="00F56ECB"/>
    <w:rsid w:val="00F56FC0"/>
    <w:rsid w:val="00F57236"/>
    <w:rsid w:val="00F57A6D"/>
    <w:rsid w:val="00F57B06"/>
    <w:rsid w:val="00F57B97"/>
    <w:rsid w:val="00F57DC1"/>
    <w:rsid w:val="00F57EB9"/>
    <w:rsid w:val="00F6024F"/>
    <w:rsid w:val="00F604D3"/>
    <w:rsid w:val="00F6057D"/>
    <w:rsid w:val="00F606EC"/>
    <w:rsid w:val="00F6072D"/>
    <w:rsid w:val="00F608AF"/>
    <w:rsid w:val="00F60B00"/>
    <w:rsid w:val="00F60B75"/>
    <w:rsid w:val="00F60BC9"/>
    <w:rsid w:val="00F60C84"/>
    <w:rsid w:val="00F60D91"/>
    <w:rsid w:val="00F60E68"/>
    <w:rsid w:val="00F610AD"/>
    <w:rsid w:val="00F61313"/>
    <w:rsid w:val="00F61326"/>
    <w:rsid w:val="00F6143F"/>
    <w:rsid w:val="00F619AB"/>
    <w:rsid w:val="00F61AF8"/>
    <w:rsid w:val="00F61C98"/>
    <w:rsid w:val="00F61E75"/>
    <w:rsid w:val="00F62EAE"/>
    <w:rsid w:val="00F62F13"/>
    <w:rsid w:val="00F6323A"/>
    <w:rsid w:val="00F632A8"/>
    <w:rsid w:val="00F63495"/>
    <w:rsid w:val="00F634B6"/>
    <w:rsid w:val="00F6360B"/>
    <w:rsid w:val="00F6366F"/>
    <w:rsid w:val="00F63917"/>
    <w:rsid w:val="00F63CE3"/>
    <w:rsid w:val="00F644AA"/>
    <w:rsid w:val="00F6481F"/>
    <w:rsid w:val="00F64DB8"/>
    <w:rsid w:val="00F6514A"/>
    <w:rsid w:val="00F653E0"/>
    <w:rsid w:val="00F6567C"/>
    <w:rsid w:val="00F6583E"/>
    <w:rsid w:val="00F66062"/>
    <w:rsid w:val="00F66241"/>
    <w:rsid w:val="00F6626A"/>
    <w:rsid w:val="00F6653A"/>
    <w:rsid w:val="00F66618"/>
    <w:rsid w:val="00F6683F"/>
    <w:rsid w:val="00F66C36"/>
    <w:rsid w:val="00F66DAD"/>
    <w:rsid w:val="00F66E4B"/>
    <w:rsid w:val="00F66FAB"/>
    <w:rsid w:val="00F67089"/>
    <w:rsid w:val="00F67132"/>
    <w:rsid w:val="00F6713D"/>
    <w:rsid w:val="00F67629"/>
    <w:rsid w:val="00F677B1"/>
    <w:rsid w:val="00F67B52"/>
    <w:rsid w:val="00F67CBF"/>
    <w:rsid w:val="00F67D8A"/>
    <w:rsid w:val="00F700D1"/>
    <w:rsid w:val="00F70392"/>
    <w:rsid w:val="00F70418"/>
    <w:rsid w:val="00F70528"/>
    <w:rsid w:val="00F705EE"/>
    <w:rsid w:val="00F70783"/>
    <w:rsid w:val="00F707FA"/>
    <w:rsid w:val="00F70886"/>
    <w:rsid w:val="00F70AAC"/>
    <w:rsid w:val="00F70FA1"/>
    <w:rsid w:val="00F710B1"/>
    <w:rsid w:val="00F71136"/>
    <w:rsid w:val="00F71172"/>
    <w:rsid w:val="00F7140B"/>
    <w:rsid w:val="00F71564"/>
    <w:rsid w:val="00F715C2"/>
    <w:rsid w:val="00F7169B"/>
    <w:rsid w:val="00F71B87"/>
    <w:rsid w:val="00F71D11"/>
    <w:rsid w:val="00F72067"/>
    <w:rsid w:val="00F7207B"/>
    <w:rsid w:val="00F72080"/>
    <w:rsid w:val="00F72237"/>
    <w:rsid w:val="00F72343"/>
    <w:rsid w:val="00F723D3"/>
    <w:rsid w:val="00F7259A"/>
    <w:rsid w:val="00F726CF"/>
    <w:rsid w:val="00F7280F"/>
    <w:rsid w:val="00F72999"/>
    <w:rsid w:val="00F72A0A"/>
    <w:rsid w:val="00F72B90"/>
    <w:rsid w:val="00F72C2A"/>
    <w:rsid w:val="00F72F8C"/>
    <w:rsid w:val="00F73052"/>
    <w:rsid w:val="00F73645"/>
    <w:rsid w:val="00F73652"/>
    <w:rsid w:val="00F736F0"/>
    <w:rsid w:val="00F73843"/>
    <w:rsid w:val="00F73E9B"/>
    <w:rsid w:val="00F73EE3"/>
    <w:rsid w:val="00F740A6"/>
    <w:rsid w:val="00F746F1"/>
    <w:rsid w:val="00F74875"/>
    <w:rsid w:val="00F74BFB"/>
    <w:rsid w:val="00F74F17"/>
    <w:rsid w:val="00F75270"/>
    <w:rsid w:val="00F75530"/>
    <w:rsid w:val="00F757F3"/>
    <w:rsid w:val="00F75884"/>
    <w:rsid w:val="00F7612C"/>
    <w:rsid w:val="00F76139"/>
    <w:rsid w:val="00F7639D"/>
    <w:rsid w:val="00F7647C"/>
    <w:rsid w:val="00F769C9"/>
    <w:rsid w:val="00F76C11"/>
    <w:rsid w:val="00F76E01"/>
    <w:rsid w:val="00F76E47"/>
    <w:rsid w:val="00F77102"/>
    <w:rsid w:val="00F7735F"/>
    <w:rsid w:val="00F775B5"/>
    <w:rsid w:val="00F775BD"/>
    <w:rsid w:val="00F77776"/>
    <w:rsid w:val="00F777EE"/>
    <w:rsid w:val="00F77A49"/>
    <w:rsid w:val="00F77AC3"/>
    <w:rsid w:val="00F77AF0"/>
    <w:rsid w:val="00F77BC8"/>
    <w:rsid w:val="00F80031"/>
    <w:rsid w:val="00F80119"/>
    <w:rsid w:val="00F801E5"/>
    <w:rsid w:val="00F80817"/>
    <w:rsid w:val="00F80B24"/>
    <w:rsid w:val="00F80C13"/>
    <w:rsid w:val="00F80DCE"/>
    <w:rsid w:val="00F80E91"/>
    <w:rsid w:val="00F810B2"/>
    <w:rsid w:val="00F810D4"/>
    <w:rsid w:val="00F811E2"/>
    <w:rsid w:val="00F81CFF"/>
    <w:rsid w:val="00F81F8C"/>
    <w:rsid w:val="00F820B7"/>
    <w:rsid w:val="00F82163"/>
    <w:rsid w:val="00F82221"/>
    <w:rsid w:val="00F8239D"/>
    <w:rsid w:val="00F824D9"/>
    <w:rsid w:val="00F8266B"/>
    <w:rsid w:val="00F82684"/>
    <w:rsid w:val="00F8273A"/>
    <w:rsid w:val="00F82E84"/>
    <w:rsid w:val="00F8352B"/>
    <w:rsid w:val="00F836B4"/>
    <w:rsid w:val="00F83BF2"/>
    <w:rsid w:val="00F83DBF"/>
    <w:rsid w:val="00F83FB8"/>
    <w:rsid w:val="00F84053"/>
    <w:rsid w:val="00F840DC"/>
    <w:rsid w:val="00F842B8"/>
    <w:rsid w:val="00F84635"/>
    <w:rsid w:val="00F84B92"/>
    <w:rsid w:val="00F84C9D"/>
    <w:rsid w:val="00F850A6"/>
    <w:rsid w:val="00F8521C"/>
    <w:rsid w:val="00F8524A"/>
    <w:rsid w:val="00F85294"/>
    <w:rsid w:val="00F85C7A"/>
    <w:rsid w:val="00F85CDA"/>
    <w:rsid w:val="00F85D34"/>
    <w:rsid w:val="00F85FA1"/>
    <w:rsid w:val="00F861E3"/>
    <w:rsid w:val="00F86308"/>
    <w:rsid w:val="00F8664F"/>
    <w:rsid w:val="00F8678B"/>
    <w:rsid w:val="00F86DDF"/>
    <w:rsid w:val="00F86E7A"/>
    <w:rsid w:val="00F86FA8"/>
    <w:rsid w:val="00F8734C"/>
    <w:rsid w:val="00F873B7"/>
    <w:rsid w:val="00F873C1"/>
    <w:rsid w:val="00F87986"/>
    <w:rsid w:val="00F87A34"/>
    <w:rsid w:val="00F87A48"/>
    <w:rsid w:val="00F87D89"/>
    <w:rsid w:val="00F9017F"/>
    <w:rsid w:val="00F9040C"/>
    <w:rsid w:val="00F904B8"/>
    <w:rsid w:val="00F9093F"/>
    <w:rsid w:val="00F90B20"/>
    <w:rsid w:val="00F90E1D"/>
    <w:rsid w:val="00F90EB2"/>
    <w:rsid w:val="00F91004"/>
    <w:rsid w:val="00F9108E"/>
    <w:rsid w:val="00F912A4"/>
    <w:rsid w:val="00F9157F"/>
    <w:rsid w:val="00F91598"/>
    <w:rsid w:val="00F9183D"/>
    <w:rsid w:val="00F9194E"/>
    <w:rsid w:val="00F91BFC"/>
    <w:rsid w:val="00F9201C"/>
    <w:rsid w:val="00F921D4"/>
    <w:rsid w:val="00F92410"/>
    <w:rsid w:val="00F92675"/>
    <w:rsid w:val="00F928D4"/>
    <w:rsid w:val="00F9334C"/>
    <w:rsid w:val="00F934E8"/>
    <w:rsid w:val="00F9362E"/>
    <w:rsid w:val="00F9380D"/>
    <w:rsid w:val="00F939E1"/>
    <w:rsid w:val="00F93B98"/>
    <w:rsid w:val="00F93CAF"/>
    <w:rsid w:val="00F93DD5"/>
    <w:rsid w:val="00F94211"/>
    <w:rsid w:val="00F9423A"/>
    <w:rsid w:val="00F9472A"/>
    <w:rsid w:val="00F949B5"/>
    <w:rsid w:val="00F94EF6"/>
    <w:rsid w:val="00F94F07"/>
    <w:rsid w:val="00F94FCB"/>
    <w:rsid w:val="00F95057"/>
    <w:rsid w:val="00F9513F"/>
    <w:rsid w:val="00F954C2"/>
    <w:rsid w:val="00F956F7"/>
    <w:rsid w:val="00F95927"/>
    <w:rsid w:val="00F9599D"/>
    <w:rsid w:val="00F959FE"/>
    <w:rsid w:val="00F95EFC"/>
    <w:rsid w:val="00F96056"/>
    <w:rsid w:val="00F96333"/>
    <w:rsid w:val="00F96491"/>
    <w:rsid w:val="00F96601"/>
    <w:rsid w:val="00F967EE"/>
    <w:rsid w:val="00F96BEB"/>
    <w:rsid w:val="00F96F27"/>
    <w:rsid w:val="00F97040"/>
    <w:rsid w:val="00F970E9"/>
    <w:rsid w:val="00F9777F"/>
    <w:rsid w:val="00F9791E"/>
    <w:rsid w:val="00F97A1F"/>
    <w:rsid w:val="00F97AC7"/>
    <w:rsid w:val="00F97AE9"/>
    <w:rsid w:val="00F97B6C"/>
    <w:rsid w:val="00F97D96"/>
    <w:rsid w:val="00F97DC1"/>
    <w:rsid w:val="00F97E24"/>
    <w:rsid w:val="00FA0320"/>
    <w:rsid w:val="00FA0778"/>
    <w:rsid w:val="00FA0A19"/>
    <w:rsid w:val="00FA0C77"/>
    <w:rsid w:val="00FA0CDF"/>
    <w:rsid w:val="00FA14AA"/>
    <w:rsid w:val="00FA14C5"/>
    <w:rsid w:val="00FA1788"/>
    <w:rsid w:val="00FA1A96"/>
    <w:rsid w:val="00FA1C85"/>
    <w:rsid w:val="00FA2169"/>
    <w:rsid w:val="00FA222C"/>
    <w:rsid w:val="00FA22AD"/>
    <w:rsid w:val="00FA23F3"/>
    <w:rsid w:val="00FA24DC"/>
    <w:rsid w:val="00FA28F3"/>
    <w:rsid w:val="00FA2B3D"/>
    <w:rsid w:val="00FA2FE2"/>
    <w:rsid w:val="00FA35A6"/>
    <w:rsid w:val="00FA40EB"/>
    <w:rsid w:val="00FA43AF"/>
    <w:rsid w:val="00FA44D8"/>
    <w:rsid w:val="00FA4736"/>
    <w:rsid w:val="00FA47AD"/>
    <w:rsid w:val="00FA4A9C"/>
    <w:rsid w:val="00FA4C71"/>
    <w:rsid w:val="00FA504F"/>
    <w:rsid w:val="00FA57CB"/>
    <w:rsid w:val="00FA593F"/>
    <w:rsid w:val="00FA5BC2"/>
    <w:rsid w:val="00FA5CDE"/>
    <w:rsid w:val="00FA5D05"/>
    <w:rsid w:val="00FA6247"/>
    <w:rsid w:val="00FA62B1"/>
    <w:rsid w:val="00FA658C"/>
    <w:rsid w:val="00FA6918"/>
    <w:rsid w:val="00FA6BB6"/>
    <w:rsid w:val="00FA6C1A"/>
    <w:rsid w:val="00FA6EF7"/>
    <w:rsid w:val="00FA7178"/>
    <w:rsid w:val="00FA7274"/>
    <w:rsid w:val="00FA79EC"/>
    <w:rsid w:val="00FA7B34"/>
    <w:rsid w:val="00FA7E9A"/>
    <w:rsid w:val="00FB007C"/>
    <w:rsid w:val="00FB00AE"/>
    <w:rsid w:val="00FB0932"/>
    <w:rsid w:val="00FB0AD2"/>
    <w:rsid w:val="00FB0C7A"/>
    <w:rsid w:val="00FB0CBD"/>
    <w:rsid w:val="00FB0FE1"/>
    <w:rsid w:val="00FB1223"/>
    <w:rsid w:val="00FB14B9"/>
    <w:rsid w:val="00FB1BDA"/>
    <w:rsid w:val="00FB1C79"/>
    <w:rsid w:val="00FB1CA3"/>
    <w:rsid w:val="00FB1FCE"/>
    <w:rsid w:val="00FB2026"/>
    <w:rsid w:val="00FB24E0"/>
    <w:rsid w:val="00FB2A11"/>
    <w:rsid w:val="00FB2BB3"/>
    <w:rsid w:val="00FB2EF4"/>
    <w:rsid w:val="00FB2F55"/>
    <w:rsid w:val="00FB3020"/>
    <w:rsid w:val="00FB373F"/>
    <w:rsid w:val="00FB3D00"/>
    <w:rsid w:val="00FB40A1"/>
    <w:rsid w:val="00FB425A"/>
    <w:rsid w:val="00FB426C"/>
    <w:rsid w:val="00FB4C12"/>
    <w:rsid w:val="00FB4DAA"/>
    <w:rsid w:val="00FB4EBE"/>
    <w:rsid w:val="00FB5262"/>
    <w:rsid w:val="00FB54D3"/>
    <w:rsid w:val="00FB568D"/>
    <w:rsid w:val="00FB5A27"/>
    <w:rsid w:val="00FB5A35"/>
    <w:rsid w:val="00FB5CE1"/>
    <w:rsid w:val="00FB5CF5"/>
    <w:rsid w:val="00FB60A9"/>
    <w:rsid w:val="00FB6362"/>
    <w:rsid w:val="00FB6D12"/>
    <w:rsid w:val="00FB6E73"/>
    <w:rsid w:val="00FB737F"/>
    <w:rsid w:val="00FB74B8"/>
    <w:rsid w:val="00FB77EC"/>
    <w:rsid w:val="00FB781A"/>
    <w:rsid w:val="00FB7E60"/>
    <w:rsid w:val="00FC00C5"/>
    <w:rsid w:val="00FC00F3"/>
    <w:rsid w:val="00FC0773"/>
    <w:rsid w:val="00FC08EA"/>
    <w:rsid w:val="00FC0AB6"/>
    <w:rsid w:val="00FC0B7C"/>
    <w:rsid w:val="00FC0DF9"/>
    <w:rsid w:val="00FC128E"/>
    <w:rsid w:val="00FC13C6"/>
    <w:rsid w:val="00FC162A"/>
    <w:rsid w:val="00FC17A6"/>
    <w:rsid w:val="00FC1886"/>
    <w:rsid w:val="00FC19B5"/>
    <w:rsid w:val="00FC1D64"/>
    <w:rsid w:val="00FC1E4B"/>
    <w:rsid w:val="00FC23EF"/>
    <w:rsid w:val="00FC24D7"/>
    <w:rsid w:val="00FC253D"/>
    <w:rsid w:val="00FC2618"/>
    <w:rsid w:val="00FC29E6"/>
    <w:rsid w:val="00FC2AD2"/>
    <w:rsid w:val="00FC2E5E"/>
    <w:rsid w:val="00FC2FF6"/>
    <w:rsid w:val="00FC3357"/>
    <w:rsid w:val="00FC370D"/>
    <w:rsid w:val="00FC39E2"/>
    <w:rsid w:val="00FC3B52"/>
    <w:rsid w:val="00FC3CC8"/>
    <w:rsid w:val="00FC3F10"/>
    <w:rsid w:val="00FC40CA"/>
    <w:rsid w:val="00FC455E"/>
    <w:rsid w:val="00FC485D"/>
    <w:rsid w:val="00FC489D"/>
    <w:rsid w:val="00FC4B43"/>
    <w:rsid w:val="00FC4C99"/>
    <w:rsid w:val="00FC4DB9"/>
    <w:rsid w:val="00FC5142"/>
    <w:rsid w:val="00FC54ED"/>
    <w:rsid w:val="00FC56AC"/>
    <w:rsid w:val="00FC5A59"/>
    <w:rsid w:val="00FC5C26"/>
    <w:rsid w:val="00FC604B"/>
    <w:rsid w:val="00FC6129"/>
    <w:rsid w:val="00FC63B5"/>
    <w:rsid w:val="00FC6511"/>
    <w:rsid w:val="00FC662F"/>
    <w:rsid w:val="00FC6A86"/>
    <w:rsid w:val="00FC6ADC"/>
    <w:rsid w:val="00FC6EF5"/>
    <w:rsid w:val="00FC6F5F"/>
    <w:rsid w:val="00FC7230"/>
    <w:rsid w:val="00FC73A4"/>
    <w:rsid w:val="00FC7C19"/>
    <w:rsid w:val="00FC7D1D"/>
    <w:rsid w:val="00FD02CA"/>
    <w:rsid w:val="00FD02D2"/>
    <w:rsid w:val="00FD0871"/>
    <w:rsid w:val="00FD0996"/>
    <w:rsid w:val="00FD0F71"/>
    <w:rsid w:val="00FD0FB4"/>
    <w:rsid w:val="00FD12B3"/>
    <w:rsid w:val="00FD13B2"/>
    <w:rsid w:val="00FD1613"/>
    <w:rsid w:val="00FD1C8F"/>
    <w:rsid w:val="00FD2118"/>
    <w:rsid w:val="00FD2429"/>
    <w:rsid w:val="00FD24B0"/>
    <w:rsid w:val="00FD25E0"/>
    <w:rsid w:val="00FD28FC"/>
    <w:rsid w:val="00FD29D9"/>
    <w:rsid w:val="00FD321B"/>
    <w:rsid w:val="00FD3241"/>
    <w:rsid w:val="00FD3366"/>
    <w:rsid w:val="00FD3D13"/>
    <w:rsid w:val="00FD41C6"/>
    <w:rsid w:val="00FD45B8"/>
    <w:rsid w:val="00FD4695"/>
    <w:rsid w:val="00FD4802"/>
    <w:rsid w:val="00FD4BEF"/>
    <w:rsid w:val="00FD4E1B"/>
    <w:rsid w:val="00FD4E94"/>
    <w:rsid w:val="00FD523E"/>
    <w:rsid w:val="00FD53A3"/>
    <w:rsid w:val="00FD53C8"/>
    <w:rsid w:val="00FD541E"/>
    <w:rsid w:val="00FD552B"/>
    <w:rsid w:val="00FD5A18"/>
    <w:rsid w:val="00FD5A32"/>
    <w:rsid w:val="00FD5D61"/>
    <w:rsid w:val="00FD601C"/>
    <w:rsid w:val="00FD689E"/>
    <w:rsid w:val="00FD6C43"/>
    <w:rsid w:val="00FD70C1"/>
    <w:rsid w:val="00FD716A"/>
    <w:rsid w:val="00FD729D"/>
    <w:rsid w:val="00FD732F"/>
    <w:rsid w:val="00FD737A"/>
    <w:rsid w:val="00FD73D5"/>
    <w:rsid w:val="00FD73DF"/>
    <w:rsid w:val="00FD7CBC"/>
    <w:rsid w:val="00FD7F7B"/>
    <w:rsid w:val="00FE0059"/>
    <w:rsid w:val="00FE0518"/>
    <w:rsid w:val="00FE068C"/>
    <w:rsid w:val="00FE06FB"/>
    <w:rsid w:val="00FE074D"/>
    <w:rsid w:val="00FE0801"/>
    <w:rsid w:val="00FE0884"/>
    <w:rsid w:val="00FE089C"/>
    <w:rsid w:val="00FE0950"/>
    <w:rsid w:val="00FE0DFF"/>
    <w:rsid w:val="00FE148B"/>
    <w:rsid w:val="00FE159A"/>
    <w:rsid w:val="00FE20DA"/>
    <w:rsid w:val="00FE23D7"/>
    <w:rsid w:val="00FE25D0"/>
    <w:rsid w:val="00FE2DF7"/>
    <w:rsid w:val="00FE3285"/>
    <w:rsid w:val="00FE397D"/>
    <w:rsid w:val="00FE3A0D"/>
    <w:rsid w:val="00FE3A63"/>
    <w:rsid w:val="00FE3E8B"/>
    <w:rsid w:val="00FE42E6"/>
    <w:rsid w:val="00FE433F"/>
    <w:rsid w:val="00FE4416"/>
    <w:rsid w:val="00FE44CB"/>
    <w:rsid w:val="00FE4A9E"/>
    <w:rsid w:val="00FE4FC3"/>
    <w:rsid w:val="00FE50AF"/>
    <w:rsid w:val="00FE5241"/>
    <w:rsid w:val="00FE57F9"/>
    <w:rsid w:val="00FE61AA"/>
    <w:rsid w:val="00FE6384"/>
    <w:rsid w:val="00FE6479"/>
    <w:rsid w:val="00FE64F6"/>
    <w:rsid w:val="00FE680E"/>
    <w:rsid w:val="00FE6E99"/>
    <w:rsid w:val="00FE72E7"/>
    <w:rsid w:val="00FE7566"/>
    <w:rsid w:val="00FE772D"/>
    <w:rsid w:val="00FE785B"/>
    <w:rsid w:val="00FE7BA8"/>
    <w:rsid w:val="00FF03FC"/>
    <w:rsid w:val="00FF04D2"/>
    <w:rsid w:val="00FF06D9"/>
    <w:rsid w:val="00FF0DD5"/>
    <w:rsid w:val="00FF0F32"/>
    <w:rsid w:val="00FF0FB8"/>
    <w:rsid w:val="00FF0FE0"/>
    <w:rsid w:val="00FF1A27"/>
    <w:rsid w:val="00FF1D04"/>
    <w:rsid w:val="00FF2057"/>
    <w:rsid w:val="00FF205D"/>
    <w:rsid w:val="00FF2453"/>
    <w:rsid w:val="00FF2586"/>
    <w:rsid w:val="00FF2600"/>
    <w:rsid w:val="00FF2626"/>
    <w:rsid w:val="00FF285B"/>
    <w:rsid w:val="00FF2AAB"/>
    <w:rsid w:val="00FF2D0E"/>
    <w:rsid w:val="00FF2E7E"/>
    <w:rsid w:val="00FF3109"/>
    <w:rsid w:val="00FF33D7"/>
    <w:rsid w:val="00FF34F7"/>
    <w:rsid w:val="00FF362F"/>
    <w:rsid w:val="00FF37A2"/>
    <w:rsid w:val="00FF3A99"/>
    <w:rsid w:val="00FF3B56"/>
    <w:rsid w:val="00FF4499"/>
    <w:rsid w:val="00FF463A"/>
    <w:rsid w:val="00FF4A2B"/>
    <w:rsid w:val="00FF4BEC"/>
    <w:rsid w:val="00FF4E62"/>
    <w:rsid w:val="00FF4F2D"/>
    <w:rsid w:val="00FF502E"/>
    <w:rsid w:val="00FF503A"/>
    <w:rsid w:val="00FF503B"/>
    <w:rsid w:val="00FF51A6"/>
    <w:rsid w:val="00FF51EE"/>
    <w:rsid w:val="00FF5217"/>
    <w:rsid w:val="00FF56A4"/>
    <w:rsid w:val="00FF5A51"/>
    <w:rsid w:val="00FF5A84"/>
    <w:rsid w:val="00FF5F0E"/>
    <w:rsid w:val="00FF6387"/>
    <w:rsid w:val="00FF6908"/>
    <w:rsid w:val="00FF6AF3"/>
    <w:rsid w:val="00FF6AF9"/>
    <w:rsid w:val="00FF6C47"/>
    <w:rsid w:val="00FF6D96"/>
    <w:rsid w:val="00FF6DFC"/>
    <w:rsid w:val="00FF7070"/>
    <w:rsid w:val="00FF7240"/>
    <w:rsid w:val="00FF7C76"/>
    <w:rsid w:val="00FF7F1E"/>
    <w:rsid w:val="010AD4F9"/>
    <w:rsid w:val="01105FEE"/>
    <w:rsid w:val="0140ECE3"/>
    <w:rsid w:val="015EC81C"/>
    <w:rsid w:val="018240CF"/>
    <w:rsid w:val="01AE6582"/>
    <w:rsid w:val="01DA184F"/>
    <w:rsid w:val="02499C7D"/>
    <w:rsid w:val="025CE683"/>
    <w:rsid w:val="027E4047"/>
    <w:rsid w:val="02854651"/>
    <w:rsid w:val="028DA9C9"/>
    <w:rsid w:val="02A287F0"/>
    <w:rsid w:val="02A61F31"/>
    <w:rsid w:val="02A83656"/>
    <w:rsid w:val="02C00E58"/>
    <w:rsid w:val="02CA6ACC"/>
    <w:rsid w:val="02CCD9C8"/>
    <w:rsid w:val="02E5C8E3"/>
    <w:rsid w:val="031ED4BD"/>
    <w:rsid w:val="031FE3EC"/>
    <w:rsid w:val="03400E96"/>
    <w:rsid w:val="036AD9CB"/>
    <w:rsid w:val="036B5BB6"/>
    <w:rsid w:val="036B99A1"/>
    <w:rsid w:val="03BE6C59"/>
    <w:rsid w:val="03C58599"/>
    <w:rsid w:val="03EBFF49"/>
    <w:rsid w:val="044107E3"/>
    <w:rsid w:val="04502852"/>
    <w:rsid w:val="0484986B"/>
    <w:rsid w:val="04CF40DB"/>
    <w:rsid w:val="050CA028"/>
    <w:rsid w:val="0538FE31"/>
    <w:rsid w:val="0539DDAF"/>
    <w:rsid w:val="053B01A8"/>
    <w:rsid w:val="057313DB"/>
    <w:rsid w:val="0579B595"/>
    <w:rsid w:val="0598F529"/>
    <w:rsid w:val="059C1EA3"/>
    <w:rsid w:val="05D5BEAC"/>
    <w:rsid w:val="0625142E"/>
    <w:rsid w:val="0658CDCA"/>
    <w:rsid w:val="065C72CF"/>
    <w:rsid w:val="069B316E"/>
    <w:rsid w:val="06E6828E"/>
    <w:rsid w:val="06FEF7CF"/>
    <w:rsid w:val="0703870A"/>
    <w:rsid w:val="07084375"/>
    <w:rsid w:val="071A9FD2"/>
    <w:rsid w:val="074EA4FC"/>
    <w:rsid w:val="07549A66"/>
    <w:rsid w:val="0768F4D5"/>
    <w:rsid w:val="07732651"/>
    <w:rsid w:val="077F7EF3"/>
    <w:rsid w:val="07CE8527"/>
    <w:rsid w:val="07EE2314"/>
    <w:rsid w:val="07FD0CB0"/>
    <w:rsid w:val="082135D4"/>
    <w:rsid w:val="086E4823"/>
    <w:rsid w:val="088A207E"/>
    <w:rsid w:val="088E2BC2"/>
    <w:rsid w:val="088E87DE"/>
    <w:rsid w:val="08ACE0FE"/>
    <w:rsid w:val="08C43022"/>
    <w:rsid w:val="08D89A71"/>
    <w:rsid w:val="08DF26A3"/>
    <w:rsid w:val="08E9E152"/>
    <w:rsid w:val="08F1982F"/>
    <w:rsid w:val="090B0E7A"/>
    <w:rsid w:val="0919A65E"/>
    <w:rsid w:val="096A59F4"/>
    <w:rsid w:val="09FA738F"/>
    <w:rsid w:val="09FBF90F"/>
    <w:rsid w:val="0A0A79F0"/>
    <w:rsid w:val="0A2E577F"/>
    <w:rsid w:val="0A555DCB"/>
    <w:rsid w:val="0A741170"/>
    <w:rsid w:val="0ADDE388"/>
    <w:rsid w:val="0B4D401D"/>
    <w:rsid w:val="0B8838F9"/>
    <w:rsid w:val="0B90F7AB"/>
    <w:rsid w:val="0BBECE11"/>
    <w:rsid w:val="0BE29BBA"/>
    <w:rsid w:val="0BE375F4"/>
    <w:rsid w:val="0C14AB73"/>
    <w:rsid w:val="0C348F5B"/>
    <w:rsid w:val="0C55914A"/>
    <w:rsid w:val="0C8CEC08"/>
    <w:rsid w:val="0CA02A56"/>
    <w:rsid w:val="0CA914B5"/>
    <w:rsid w:val="0CB36519"/>
    <w:rsid w:val="0CB47343"/>
    <w:rsid w:val="0CF33069"/>
    <w:rsid w:val="0D0B6B61"/>
    <w:rsid w:val="0D207148"/>
    <w:rsid w:val="0D2D2CE9"/>
    <w:rsid w:val="0D3EF933"/>
    <w:rsid w:val="0D41F84F"/>
    <w:rsid w:val="0D62C3D6"/>
    <w:rsid w:val="0D948E6C"/>
    <w:rsid w:val="0DD08AAF"/>
    <w:rsid w:val="0DD8083D"/>
    <w:rsid w:val="0DED48D8"/>
    <w:rsid w:val="0DEE2BD2"/>
    <w:rsid w:val="0E83122B"/>
    <w:rsid w:val="0E89048C"/>
    <w:rsid w:val="0F4E2070"/>
    <w:rsid w:val="0F777D92"/>
    <w:rsid w:val="0F972B89"/>
    <w:rsid w:val="0FFF33FD"/>
    <w:rsid w:val="1009E553"/>
    <w:rsid w:val="102D400E"/>
    <w:rsid w:val="103BD731"/>
    <w:rsid w:val="10486D44"/>
    <w:rsid w:val="10637406"/>
    <w:rsid w:val="10B31306"/>
    <w:rsid w:val="10E48F31"/>
    <w:rsid w:val="10F482BA"/>
    <w:rsid w:val="11193AD3"/>
    <w:rsid w:val="1132C631"/>
    <w:rsid w:val="113881E0"/>
    <w:rsid w:val="114EAF87"/>
    <w:rsid w:val="1161E5FB"/>
    <w:rsid w:val="11EC49BA"/>
    <w:rsid w:val="121DFF18"/>
    <w:rsid w:val="122A4C48"/>
    <w:rsid w:val="123C65AA"/>
    <w:rsid w:val="124729C1"/>
    <w:rsid w:val="125BA6AE"/>
    <w:rsid w:val="1283EA79"/>
    <w:rsid w:val="129B0E00"/>
    <w:rsid w:val="12A16409"/>
    <w:rsid w:val="12B43C0F"/>
    <w:rsid w:val="12C7C4DF"/>
    <w:rsid w:val="12D2EF93"/>
    <w:rsid w:val="12F1AB76"/>
    <w:rsid w:val="1378C36C"/>
    <w:rsid w:val="13865BA7"/>
    <w:rsid w:val="13B63ED3"/>
    <w:rsid w:val="13ED9A26"/>
    <w:rsid w:val="13EF7531"/>
    <w:rsid w:val="14344B59"/>
    <w:rsid w:val="1436E6CB"/>
    <w:rsid w:val="143A19A6"/>
    <w:rsid w:val="143F5526"/>
    <w:rsid w:val="14525D1A"/>
    <w:rsid w:val="1460F0AB"/>
    <w:rsid w:val="14970C51"/>
    <w:rsid w:val="14A19E00"/>
    <w:rsid w:val="14BF6603"/>
    <w:rsid w:val="14EDFBFF"/>
    <w:rsid w:val="15096DEF"/>
    <w:rsid w:val="1587572B"/>
    <w:rsid w:val="1594FE99"/>
    <w:rsid w:val="15B9A3FF"/>
    <w:rsid w:val="15BD1373"/>
    <w:rsid w:val="15BFFE70"/>
    <w:rsid w:val="15EB18E2"/>
    <w:rsid w:val="15ECE8A3"/>
    <w:rsid w:val="160DDA4F"/>
    <w:rsid w:val="1675B0E5"/>
    <w:rsid w:val="16892429"/>
    <w:rsid w:val="16A327CD"/>
    <w:rsid w:val="16A7D5F6"/>
    <w:rsid w:val="16C17AA1"/>
    <w:rsid w:val="16CC0C0D"/>
    <w:rsid w:val="16F8F461"/>
    <w:rsid w:val="174EDFFF"/>
    <w:rsid w:val="175703C1"/>
    <w:rsid w:val="1792C4F7"/>
    <w:rsid w:val="17A9E9D0"/>
    <w:rsid w:val="17F12EB1"/>
    <w:rsid w:val="187C8ACD"/>
    <w:rsid w:val="188B129B"/>
    <w:rsid w:val="18AA5E38"/>
    <w:rsid w:val="18ABE195"/>
    <w:rsid w:val="18B24AD8"/>
    <w:rsid w:val="18B506D5"/>
    <w:rsid w:val="18C7ABC0"/>
    <w:rsid w:val="18F0D69F"/>
    <w:rsid w:val="194A8386"/>
    <w:rsid w:val="1992B7C8"/>
    <w:rsid w:val="19B2C00F"/>
    <w:rsid w:val="19CBBB1B"/>
    <w:rsid w:val="1A0C6017"/>
    <w:rsid w:val="1A38C5C4"/>
    <w:rsid w:val="1A4B6C06"/>
    <w:rsid w:val="1A58F8AD"/>
    <w:rsid w:val="1A751789"/>
    <w:rsid w:val="1A76409C"/>
    <w:rsid w:val="1A91352A"/>
    <w:rsid w:val="1AD7D403"/>
    <w:rsid w:val="1AE7AC90"/>
    <w:rsid w:val="1AF7813F"/>
    <w:rsid w:val="1B2384AF"/>
    <w:rsid w:val="1B3CA75A"/>
    <w:rsid w:val="1B6858DD"/>
    <w:rsid w:val="1B8AF353"/>
    <w:rsid w:val="1BA3F3E2"/>
    <w:rsid w:val="1BAA2933"/>
    <w:rsid w:val="1BB129CD"/>
    <w:rsid w:val="1BEBC8B1"/>
    <w:rsid w:val="1C1B37F1"/>
    <w:rsid w:val="1C46F5E5"/>
    <w:rsid w:val="1CA30D4A"/>
    <w:rsid w:val="1CA6ABCE"/>
    <w:rsid w:val="1CA91557"/>
    <w:rsid w:val="1CDF5066"/>
    <w:rsid w:val="1D3AD455"/>
    <w:rsid w:val="1D6514A1"/>
    <w:rsid w:val="1D8B565E"/>
    <w:rsid w:val="1DA7CBC4"/>
    <w:rsid w:val="1DB6AC78"/>
    <w:rsid w:val="1DCA207F"/>
    <w:rsid w:val="1DF74701"/>
    <w:rsid w:val="1DFA9256"/>
    <w:rsid w:val="1E478FF2"/>
    <w:rsid w:val="1E6EC8C9"/>
    <w:rsid w:val="1EA5F12A"/>
    <w:rsid w:val="1EDD18D5"/>
    <w:rsid w:val="1EE1E18F"/>
    <w:rsid w:val="1F080D78"/>
    <w:rsid w:val="1F2F2AA6"/>
    <w:rsid w:val="1F36323A"/>
    <w:rsid w:val="1F3DEF31"/>
    <w:rsid w:val="1F5BBCD2"/>
    <w:rsid w:val="1F5EBEFB"/>
    <w:rsid w:val="1FA1ECD0"/>
    <w:rsid w:val="1FC6D0AE"/>
    <w:rsid w:val="202131B3"/>
    <w:rsid w:val="204AA428"/>
    <w:rsid w:val="206EF001"/>
    <w:rsid w:val="209BBF8D"/>
    <w:rsid w:val="20AFE6B8"/>
    <w:rsid w:val="217FA4F9"/>
    <w:rsid w:val="21890543"/>
    <w:rsid w:val="21A43BFD"/>
    <w:rsid w:val="21E4AFEB"/>
    <w:rsid w:val="220BBB99"/>
    <w:rsid w:val="2281FBC5"/>
    <w:rsid w:val="22CE542E"/>
    <w:rsid w:val="22DB909E"/>
    <w:rsid w:val="22F05BC4"/>
    <w:rsid w:val="22F14CE3"/>
    <w:rsid w:val="230F1EEE"/>
    <w:rsid w:val="231052C2"/>
    <w:rsid w:val="2337D115"/>
    <w:rsid w:val="23769D27"/>
    <w:rsid w:val="2398AB64"/>
    <w:rsid w:val="23AC78EE"/>
    <w:rsid w:val="23C3AF14"/>
    <w:rsid w:val="23DB1884"/>
    <w:rsid w:val="241EA85C"/>
    <w:rsid w:val="244C76AA"/>
    <w:rsid w:val="2485C169"/>
    <w:rsid w:val="24ABB178"/>
    <w:rsid w:val="24C19D18"/>
    <w:rsid w:val="24C4B614"/>
    <w:rsid w:val="24E2E8B1"/>
    <w:rsid w:val="24EF72D7"/>
    <w:rsid w:val="25004350"/>
    <w:rsid w:val="250660FB"/>
    <w:rsid w:val="250BA8DD"/>
    <w:rsid w:val="2547E1B0"/>
    <w:rsid w:val="25E0686F"/>
    <w:rsid w:val="25F5A739"/>
    <w:rsid w:val="26245D30"/>
    <w:rsid w:val="263618E0"/>
    <w:rsid w:val="263DFE7B"/>
    <w:rsid w:val="26883BC1"/>
    <w:rsid w:val="26C1ABEE"/>
    <w:rsid w:val="2730FB3D"/>
    <w:rsid w:val="27444236"/>
    <w:rsid w:val="274B44B8"/>
    <w:rsid w:val="27A05FD2"/>
    <w:rsid w:val="27BE5F13"/>
    <w:rsid w:val="2800B4AE"/>
    <w:rsid w:val="28064C8C"/>
    <w:rsid w:val="2820F14A"/>
    <w:rsid w:val="2854DADD"/>
    <w:rsid w:val="285735B2"/>
    <w:rsid w:val="28593C94"/>
    <w:rsid w:val="286B750D"/>
    <w:rsid w:val="289BD30A"/>
    <w:rsid w:val="28D8CFDA"/>
    <w:rsid w:val="28FC8E69"/>
    <w:rsid w:val="290AD920"/>
    <w:rsid w:val="291120E1"/>
    <w:rsid w:val="292D15E2"/>
    <w:rsid w:val="2952847E"/>
    <w:rsid w:val="29607E97"/>
    <w:rsid w:val="29768DB0"/>
    <w:rsid w:val="299012D3"/>
    <w:rsid w:val="299364A0"/>
    <w:rsid w:val="299C0897"/>
    <w:rsid w:val="29B4B7FE"/>
    <w:rsid w:val="29BFF2D9"/>
    <w:rsid w:val="2A53FDAB"/>
    <w:rsid w:val="2A8427CE"/>
    <w:rsid w:val="2AA12184"/>
    <w:rsid w:val="2AB0A704"/>
    <w:rsid w:val="2AC5A969"/>
    <w:rsid w:val="2ADDCEE1"/>
    <w:rsid w:val="2AEC1F76"/>
    <w:rsid w:val="2B1F5540"/>
    <w:rsid w:val="2B3424B7"/>
    <w:rsid w:val="2B5F18B0"/>
    <w:rsid w:val="2B6D6FC5"/>
    <w:rsid w:val="2B89FE84"/>
    <w:rsid w:val="2B8A09EB"/>
    <w:rsid w:val="2B996B00"/>
    <w:rsid w:val="2BC76C57"/>
    <w:rsid w:val="2BD153CD"/>
    <w:rsid w:val="2C1DCCA3"/>
    <w:rsid w:val="2C2FA4D2"/>
    <w:rsid w:val="2C5171B2"/>
    <w:rsid w:val="2C6CD7D5"/>
    <w:rsid w:val="2C95CC05"/>
    <w:rsid w:val="2C9B0F89"/>
    <w:rsid w:val="2D04A31A"/>
    <w:rsid w:val="2D28737F"/>
    <w:rsid w:val="2D3CF885"/>
    <w:rsid w:val="2D423157"/>
    <w:rsid w:val="2D7523EF"/>
    <w:rsid w:val="2D7F1E71"/>
    <w:rsid w:val="2DB2335A"/>
    <w:rsid w:val="2E077760"/>
    <w:rsid w:val="2E23C087"/>
    <w:rsid w:val="2E284BAF"/>
    <w:rsid w:val="2E288AC6"/>
    <w:rsid w:val="2E2AA8BF"/>
    <w:rsid w:val="2E511B2C"/>
    <w:rsid w:val="2E87F951"/>
    <w:rsid w:val="2E9A17AF"/>
    <w:rsid w:val="2E9A9792"/>
    <w:rsid w:val="2EB93325"/>
    <w:rsid w:val="2EBB14AB"/>
    <w:rsid w:val="2EBEB450"/>
    <w:rsid w:val="2EC4CC40"/>
    <w:rsid w:val="2EC4FFA0"/>
    <w:rsid w:val="2EDAB5D6"/>
    <w:rsid w:val="2EFFC026"/>
    <w:rsid w:val="2F12484E"/>
    <w:rsid w:val="2F20789D"/>
    <w:rsid w:val="2F2B2B01"/>
    <w:rsid w:val="2F2C5A2B"/>
    <w:rsid w:val="2F5E8B35"/>
    <w:rsid w:val="2F7F267E"/>
    <w:rsid w:val="2F7FDAF2"/>
    <w:rsid w:val="2F7FE9C3"/>
    <w:rsid w:val="2F8925D8"/>
    <w:rsid w:val="2F8DD97C"/>
    <w:rsid w:val="2F938051"/>
    <w:rsid w:val="2FAED381"/>
    <w:rsid w:val="2FB73584"/>
    <w:rsid w:val="2FE63A9B"/>
    <w:rsid w:val="2FFBAF58"/>
    <w:rsid w:val="3043578D"/>
    <w:rsid w:val="30A61690"/>
    <w:rsid w:val="30E01E5D"/>
    <w:rsid w:val="30F619FE"/>
    <w:rsid w:val="310B003E"/>
    <w:rsid w:val="31B19B4A"/>
    <w:rsid w:val="3235338B"/>
    <w:rsid w:val="329BF444"/>
    <w:rsid w:val="32A594A1"/>
    <w:rsid w:val="32BE3E3E"/>
    <w:rsid w:val="32C098E2"/>
    <w:rsid w:val="32C64FEE"/>
    <w:rsid w:val="32D510B8"/>
    <w:rsid w:val="32EF3126"/>
    <w:rsid w:val="32F14E4E"/>
    <w:rsid w:val="3312C359"/>
    <w:rsid w:val="33A3CD0A"/>
    <w:rsid w:val="33AC30BF"/>
    <w:rsid w:val="33FDD901"/>
    <w:rsid w:val="3428F2A1"/>
    <w:rsid w:val="344FDCEB"/>
    <w:rsid w:val="345B875C"/>
    <w:rsid w:val="3470163C"/>
    <w:rsid w:val="347A0AA5"/>
    <w:rsid w:val="34AA2691"/>
    <w:rsid w:val="34C7B948"/>
    <w:rsid w:val="34DDBAB2"/>
    <w:rsid w:val="34FA6EF5"/>
    <w:rsid w:val="354B5555"/>
    <w:rsid w:val="357F62D8"/>
    <w:rsid w:val="3598E51F"/>
    <w:rsid w:val="35C34F16"/>
    <w:rsid w:val="35F95608"/>
    <w:rsid w:val="36035A8D"/>
    <w:rsid w:val="3605F555"/>
    <w:rsid w:val="3610730F"/>
    <w:rsid w:val="362E8854"/>
    <w:rsid w:val="36450F78"/>
    <w:rsid w:val="364B5B8F"/>
    <w:rsid w:val="3650E994"/>
    <w:rsid w:val="36633BD8"/>
    <w:rsid w:val="36644AF9"/>
    <w:rsid w:val="368C9A40"/>
    <w:rsid w:val="36CB12B4"/>
    <w:rsid w:val="36CEA971"/>
    <w:rsid w:val="36E3EDA7"/>
    <w:rsid w:val="36EDF289"/>
    <w:rsid w:val="3727E35A"/>
    <w:rsid w:val="3783AABB"/>
    <w:rsid w:val="37883701"/>
    <w:rsid w:val="378DEA20"/>
    <w:rsid w:val="37D34C74"/>
    <w:rsid w:val="37D6CA09"/>
    <w:rsid w:val="37D979B7"/>
    <w:rsid w:val="37EE955F"/>
    <w:rsid w:val="382DB042"/>
    <w:rsid w:val="385EB447"/>
    <w:rsid w:val="38B1630C"/>
    <w:rsid w:val="38DD201F"/>
    <w:rsid w:val="38E80465"/>
    <w:rsid w:val="38E93CC0"/>
    <w:rsid w:val="391442C4"/>
    <w:rsid w:val="3917AD6F"/>
    <w:rsid w:val="39866B3C"/>
    <w:rsid w:val="399CD86B"/>
    <w:rsid w:val="39C3AF82"/>
    <w:rsid w:val="39E13ECB"/>
    <w:rsid w:val="39E56B46"/>
    <w:rsid w:val="3A04F74C"/>
    <w:rsid w:val="3A3A8B93"/>
    <w:rsid w:val="3A49A48B"/>
    <w:rsid w:val="3A50B072"/>
    <w:rsid w:val="3A59857E"/>
    <w:rsid w:val="3ABF39FF"/>
    <w:rsid w:val="3AD15AD6"/>
    <w:rsid w:val="3B0739B9"/>
    <w:rsid w:val="3B0D8BE5"/>
    <w:rsid w:val="3B99A93E"/>
    <w:rsid w:val="3BAC986D"/>
    <w:rsid w:val="3BCBB75B"/>
    <w:rsid w:val="3C3144AE"/>
    <w:rsid w:val="3C33F855"/>
    <w:rsid w:val="3C389031"/>
    <w:rsid w:val="3C461C5D"/>
    <w:rsid w:val="3C4F8CE3"/>
    <w:rsid w:val="3C4FBFA0"/>
    <w:rsid w:val="3C52FF0A"/>
    <w:rsid w:val="3C65B0F2"/>
    <w:rsid w:val="3C861BB7"/>
    <w:rsid w:val="3C9AF03F"/>
    <w:rsid w:val="3CA377C3"/>
    <w:rsid w:val="3CB282A7"/>
    <w:rsid w:val="3CF0A5AA"/>
    <w:rsid w:val="3D00406D"/>
    <w:rsid w:val="3D0F1EC7"/>
    <w:rsid w:val="3D18F364"/>
    <w:rsid w:val="3D2EE7F7"/>
    <w:rsid w:val="3D98DFA1"/>
    <w:rsid w:val="3DA035BF"/>
    <w:rsid w:val="3DBCF18F"/>
    <w:rsid w:val="3DC5B335"/>
    <w:rsid w:val="3DD385F1"/>
    <w:rsid w:val="3E07FFB2"/>
    <w:rsid w:val="3E24756A"/>
    <w:rsid w:val="3E2B4BBE"/>
    <w:rsid w:val="3E4F457A"/>
    <w:rsid w:val="3E5E555D"/>
    <w:rsid w:val="3E689B96"/>
    <w:rsid w:val="3EA00EC8"/>
    <w:rsid w:val="3EEB6AF1"/>
    <w:rsid w:val="3F07B89C"/>
    <w:rsid w:val="3F1992A9"/>
    <w:rsid w:val="3F6D1930"/>
    <w:rsid w:val="3FB3E8FF"/>
    <w:rsid w:val="3FBF74C1"/>
    <w:rsid w:val="3FE5809E"/>
    <w:rsid w:val="3FE9ED17"/>
    <w:rsid w:val="4017C3D0"/>
    <w:rsid w:val="401CD2FD"/>
    <w:rsid w:val="402D5B2A"/>
    <w:rsid w:val="40406E21"/>
    <w:rsid w:val="405E2BD9"/>
    <w:rsid w:val="4093E353"/>
    <w:rsid w:val="40B4F6F6"/>
    <w:rsid w:val="40D2457D"/>
    <w:rsid w:val="40D99C43"/>
    <w:rsid w:val="410279CD"/>
    <w:rsid w:val="41071BD2"/>
    <w:rsid w:val="4107B20A"/>
    <w:rsid w:val="41464A2D"/>
    <w:rsid w:val="414D8C5D"/>
    <w:rsid w:val="415FC35C"/>
    <w:rsid w:val="41ACD364"/>
    <w:rsid w:val="41B7E1BF"/>
    <w:rsid w:val="4220E3AE"/>
    <w:rsid w:val="42713D35"/>
    <w:rsid w:val="427E7877"/>
    <w:rsid w:val="4289CA95"/>
    <w:rsid w:val="429F6E62"/>
    <w:rsid w:val="42C5C2FC"/>
    <w:rsid w:val="42DAE9B3"/>
    <w:rsid w:val="43059525"/>
    <w:rsid w:val="4325A529"/>
    <w:rsid w:val="432D7D70"/>
    <w:rsid w:val="439FE1F2"/>
    <w:rsid w:val="43A0E269"/>
    <w:rsid w:val="43B98769"/>
    <w:rsid w:val="43DE9752"/>
    <w:rsid w:val="44064EE7"/>
    <w:rsid w:val="4421DD03"/>
    <w:rsid w:val="445A45E6"/>
    <w:rsid w:val="445AD2DF"/>
    <w:rsid w:val="446DBE9F"/>
    <w:rsid w:val="448ADEAB"/>
    <w:rsid w:val="44A2C2F2"/>
    <w:rsid w:val="44AA4321"/>
    <w:rsid w:val="452CC5C1"/>
    <w:rsid w:val="453E52E2"/>
    <w:rsid w:val="45952341"/>
    <w:rsid w:val="45A59A21"/>
    <w:rsid w:val="45BC7EE2"/>
    <w:rsid w:val="45D31B90"/>
    <w:rsid w:val="45E539D3"/>
    <w:rsid w:val="45F15317"/>
    <w:rsid w:val="46067C35"/>
    <w:rsid w:val="4631E448"/>
    <w:rsid w:val="4637D00E"/>
    <w:rsid w:val="46768BD7"/>
    <w:rsid w:val="46B5E419"/>
    <w:rsid w:val="46EB81C5"/>
    <w:rsid w:val="4710E74A"/>
    <w:rsid w:val="471B524B"/>
    <w:rsid w:val="47378180"/>
    <w:rsid w:val="476C9040"/>
    <w:rsid w:val="4786419F"/>
    <w:rsid w:val="47A5BD3C"/>
    <w:rsid w:val="47B1039A"/>
    <w:rsid w:val="47BAF87A"/>
    <w:rsid w:val="4805FC36"/>
    <w:rsid w:val="480C90C1"/>
    <w:rsid w:val="483C5FB4"/>
    <w:rsid w:val="4849EA15"/>
    <w:rsid w:val="48673A16"/>
    <w:rsid w:val="486A3063"/>
    <w:rsid w:val="4882BB8E"/>
    <w:rsid w:val="4887FFB6"/>
    <w:rsid w:val="4893F62D"/>
    <w:rsid w:val="48A0E852"/>
    <w:rsid w:val="48A66256"/>
    <w:rsid w:val="48A9C5BA"/>
    <w:rsid w:val="48BD5529"/>
    <w:rsid w:val="48C582A6"/>
    <w:rsid w:val="48C71D6D"/>
    <w:rsid w:val="48ED0716"/>
    <w:rsid w:val="48FACBD9"/>
    <w:rsid w:val="496228D1"/>
    <w:rsid w:val="49731823"/>
    <w:rsid w:val="4982D274"/>
    <w:rsid w:val="4984AAB2"/>
    <w:rsid w:val="4984EFBC"/>
    <w:rsid w:val="49AE05E4"/>
    <w:rsid w:val="4A1DAF8C"/>
    <w:rsid w:val="4A2BCAC3"/>
    <w:rsid w:val="4A337C3A"/>
    <w:rsid w:val="4A7FC972"/>
    <w:rsid w:val="4A9F93A9"/>
    <w:rsid w:val="4AB8E83D"/>
    <w:rsid w:val="4AD8761D"/>
    <w:rsid w:val="4AE8B95E"/>
    <w:rsid w:val="4B15283E"/>
    <w:rsid w:val="4B15D1A7"/>
    <w:rsid w:val="4B1AA713"/>
    <w:rsid w:val="4B2F0DC7"/>
    <w:rsid w:val="4BC68C8E"/>
    <w:rsid w:val="4BD001DA"/>
    <w:rsid w:val="4BDC993E"/>
    <w:rsid w:val="4C0050DE"/>
    <w:rsid w:val="4C1C524E"/>
    <w:rsid w:val="4C355EE9"/>
    <w:rsid w:val="4C35D0A1"/>
    <w:rsid w:val="4C5CE802"/>
    <w:rsid w:val="4C8F2FB0"/>
    <w:rsid w:val="4CEDE401"/>
    <w:rsid w:val="4D130988"/>
    <w:rsid w:val="4D163832"/>
    <w:rsid w:val="4D18B367"/>
    <w:rsid w:val="4D18E773"/>
    <w:rsid w:val="4D6622B5"/>
    <w:rsid w:val="4D8A366B"/>
    <w:rsid w:val="4DBFB472"/>
    <w:rsid w:val="4DC266D6"/>
    <w:rsid w:val="4DD5A2A9"/>
    <w:rsid w:val="4DE79081"/>
    <w:rsid w:val="4DE8A6E2"/>
    <w:rsid w:val="4E276FE9"/>
    <w:rsid w:val="4E2D1E0A"/>
    <w:rsid w:val="4E4DE11D"/>
    <w:rsid w:val="4E6FE5A0"/>
    <w:rsid w:val="4E981562"/>
    <w:rsid w:val="4EB8C146"/>
    <w:rsid w:val="4ECD52A0"/>
    <w:rsid w:val="4EFA0A23"/>
    <w:rsid w:val="4F1043C3"/>
    <w:rsid w:val="4F2210BA"/>
    <w:rsid w:val="4F395C95"/>
    <w:rsid w:val="4F3C0D8B"/>
    <w:rsid w:val="4F5C9C0D"/>
    <w:rsid w:val="4F5E2EA0"/>
    <w:rsid w:val="4FC4C1AE"/>
    <w:rsid w:val="50305C03"/>
    <w:rsid w:val="5032B380"/>
    <w:rsid w:val="507FC6A6"/>
    <w:rsid w:val="50A75257"/>
    <w:rsid w:val="50D21C6A"/>
    <w:rsid w:val="50F3DB61"/>
    <w:rsid w:val="50FA857E"/>
    <w:rsid w:val="51D559B0"/>
    <w:rsid w:val="51F6F763"/>
    <w:rsid w:val="5206EBE9"/>
    <w:rsid w:val="520E1CE6"/>
    <w:rsid w:val="5234ED5A"/>
    <w:rsid w:val="523D7014"/>
    <w:rsid w:val="52547058"/>
    <w:rsid w:val="5275C5E6"/>
    <w:rsid w:val="52B36E16"/>
    <w:rsid w:val="52BADF62"/>
    <w:rsid w:val="52D3E892"/>
    <w:rsid w:val="52F126D5"/>
    <w:rsid w:val="532DEF14"/>
    <w:rsid w:val="532E92FA"/>
    <w:rsid w:val="532FF42C"/>
    <w:rsid w:val="5346D881"/>
    <w:rsid w:val="5384585F"/>
    <w:rsid w:val="538C5972"/>
    <w:rsid w:val="53A05655"/>
    <w:rsid w:val="53CE72A1"/>
    <w:rsid w:val="53DDC5E8"/>
    <w:rsid w:val="541F9357"/>
    <w:rsid w:val="5422BA47"/>
    <w:rsid w:val="5448E25F"/>
    <w:rsid w:val="544D1A9F"/>
    <w:rsid w:val="54530A02"/>
    <w:rsid w:val="5454FCB8"/>
    <w:rsid w:val="548ADE09"/>
    <w:rsid w:val="54B09B7C"/>
    <w:rsid w:val="54B3C36F"/>
    <w:rsid w:val="54C0C339"/>
    <w:rsid w:val="54F0AD32"/>
    <w:rsid w:val="55149C40"/>
    <w:rsid w:val="557348A0"/>
    <w:rsid w:val="55CCD34F"/>
    <w:rsid w:val="55F3CFE3"/>
    <w:rsid w:val="5622C8D9"/>
    <w:rsid w:val="5675979A"/>
    <w:rsid w:val="56908EE6"/>
    <w:rsid w:val="56A07D59"/>
    <w:rsid w:val="56E2455E"/>
    <w:rsid w:val="57035C40"/>
    <w:rsid w:val="57038435"/>
    <w:rsid w:val="5709FA35"/>
    <w:rsid w:val="577F7716"/>
    <w:rsid w:val="57987409"/>
    <w:rsid w:val="57D1196D"/>
    <w:rsid w:val="57DDF94A"/>
    <w:rsid w:val="57F86119"/>
    <w:rsid w:val="57FF679F"/>
    <w:rsid w:val="58023180"/>
    <w:rsid w:val="580F457D"/>
    <w:rsid w:val="5878F04C"/>
    <w:rsid w:val="587FD029"/>
    <w:rsid w:val="58896290"/>
    <w:rsid w:val="588F5DC7"/>
    <w:rsid w:val="58D532A3"/>
    <w:rsid w:val="58EA6311"/>
    <w:rsid w:val="58F7CF7E"/>
    <w:rsid w:val="591A8E72"/>
    <w:rsid w:val="596C9A88"/>
    <w:rsid w:val="59C2AF69"/>
    <w:rsid w:val="59CC4327"/>
    <w:rsid w:val="59DB4822"/>
    <w:rsid w:val="59E7D025"/>
    <w:rsid w:val="59EA8A45"/>
    <w:rsid w:val="59F2B6D6"/>
    <w:rsid w:val="59F881C6"/>
    <w:rsid w:val="5A019713"/>
    <w:rsid w:val="5A0D7018"/>
    <w:rsid w:val="5A25C566"/>
    <w:rsid w:val="5A2C8CE2"/>
    <w:rsid w:val="5A2FA9FE"/>
    <w:rsid w:val="5A67C105"/>
    <w:rsid w:val="5A7C64EF"/>
    <w:rsid w:val="5A87B87D"/>
    <w:rsid w:val="5AD0ACC2"/>
    <w:rsid w:val="5ADF588F"/>
    <w:rsid w:val="5B13720C"/>
    <w:rsid w:val="5B264262"/>
    <w:rsid w:val="5B3427EE"/>
    <w:rsid w:val="5C1B527A"/>
    <w:rsid w:val="5C477D69"/>
    <w:rsid w:val="5C704E1E"/>
    <w:rsid w:val="5C71E908"/>
    <w:rsid w:val="5C84FEAE"/>
    <w:rsid w:val="5C8F8315"/>
    <w:rsid w:val="5DA5884D"/>
    <w:rsid w:val="5DC69E84"/>
    <w:rsid w:val="5DE4E7F4"/>
    <w:rsid w:val="5E0203E8"/>
    <w:rsid w:val="5E0DD21A"/>
    <w:rsid w:val="5E5BD124"/>
    <w:rsid w:val="5E9B8A9C"/>
    <w:rsid w:val="5E9DDFD0"/>
    <w:rsid w:val="5ECA5647"/>
    <w:rsid w:val="5F5DAE03"/>
    <w:rsid w:val="5F7FFB0B"/>
    <w:rsid w:val="5F9B4770"/>
    <w:rsid w:val="604894B0"/>
    <w:rsid w:val="6076FB26"/>
    <w:rsid w:val="6078911B"/>
    <w:rsid w:val="60CE1F6F"/>
    <w:rsid w:val="613681A6"/>
    <w:rsid w:val="6143606C"/>
    <w:rsid w:val="615A254F"/>
    <w:rsid w:val="61630052"/>
    <w:rsid w:val="6164F3B9"/>
    <w:rsid w:val="618B58D1"/>
    <w:rsid w:val="6221AC3E"/>
    <w:rsid w:val="62354722"/>
    <w:rsid w:val="62510FCC"/>
    <w:rsid w:val="62543EA5"/>
    <w:rsid w:val="628F070C"/>
    <w:rsid w:val="63033613"/>
    <w:rsid w:val="6345BABE"/>
    <w:rsid w:val="635E55EA"/>
    <w:rsid w:val="637F2513"/>
    <w:rsid w:val="6392A356"/>
    <w:rsid w:val="6399CC55"/>
    <w:rsid w:val="63CD29AB"/>
    <w:rsid w:val="647AC654"/>
    <w:rsid w:val="64AF999C"/>
    <w:rsid w:val="64D62885"/>
    <w:rsid w:val="65038CB3"/>
    <w:rsid w:val="6534C262"/>
    <w:rsid w:val="653DA02D"/>
    <w:rsid w:val="654E8037"/>
    <w:rsid w:val="65706923"/>
    <w:rsid w:val="657FB0FA"/>
    <w:rsid w:val="65A16350"/>
    <w:rsid w:val="65A4903F"/>
    <w:rsid w:val="65B80064"/>
    <w:rsid w:val="65F0FB4E"/>
    <w:rsid w:val="660FDBF7"/>
    <w:rsid w:val="66291B1F"/>
    <w:rsid w:val="667D7AE3"/>
    <w:rsid w:val="66809473"/>
    <w:rsid w:val="6691D196"/>
    <w:rsid w:val="66EDE49B"/>
    <w:rsid w:val="67073B9D"/>
    <w:rsid w:val="6730C0FF"/>
    <w:rsid w:val="674A955A"/>
    <w:rsid w:val="67BA74A6"/>
    <w:rsid w:val="67D4BA72"/>
    <w:rsid w:val="67F0BFCB"/>
    <w:rsid w:val="6819215E"/>
    <w:rsid w:val="6864C188"/>
    <w:rsid w:val="687AFA94"/>
    <w:rsid w:val="6891CD4D"/>
    <w:rsid w:val="68AD95CA"/>
    <w:rsid w:val="68C9C27D"/>
    <w:rsid w:val="6926305E"/>
    <w:rsid w:val="69BDC83F"/>
    <w:rsid w:val="69CEB961"/>
    <w:rsid w:val="6A133182"/>
    <w:rsid w:val="6A85A273"/>
    <w:rsid w:val="6A8B48A3"/>
    <w:rsid w:val="6AA06A95"/>
    <w:rsid w:val="6AA7A8AA"/>
    <w:rsid w:val="6AB5541C"/>
    <w:rsid w:val="6AC4566B"/>
    <w:rsid w:val="6B1498AC"/>
    <w:rsid w:val="6B4A4D82"/>
    <w:rsid w:val="6B5481FE"/>
    <w:rsid w:val="6B65EB4D"/>
    <w:rsid w:val="6B964EB5"/>
    <w:rsid w:val="6B9CCF66"/>
    <w:rsid w:val="6BB67ADE"/>
    <w:rsid w:val="6BE1019B"/>
    <w:rsid w:val="6C09FE16"/>
    <w:rsid w:val="6C85F64B"/>
    <w:rsid w:val="6CAAAB80"/>
    <w:rsid w:val="6CC192D1"/>
    <w:rsid w:val="6CDD0DC2"/>
    <w:rsid w:val="6CEDB0C4"/>
    <w:rsid w:val="6CFB4F05"/>
    <w:rsid w:val="6D13159F"/>
    <w:rsid w:val="6DC27A45"/>
    <w:rsid w:val="6DDF8935"/>
    <w:rsid w:val="6DEBE194"/>
    <w:rsid w:val="6E294B2A"/>
    <w:rsid w:val="6EA01B73"/>
    <w:rsid w:val="6EAA9B59"/>
    <w:rsid w:val="6F873DFE"/>
    <w:rsid w:val="6F8A5441"/>
    <w:rsid w:val="6F8BDD48"/>
    <w:rsid w:val="6FA24FA7"/>
    <w:rsid w:val="6FC65527"/>
    <w:rsid w:val="6FDA3515"/>
    <w:rsid w:val="6FDE41EB"/>
    <w:rsid w:val="6FE13DCA"/>
    <w:rsid w:val="6FF47141"/>
    <w:rsid w:val="6FF98E6F"/>
    <w:rsid w:val="70748FAC"/>
    <w:rsid w:val="70B898A0"/>
    <w:rsid w:val="70D856FA"/>
    <w:rsid w:val="70DD8972"/>
    <w:rsid w:val="70E6957C"/>
    <w:rsid w:val="7101CD58"/>
    <w:rsid w:val="7170CD81"/>
    <w:rsid w:val="71A1EFC3"/>
    <w:rsid w:val="71B1A68B"/>
    <w:rsid w:val="71D5642B"/>
    <w:rsid w:val="72428841"/>
    <w:rsid w:val="724BB701"/>
    <w:rsid w:val="724F84C2"/>
    <w:rsid w:val="72900715"/>
    <w:rsid w:val="72948E45"/>
    <w:rsid w:val="72CAEFEE"/>
    <w:rsid w:val="72E5A19A"/>
    <w:rsid w:val="72F434A2"/>
    <w:rsid w:val="72F6F407"/>
    <w:rsid w:val="72F8B2E0"/>
    <w:rsid w:val="73559C1E"/>
    <w:rsid w:val="73580638"/>
    <w:rsid w:val="73B19226"/>
    <w:rsid w:val="740CD283"/>
    <w:rsid w:val="74282C60"/>
    <w:rsid w:val="7452E42A"/>
    <w:rsid w:val="74793C23"/>
    <w:rsid w:val="747C4A9B"/>
    <w:rsid w:val="74953A94"/>
    <w:rsid w:val="7498EDF3"/>
    <w:rsid w:val="749EE50E"/>
    <w:rsid w:val="74A7C4DC"/>
    <w:rsid w:val="74D78A97"/>
    <w:rsid w:val="74DF5BFA"/>
    <w:rsid w:val="7535A987"/>
    <w:rsid w:val="75431A35"/>
    <w:rsid w:val="757E4669"/>
    <w:rsid w:val="758A4BC2"/>
    <w:rsid w:val="75B9BCE9"/>
    <w:rsid w:val="75D0A367"/>
    <w:rsid w:val="764C640A"/>
    <w:rsid w:val="76B34457"/>
    <w:rsid w:val="771AE965"/>
    <w:rsid w:val="772A361F"/>
    <w:rsid w:val="772B5D8A"/>
    <w:rsid w:val="772B7192"/>
    <w:rsid w:val="77446609"/>
    <w:rsid w:val="7766DC42"/>
    <w:rsid w:val="77838CBF"/>
    <w:rsid w:val="778C6393"/>
    <w:rsid w:val="77FB1482"/>
    <w:rsid w:val="782A9177"/>
    <w:rsid w:val="788F8660"/>
    <w:rsid w:val="7899F9DF"/>
    <w:rsid w:val="78E1A8EE"/>
    <w:rsid w:val="78F39AC8"/>
    <w:rsid w:val="7909097D"/>
    <w:rsid w:val="79150379"/>
    <w:rsid w:val="79418374"/>
    <w:rsid w:val="79569B02"/>
    <w:rsid w:val="795F7C9B"/>
    <w:rsid w:val="7966094C"/>
    <w:rsid w:val="7990695B"/>
    <w:rsid w:val="79BEEE10"/>
    <w:rsid w:val="79D70913"/>
    <w:rsid w:val="7A05ED8F"/>
    <w:rsid w:val="7A05EE22"/>
    <w:rsid w:val="7A0E546A"/>
    <w:rsid w:val="7A3B421D"/>
    <w:rsid w:val="7A44E135"/>
    <w:rsid w:val="7A4DD01B"/>
    <w:rsid w:val="7A5FC9A9"/>
    <w:rsid w:val="7A76FD86"/>
    <w:rsid w:val="7A913A15"/>
    <w:rsid w:val="7A9F8787"/>
    <w:rsid w:val="7AB9D8C5"/>
    <w:rsid w:val="7AC76173"/>
    <w:rsid w:val="7B0CF5CE"/>
    <w:rsid w:val="7B983C69"/>
    <w:rsid w:val="7BB301D5"/>
    <w:rsid w:val="7BBCCFB7"/>
    <w:rsid w:val="7BD64764"/>
    <w:rsid w:val="7BE36750"/>
    <w:rsid w:val="7C07C2F7"/>
    <w:rsid w:val="7C52A2FC"/>
    <w:rsid w:val="7C5A8EAF"/>
    <w:rsid w:val="7C5CD19A"/>
    <w:rsid w:val="7C676BAC"/>
    <w:rsid w:val="7C7F6D4C"/>
    <w:rsid w:val="7C8320D1"/>
    <w:rsid w:val="7CC32912"/>
    <w:rsid w:val="7CFC4EFF"/>
    <w:rsid w:val="7D0574E5"/>
    <w:rsid w:val="7D08053A"/>
    <w:rsid w:val="7D58D757"/>
    <w:rsid w:val="7D7E7769"/>
    <w:rsid w:val="7D9CB832"/>
    <w:rsid w:val="7DD6C352"/>
    <w:rsid w:val="7DFA4694"/>
    <w:rsid w:val="7E1086A5"/>
    <w:rsid w:val="7E4A6711"/>
    <w:rsid w:val="7E4BE4A7"/>
    <w:rsid w:val="7E68B8E4"/>
    <w:rsid w:val="7EB968C8"/>
    <w:rsid w:val="7F17F466"/>
    <w:rsid w:val="7F7B63CC"/>
    <w:rsid w:val="7FC080D8"/>
    <w:rsid w:val="7FE6BCE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92CDD"/>
  <w14:defaultImageDpi w14:val="32767"/>
  <w15:chartTrackingRefBased/>
  <w15:docId w15:val="{2C1D8F98-286D-4972-8507-34D3CC351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7CD"/>
    <w:pPr>
      <w:spacing w:line="288" w:lineRule="auto"/>
      <w:jc w:val="both"/>
    </w:pPr>
    <w:rPr>
      <w:rFonts w:ascii="Arial" w:hAnsi="Arial" w:cs="Arial"/>
      <w:sz w:val="24"/>
      <w:szCs w:val="24"/>
      <w:lang w:val="en-GB"/>
    </w:rPr>
  </w:style>
  <w:style w:type="paragraph" w:styleId="Heading1">
    <w:name w:val="heading 1"/>
    <w:basedOn w:val="Normal"/>
    <w:next w:val="Normal"/>
    <w:link w:val="Heading1Char"/>
    <w:qFormat/>
    <w:rsid w:val="00072861"/>
    <w:pPr>
      <w:keepNext/>
      <w:keepLines/>
      <w:pageBreakBefore/>
      <w:numPr>
        <w:numId w:val="41"/>
      </w:numPr>
      <w:spacing w:before="120" w:after="240" w:line="276" w:lineRule="auto"/>
      <w:contextualSpacing/>
      <w:outlineLvl w:val="0"/>
    </w:pPr>
    <w:rPr>
      <w:rFonts w:eastAsia="Arial"/>
      <w:b/>
      <w:color w:val="44546A" w:themeColor="text2"/>
      <w:sz w:val="32"/>
      <w:szCs w:val="56"/>
      <w:lang w:val="en-SG"/>
    </w:rPr>
  </w:style>
  <w:style w:type="paragraph" w:styleId="Heading2">
    <w:name w:val="heading 2"/>
    <w:basedOn w:val="Normal"/>
    <w:next w:val="Normal"/>
    <w:link w:val="Heading2Char"/>
    <w:qFormat/>
    <w:rsid w:val="00C77E59"/>
    <w:pPr>
      <w:keepNext/>
      <w:keepLines/>
      <w:numPr>
        <w:ilvl w:val="1"/>
        <w:numId w:val="41"/>
      </w:numPr>
      <w:spacing w:before="120" w:after="120" w:line="240" w:lineRule="auto"/>
      <w:contextualSpacing/>
      <w:outlineLvl w:val="1"/>
    </w:pPr>
    <w:rPr>
      <w:rFonts w:eastAsia="Arial" w:cs="Segoe UI"/>
      <w:color w:val="ED7D31" w:themeColor="accent2"/>
      <w:szCs w:val="36"/>
      <w:lang w:val="en-SG"/>
    </w:rPr>
  </w:style>
  <w:style w:type="paragraph" w:styleId="Heading3">
    <w:name w:val="heading 3"/>
    <w:basedOn w:val="Normal"/>
    <w:next w:val="Normal"/>
    <w:link w:val="Heading3Char"/>
    <w:qFormat/>
    <w:rsid w:val="00B775D4"/>
    <w:pPr>
      <w:keepNext/>
      <w:keepLines/>
      <w:numPr>
        <w:ilvl w:val="2"/>
        <w:numId w:val="41"/>
      </w:numPr>
      <w:spacing w:before="280" w:after="80" w:line="276" w:lineRule="auto"/>
      <w:contextualSpacing/>
      <w:outlineLvl w:val="2"/>
    </w:pPr>
    <w:rPr>
      <w:rFonts w:eastAsia="Arial"/>
      <w:color w:val="657C9C" w:themeColor="text2" w:themeTint="BF"/>
      <w:szCs w:val="28"/>
      <w:lang w:val="en-SG"/>
    </w:rPr>
  </w:style>
  <w:style w:type="paragraph" w:styleId="Heading4">
    <w:name w:val="heading 4"/>
    <w:basedOn w:val="Normal"/>
    <w:next w:val="Normal"/>
    <w:link w:val="Heading4Char"/>
    <w:qFormat/>
    <w:rsid w:val="006F044F"/>
    <w:pPr>
      <w:keepNext/>
      <w:keepLines/>
      <w:numPr>
        <w:ilvl w:val="3"/>
        <w:numId w:val="41"/>
      </w:numPr>
      <w:spacing w:before="240" w:after="40" w:line="276" w:lineRule="auto"/>
      <w:contextualSpacing/>
      <w:outlineLvl w:val="3"/>
    </w:pPr>
    <w:rPr>
      <w:rFonts w:eastAsia="Arial"/>
      <w:i/>
      <w:color w:val="657C9C" w:themeColor="text2" w:themeTint="BF"/>
      <w:szCs w:val="20"/>
      <w:lang w:val="en-SG"/>
    </w:rPr>
  </w:style>
  <w:style w:type="paragraph" w:styleId="Heading5">
    <w:name w:val="heading 5"/>
    <w:basedOn w:val="Normal"/>
    <w:next w:val="Normal"/>
    <w:link w:val="Heading5Char"/>
    <w:rsid w:val="00D71024"/>
    <w:pPr>
      <w:keepNext/>
      <w:keepLines/>
      <w:numPr>
        <w:ilvl w:val="4"/>
        <w:numId w:val="41"/>
      </w:numPr>
      <w:spacing w:before="220" w:after="40" w:line="276" w:lineRule="auto"/>
      <w:contextualSpacing/>
      <w:outlineLvl w:val="4"/>
    </w:pPr>
    <w:rPr>
      <w:rFonts w:ascii="Calibri" w:eastAsia="Arial" w:hAnsi="Calibri"/>
      <w:b/>
      <w:color w:val="000000"/>
      <w:lang w:val="en-SG"/>
    </w:rPr>
  </w:style>
  <w:style w:type="paragraph" w:styleId="Heading6">
    <w:name w:val="heading 6"/>
    <w:basedOn w:val="Normal"/>
    <w:next w:val="Normal"/>
    <w:link w:val="Heading6Char"/>
    <w:rsid w:val="00D71024"/>
    <w:pPr>
      <w:keepNext/>
      <w:keepLines/>
      <w:numPr>
        <w:ilvl w:val="5"/>
        <w:numId w:val="41"/>
      </w:numPr>
      <w:spacing w:before="200" w:after="40" w:line="276" w:lineRule="auto"/>
      <w:contextualSpacing/>
      <w:outlineLvl w:val="5"/>
    </w:pPr>
    <w:rPr>
      <w:rFonts w:ascii="Calibri" w:eastAsia="Arial" w:hAnsi="Calibri"/>
      <w:b/>
      <w:color w:val="000000"/>
      <w:sz w:val="20"/>
      <w:szCs w:val="20"/>
      <w:lang w:val="en-SG"/>
    </w:rPr>
  </w:style>
  <w:style w:type="paragraph" w:styleId="Heading7">
    <w:name w:val="heading 7"/>
    <w:basedOn w:val="Normal"/>
    <w:next w:val="Normal"/>
    <w:link w:val="Heading7Char"/>
    <w:uiPriority w:val="9"/>
    <w:unhideWhenUsed/>
    <w:rsid w:val="00D71024"/>
    <w:pPr>
      <w:keepNext/>
      <w:keepLines/>
      <w:numPr>
        <w:ilvl w:val="6"/>
        <w:numId w:val="41"/>
      </w:numPr>
      <w:spacing w:before="40" w:after="240" w:line="276" w:lineRule="auto"/>
      <w:outlineLvl w:val="6"/>
    </w:pPr>
    <w:rPr>
      <w:rFonts w:asciiTheme="majorHAnsi" w:eastAsiaTheme="majorEastAsia" w:hAnsiTheme="majorHAnsi" w:cstheme="majorBidi"/>
      <w:i/>
      <w:iCs/>
      <w:color w:val="1F3763" w:themeColor="accent1" w:themeShade="7F"/>
      <w:lang w:val="en-SG"/>
    </w:rPr>
  </w:style>
  <w:style w:type="paragraph" w:styleId="Heading8">
    <w:name w:val="heading 8"/>
    <w:basedOn w:val="Normal"/>
    <w:next w:val="Normal"/>
    <w:link w:val="Heading8Char"/>
    <w:uiPriority w:val="9"/>
    <w:semiHidden/>
    <w:unhideWhenUsed/>
    <w:qFormat/>
    <w:rsid w:val="00D71024"/>
    <w:pPr>
      <w:keepNext/>
      <w:keepLines/>
      <w:numPr>
        <w:ilvl w:val="7"/>
        <w:numId w:val="41"/>
      </w:numPr>
      <w:spacing w:before="40" w:after="240" w:line="276" w:lineRule="auto"/>
      <w:outlineLvl w:val="7"/>
    </w:pPr>
    <w:rPr>
      <w:rFonts w:asciiTheme="majorHAnsi" w:eastAsiaTheme="majorEastAsia" w:hAnsiTheme="majorHAnsi" w:cstheme="majorBidi"/>
      <w:color w:val="272727" w:themeColor="text1" w:themeTint="D8"/>
      <w:sz w:val="21"/>
      <w:szCs w:val="21"/>
      <w:lang w:val="en-SG"/>
    </w:rPr>
  </w:style>
  <w:style w:type="paragraph" w:styleId="Heading9">
    <w:name w:val="heading 9"/>
    <w:basedOn w:val="Normal"/>
    <w:next w:val="Normal"/>
    <w:link w:val="Heading9Char"/>
    <w:uiPriority w:val="9"/>
    <w:semiHidden/>
    <w:unhideWhenUsed/>
    <w:qFormat/>
    <w:rsid w:val="00D71024"/>
    <w:pPr>
      <w:keepNext/>
      <w:keepLines/>
      <w:numPr>
        <w:ilvl w:val="8"/>
        <w:numId w:val="41"/>
      </w:numPr>
      <w:spacing w:before="40" w:after="240" w:line="276" w:lineRule="auto"/>
      <w:outlineLvl w:val="8"/>
    </w:pPr>
    <w:rPr>
      <w:rFonts w:asciiTheme="majorHAnsi" w:eastAsiaTheme="majorEastAsia" w:hAnsiTheme="majorHAnsi" w:cstheme="majorBidi"/>
      <w:i/>
      <w:iCs/>
      <w:color w:val="272727" w:themeColor="text1" w:themeTint="D8"/>
      <w:sz w:val="21"/>
      <w:szCs w:val="21"/>
      <w:lang w:val="en-SG"/>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32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3282"/>
  </w:style>
  <w:style w:type="paragraph" w:styleId="Footer">
    <w:name w:val="footer"/>
    <w:basedOn w:val="Normal"/>
    <w:link w:val="FooterChar"/>
    <w:uiPriority w:val="99"/>
    <w:unhideWhenUsed/>
    <w:rsid w:val="000E32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3282"/>
  </w:style>
  <w:style w:type="paragraph" w:styleId="TOC1">
    <w:name w:val="toc 1"/>
    <w:basedOn w:val="Normal"/>
    <w:next w:val="Normal"/>
    <w:autoRedefine/>
    <w:uiPriority w:val="39"/>
    <w:unhideWhenUsed/>
    <w:rsid w:val="00822C1B"/>
    <w:pPr>
      <w:tabs>
        <w:tab w:val="left" w:pos="720"/>
        <w:tab w:val="right" w:leader="dot" w:pos="9350"/>
      </w:tabs>
      <w:snapToGrid w:val="0"/>
    </w:pPr>
    <w:rPr>
      <w:rFonts w:eastAsia="Arial"/>
      <w:b/>
      <w:bCs/>
      <w:noProof/>
      <w:color w:val="4472C4" w:themeColor="accent1"/>
      <w:lang w:val="en-SG"/>
    </w:rPr>
  </w:style>
  <w:style w:type="paragraph" w:styleId="TOC2">
    <w:name w:val="toc 2"/>
    <w:basedOn w:val="Normal"/>
    <w:next w:val="Normal"/>
    <w:autoRedefine/>
    <w:uiPriority w:val="39"/>
    <w:unhideWhenUsed/>
    <w:rsid w:val="0085797B"/>
    <w:pPr>
      <w:tabs>
        <w:tab w:val="left" w:pos="1440"/>
        <w:tab w:val="right" w:leader="dot" w:pos="10790"/>
      </w:tabs>
      <w:spacing w:before="240" w:after="100" w:line="276" w:lineRule="auto"/>
      <w:ind w:left="720"/>
    </w:pPr>
    <w:rPr>
      <w:rFonts w:ascii="Segoe UI" w:eastAsia="Arial" w:hAnsi="Segoe UI"/>
      <w:color w:val="000000"/>
      <w:lang w:val="en-SG"/>
    </w:rPr>
  </w:style>
  <w:style w:type="character" w:styleId="Hyperlink">
    <w:name w:val="Hyperlink"/>
    <w:basedOn w:val="DefaultParagraphFont"/>
    <w:uiPriority w:val="99"/>
    <w:unhideWhenUsed/>
    <w:qFormat/>
    <w:rsid w:val="006B0F97"/>
    <w:rPr>
      <w:color w:val="0563C1" w:themeColor="hyperlink"/>
      <w:u w:val="single"/>
    </w:rPr>
  </w:style>
  <w:style w:type="character" w:customStyle="1" w:styleId="Heading1Char">
    <w:name w:val="Heading 1 Char"/>
    <w:basedOn w:val="DefaultParagraphFont"/>
    <w:link w:val="Heading1"/>
    <w:rsid w:val="00D71024"/>
    <w:rPr>
      <w:rFonts w:ascii="Arial" w:eastAsia="Arial" w:hAnsi="Arial" w:cs="Arial"/>
      <w:b/>
      <w:color w:val="44546A" w:themeColor="text2"/>
      <w:sz w:val="32"/>
      <w:szCs w:val="56"/>
      <w:lang w:val="en-SG"/>
    </w:rPr>
  </w:style>
  <w:style w:type="character" w:customStyle="1" w:styleId="Heading2Char">
    <w:name w:val="Heading 2 Char"/>
    <w:basedOn w:val="DefaultParagraphFont"/>
    <w:link w:val="Heading2"/>
    <w:rsid w:val="00D71024"/>
    <w:rPr>
      <w:rFonts w:ascii="Arial" w:eastAsia="Arial" w:hAnsi="Arial" w:cs="Segoe UI"/>
      <w:color w:val="ED7D31" w:themeColor="accent2"/>
      <w:sz w:val="24"/>
      <w:szCs w:val="36"/>
      <w:lang w:val="en-SG"/>
    </w:rPr>
  </w:style>
  <w:style w:type="character" w:customStyle="1" w:styleId="Heading3Char">
    <w:name w:val="Heading 3 Char"/>
    <w:basedOn w:val="DefaultParagraphFont"/>
    <w:link w:val="Heading3"/>
    <w:rsid w:val="00D71024"/>
    <w:rPr>
      <w:rFonts w:ascii="Arial" w:eastAsia="Arial" w:hAnsi="Arial" w:cs="Arial"/>
      <w:color w:val="657C9C" w:themeColor="text2" w:themeTint="BF"/>
      <w:sz w:val="24"/>
      <w:szCs w:val="28"/>
      <w:lang w:val="en-SG"/>
    </w:rPr>
  </w:style>
  <w:style w:type="character" w:customStyle="1" w:styleId="Heading4Char">
    <w:name w:val="Heading 4 Char"/>
    <w:basedOn w:val="DefaultParagraphFont"/>
    <w:link w:val="Heading4"/>
    <w:rsid w:val="004D1832"/>
    <w:rPr>
      <w:rFonts w:ascii="Arial" w:eastAsia="Arial" w:hAnsi="Arial" w:cs="Arial"/>
      <w:i/>
      <w:color w:val="657C9C" w:themeColor="text2" w:themeTint="BF"/>
      <w:sz w:val="24"/>
      <w:szCs w:val="20"/>
      <w:lang w:val="en-SG"/>
    </w:rPr>
  </w:style>
  <w:style w:type="character" w:customStyle="1" w:styleId="Heading5Char">
    <w:name w:val="Heading 5 Char"/>
    <w:basedOn w:val="DefaultParagraphFont"/>
    <w:link w:val="Heading5"/>
    <w:rsid w:val="00D71024"/>
    <w:rPr>
      <w:rFonts w:ascii="Calibri" w:eastAsia="Arial" w:hAnsi="Calibri" w:cs="Arial"/>
      <w:b/>
      <w:color w:val="000000"/>
      <w:sz w:val="24"/>
      <w:szCs w:val="24"/>
      <w:lang w:val="en-SG"/>
    </w:rPr>
  </w:style>
  <w:style w:type="character" w:customStyle="1" w:styleId="Heading6Char">
    <w:name w:val="Heading 6 Char"/>
    <w:basedOn w:val="DefaultParagraphFont"/>
    <w:link w:val="Heading6"/>
    <w:rsid w:val="00D71024"/>
    <w:rPr>
      <w:rFonts w:ascii="Calibri" w:eastAsia="Arial" w:hAnsi="Calibri" w:cs="Arial"/>
      <w:b/>
      <w:color w:val="000000"/>
      <w:sz w:val="20"/>
      <w:szCs w:val="20"/>
      <w:lang w:val="en-SG"/>
    </w:rPr>
  </w:style>
  <w:style w:type="character" w:customStyle="1" w:styleId="Heading7Char">
    <w:name w:val="Heading 7 Char"/>
    <w:basedOn w:val="DefaultParagraphFont"/>
    <w:link w:val="Heading7"/>
    <w:uiPriority w:val="9"/>
    <w:rsid w:val="00D71024"/>
    <w:rPr>
      <w:rFonts w:asciiTheme="majorHAnsi" w:eastAsiaTheme="majorEastAsia" w:hAnsiTheme="majorHAnsi" w:cstheme="majorBidi"/>
      <w:i/>
      <w:iCs/>
      <w:color w:val="1F3763" w:themeColor="accent1" w:themeShade="7F"/>
      <w:sz w:val="24"/>
      <w:szCs w:val="24"/>
      <w:lang w:val="en-SG"/>
    </w:rPr>
  </w:style>
  <w:style w:type="character" w:customStyle="1" w:styleId="Heading8Char">
    <w:name w:val="Heading 8 Char"/>
    <w:basedOn w:val="DefaultParagraphFont"/>
    <w:link w:val="Heading8"/>
    <w:uiPriority w:val="9"/>
    <w:semiHidden/>
    <w:rsid w:val="00D71024"/>
    <w:rPr>
      <w:rFonts w:asciiTheme="majorHAnsi" w:eastAsiaTheme="majorEastAsia" w:hAnsiTheme="majorHAnsi" w:cstheme="majorBidi"/>
      <w:color w:val="272727" w:themeColor="text1" w:themeTint="D8"/>
      <w:sz w:val="21"/>
      <w:szCs w:val="21"/>
      <w:lang w:val="en-SG"/>
    </w:rPr>
  </w:style>
  <w:style w:type="character" w:customStyle="1" w:styleId="Heading9Char">
    <w:name w:val="Heading 9 Char"/>
    <w:basedOn w:val="DefaultParagraphFont"/>
    <w:link w:val="Heading9"/>
    <w:uiPriority w:val="9"/>
    <w:semiHidden/>
    <w:rsid w:val="00D71024"/>
    <w:rPr>
      <w:rFonts w:asciiTheme="majorHAnsi" w:eastAsiaTheme="majorEastAsia" w:hAnsiTheme="majorHAnsi" w:cstheme="majorBidi"/>
      <w:i/>
      <w:iCs/>
      <w:color w:val="272727" w:themeColor="text1" w:themeTint="D8"/>
      <w:sz w:val="21"/>
      <w:szCs w:val="21"/>
      <w:lang w:val="en-SG"/>
    </w:rPr>
  </w:style>
  <w:style w:type="paragraph" w:styleId="ListParagraph">
    <w:name w:val="List Paragraph"/>
    <w:aliases w:val="Report Sub-Paragraph,Numbered Paragraph,Main numbered paragraph,List Paragraph1,List Paragraph11,Bullet1,L,CV text,Table text,F5 List Paragraph,Dot pt,List Paragraph111,Medium Grid 1 - Accent 21,List Paragraph2,Bulleted Para,FooterText"/>
    <w:basedOn w:val="Normal"/>
    <w:link w:val="ListParagraphChar"/>
    <w:uiPriority w:val="34"/>
    <w:qFormat/>
    <w:rsid w:val="00D71024"/>
    <w:pPr>
      <w:numPr>
        <w:numId w:val="1"/>
      </w:numPr>
      <w:spacing w:before="120" w:after="120" w:line="276" w:lineRule="auto"/>
    </w:pPr>
    <w:rPr>
      <w:rFonts w:ascii="Calibri" w:eastAsia="Arial" w:hAnsi="Calibri"/>
      <w:color w:val="000000"/>
      <w:lang w:val="en-SG"/>
    </w:rPr>
  </w:style>
  <w:style w:type="paragraph" w:styleId="FootnoteText">
    <w:name w:val="footnote text"/>
    <w:aliases w:val="Footnote Text Char Char Char12,Footnote Text Char1 Char Char Char Char12,Footnote Text Char1 Char Char Char12,ALTS FOOTNOTE3,Footnote Text Char13 Char,Footnote Text Char13,fn,footnote text,Footnotes,Footnote ak,Footnotetext,Char6,Style 12"/>
    <w:basedOn w:val="Normal"/>
    <w:link w:val="FootnoteTextChar"/>
    <w:uiPriority w:val="99"/>
    <w:unhideWhenUsed/>
    <w:qFormat/>
    <w:rsid w:val="00DD4E13"/>
    <w:pPr>
      <w:spacing w:after="0" w:line="240" w:lineRule="auto"/>
    </w:pPr>
    <w:rPr>
      <w:sz w:val="20"/>
      <w:szCs w:val="20"/>
    </w:rPr>
  </w:style>
  <w:style w:type="character" w:customStyle="1" w:styleId="FootnoteTextChar">
    <w:name w:val="Footnote Text Char"/>
    <w:aliases w:val="Footnote Text Char Char Char12 Char,Footnote Text Char1 Char Char Char Char12 Char,Footnote Text Char1 Char Char Char12 Char,ALTS FOOTNOTE3 Char,Footnote Text Char13 Char Char,Footnote Text Char13 Char1,fn Char,footnote text Char"/>
    <w:basedOn w:val="DefaultParagraphFont"/>
    <w:link w:val="FootnoteText"/>
    <w:uiPriority w:val="99"/>
    <w:qFormat/>
    <w:rsid w:val="00DD4E13"/>
    <w:rPr>
      <w:rFonts w:ascii="Arial" w:hAnsi="Arial" w:cs="Arial"/>
      <w:sz w:val="20"/>
      <w:szCs w:val="20"/>
      <w:lang w:val="en-GB"/>
    </w:rPr>
  </w:style>
  <w:style w:type="character" w:styleId="FootnoteReference">
    <w:name w:val="footnote reference"/>
    <w:aliases w:val="Style 5,Ref,de nota al pie,註腳內容,de nota al pie + (Asian) MS Mincho,11 pt,Footnote Reference1,Ref1,de nota al pie1,Style 10,Style 56,Style 32,Thesis Footnote Reference,JFR-Fußnotenzeichen,*Footnote Reference,Fußnotenzeichen_neu,fr,FR,o"/>
    <w:basedOn w:val="DefaultParagraphFont"/>
    <w:link w:val="BVIfnrChar"/>
    <w:uiPriority w:val="99"/>
    <w:unhideWhenUsed/>
    <w:qFormat/>
    <w:rsid w:val="00D71024"/>
    <w:rPr>
      <w:vertAlign w:val="superscript"/>
    </w:rPr>
  </w:style>
  <w:style w:type="character" w:styleId="CommentReference">
    <w:name w:val="annotation reference"/>
    <w:basedOn w:val="DefaultParagraphFont"/>
    <w:uiPriority w:val="99"/>
    <w:semiHidden/>
    <w:unhideWhenUsed/>
    <w:rsid w:val="007D0E7E"/>
    <w:rPr>
      <w:sz w:val="16"/>
      <w:szCs w:val="16"/>
    </w:rPr>
  </w:style>
  <w:style w:type="paragraph" w:styleId="CommentText">
    <w:name w:val="annotation text"/>
    <w:basedOn w:val="Normal"/>
    <w:link w:val="CommentTextChar"/>
    <w:uiPriority w:val="99"/>
    <w:unhideWhenUsed/>
    <w:rsid w:val="007D0E7E"/>
    <w:pPr>
      <w:spacing w:before="240" w:after="240" w:line="240" w:lineRule="auto"/>
    </w:pPr>
    <w:rPr>
      <w:rFonts w:ascii="Calibri" w:eastAsia="Arial" w:hAnsi="Calibri"/>
      <w:color w:val="000000"/>
      <w:sz w:val="20"/>
      <w:szCs w:val="20"/>
      <w:lang w:val="en-SG"/>
    </w:rPr>
  </w:style>
  <w:style w:type="character" w:customStyle="1" w:styleId="CommentTextChar">
    <w:name w:val="Comment Text Char"/>
    <w:basedOn w:val="DefaultParagraphFont"/>
    <w:link w:val="CommentText"/>
    <w:uiPriority w:val="99"/>
    <w:rsid w:val="007D0E7E"/>
    <w:rPr>
      <w:rFonts w:ascii="Calibri" w:eastAsia="Arial" w:hAnsi="Calibri" w:cs="Arial"/>
      <w:color w:val="000000"/>
      <w:sz w:val="20"/>
      <w:szCs w:val="20"/>
      <w:lang w:val="en-SG"/>
    </w:rPr>
  </w:style>
  <w:style w:type="numbering" w:customStyle="1" w:styleId="CurrentList2">
    <w:name w:val="Current List2"/>
    <w:uiPriority w:val="99"/>
    <w:rsid w:val="007D0E7E"/>
    <w:pPr>
      <w:numPr>
        <w:numId w:val="2"/>
      </w:numPr>
    </w:pPr>
  </w:style>
  <w:style w:type="table" w:customStyle="1" w:styleId="TotalTable1">
    <w:name w:val="Total Table1"/>
    <w:basedOn w:val="TableNormal"/>
    <w:uiPriority w:val="99"/>
    <w:rsid w:val="001D67E2"/>
    <w:pPr>
      <w:spacing w:after="0" w:line="240" w:lineRule="auto"/>
    </w:pPr>
    <w:rPr>
      <w:rFonts w:ascii="Calibri" w:eastAsia="Arial" w:hAnsi="Calibri" w:cs="Arial"/>
      <w:color w:val="000000"/>
      <w:lang w:val="en-SG"/>
    </w:rPr>
    <w:tblPr>
      <w:tblInd w:w="0" w:type="nil"/>
      <w:tblBorders>
        <w:top w:val="single" w:sz="4" w:space="0" w:color="ED7D31" w:themeColor="accent2"/>
        <w:bottom w:val="single" w:sz="4" w:space="0" w:color="ED7D31" w:themeColor="accent2"/>
        <w:insideH w:val="single" w:sz="4" w:space="0" w:color="ED7D31" w:themeColor="accent2"/>
        <w:insideV w:val="single" w:sz="4" w:space="0" w:color="ED7D31" w:themeColor="accent2"/>
      </w:tblBorders>
    </w:tblPr>
    <w:tcPr>
      <w:shd w:val="clear" w:color="auto" w:fill="FFFFFF" w:themeFill="background1"/>
    </w:tcPr>
    <w:tblStylePr w:type="firstRow">
      <w:pPr>
        <w:jc w:val="center"/>
      </w:pPr>
      <w:rPr>
        <w:rFonts w:asciiTheme="minorHAnsi" w:hAnsiTheme="minorHAnsi" w:cs="Calibri" w:hint="default"/>
        <w:b/>
        <w:i w:val="0"/>
        <w:color w:val="FFFFFF" w:themeColor="background1"/>
        <w:sz w:val="22"/>
        <w:szCs w:val="22"/>
      </w:rPr>
      <w:tblPr/>
      <w:tcPr>
        <w:shd w:val="clear" w:color="auto" w:fill="A5A5A5" w:themeFill="accent3"/>
        <w:vAlign w:val="center"/>
      </w:tcPr>
    </w:tblStylePr>
    <w:tblStylePr w:type="lastRow">
      <w:pPr>
        <w:jc w:val="left"/>
      </w:pPr>
      <w:rPr>
        <w:rFonts w:asciiTheme="minorHAnsi" w:hAnsiTheme="minorHAnsi" w:cs="Calibri" w:hint="default"/>
        <w:b/>
        <w:sz w:val="22"/>
        <w:szCs w:val="22"/>
      </w:rPr>
      <w:tblPr/>
      <w:tcPr>
        <w:shd w:val="clear" w:color="auto" w:fill="D9E2F3" w:themeFill="accent1" w:themeFillTint="33"/>
        <w:vAlign w:val="center"/>
      </w:tcPr>
    </w:tblStylePr>
  </w:style>
  <w:style w:type="character" w:customStyle="1" w:styleId="ui-provider">
    <w:name w:val="ui-provider"/>
    <w:basedOn w:val="DefaultParagraphFont"/>
    <w:rsid w:val="00AD1EDF"/>
  </w:style>
  <w:style w:type="character" w:styleId="Emphasis">
    <w:name w:val="Emphasis"/>
    <w:basedOn w:val="DefaultParagraphFont"/>
    <w:uiPriority w:val="20"/>
    <w:qFormat/>
    <w:rsid w:val="00711B31"/>
    <w:rPr>
      <w:i/>
      <w:iCs/>
    </w:rPr>
  </w:style>
  <w:style w:type="paragraph" w:styleId="Revision">
    <w:name w:val="Revision"/>
    <w:hidden/>
    <w:uiPriority w:val="99"/>
    <w:semiHidden/>
    <w:rsid w:val="006F2FA8"/>
    <w:pPr>
      <w:spacing w:after="0" w:line="240" w:lineRule="auto"/>
    </w:pPr>
  </w:style>
  <w:style w:type="character" w:styleId="Strong">
    <w:name w:val="Strong"/>
    <w:basedOn w:val="DefaultParagraphFont"/>
    <w:uiPriority w:val="22"/>
    <w:qFormat/>
    <w:rsid w:val="004020BB"/>
    <w:rPr>
      <w:b/>
      <w:bCs/>
    </w:rPr>
  </w:style>
  <w:style w:type="paragraph" w:styleId="CommentSubject">
    <w:name w:val="annotation subject"/>
    <w:basedOn w:val="CommentText"/>
    <w:next w:val="CommentText"/>
    <w:link w:val="CommentSubjectChar"/>
    <w:uiPriority w:val="99"/>
    <w:semiHidden/>
    <w:unhideWhenUsed/>
    <w:rsid w:val="004C170A"/>
    <w:pPr>
      <w:spacing w:before="0" w:after="160"/>
    </w:pPr>
    <w:rPr>
      <w:rFonts w:asciiTheme="minorHAnsi" w:eastAsiaTheme="minorHAnsi" w:hAnsiTheme="minorHAnsi" w:cstheme="minorBidi"/>
      <w:b/>
      <w:bCs/>
      <w:color w:val="auto"/>
      <w:lang w:val="en-US"/>
    </w:rPr>
  </w:style>
  <w:style w:type="character" w:customStyle="1" w:styleId="CommentSubjectChar">
    <w:name w:val="Comment Subject Char"/>
    <w:basedOn w:val="CommentTextChar"/>
    <w:link w:val="CommentSubject"/>
    <w:uiPriority w:val="99"/>
    <w:semiHidden/>
    <w:rsid w:val="004C170A"/>
    <w:rPr>
      <w:rFonts w:ascii="Calibri" w:eastAsia="Arial" w:hAnsi="Calibri" w:cs="Arial"/>
      <w:b/>
      <w:bCs/>
      <w:color w:val="000000"/>
      <w:sz w:val="20"/>
      <w:szCs w:val="20"/>
      <w:lang w:val="en-SG"/>
    </w:rPr>
  </w:style>
  <w:style w:type="paragraph" w:styleId="Caption">
    <w:name w:val="caption"/>
    <w:basedOn w:val="Normal"/>
    <w:next w:val="Normal"/>
    <w:uiPriority w:val="35"/>
    <w:unhideWhenUsed/>
    <w:qFormat/>
    <w:rsid w:val="001075A5"/>
    <w:pPr>
      <w:spacing w:after="200" w:line="240" w:lineRule="auto"/>
    </w:pPr>
    <w:rPr>
      <w:rFonts w:eastAsia="Quattrocento Sans"/>
      <w:b/>
      <w:lang w:eastAsia="zh-CN"/>
    </w:rPr>
  </w:style>
  <w:style w:type="character" w:styleId="UnresolvedMention">
    <w:name w:val="Unresolved Mention"/>
    <w:basedOn w:val="DefaultParagraphFont"/>
    <w:uiPriority w:val="99"/>
    <w:semiHidden/>
    <w:unhideWhenUsed/>
    <w:rsid w:val="008C4E44"/>
    <w:rPr>
      <w:color w:val="605E5C"/>
      <w:shd w:val="clear" w:color="auto" w:fill="E1DFDD"/>
    </w:rPr>
  </w:style>
  <w:style w:type="character" w:customStyle="1" w:styleId="ListParagraphChar">
    <w:name w:val="List Paragraph Char"/>
    <w:aliases w:val="Report Sub-Paragraph Char,Numbered Paragraph Char,Main numbered paragraph Char,List Paragraph1 Char,List Paragraph11 Char,Bullet1 Char,L Char,CV text Char,Table text Char,F5 List Paragraph Char,Dot pt Char,List Paragraph111 Char"/>
    <w:basedOn w:val="DefaultParagraphFont"/>
    <w:link w:val="ListParagraph"/>
    <w:uiPriority w:val="34"/>
    <w:qFormat/>
    <w:locked/>
    <w:rsid w:val="00B72DA2"/>
    <w:rPr>
      <w:rFonts w:ascii="Calibri" w:eastAsia="Arial" w:hAnsi="Calibri" w:cs="Arial"/>
      <w:color w:val="000000"/>
      <w:sz w:val="24"/>
      <w:szCs w:val="24"/>
      <w:lang w:val="en-SG"/>
    </w:rPr>
  </w:style>
  <w:style w:type="table" w:customStyle="1" w:styleId="ListTable3-Accent11">
    <w:name w:val="List Table 3 - Accent 11"/>
    <w:basedOn w:val="TableNormal"/>
    <w:next w:val="ListTable3-Accent1"/>
    <w:uiPriority w:val="48"/>
    <w:rsid w:val="00B72DA2"/>
    <w:pPr>
      <w:spacing w:after="0" w:line="240" w:lineRule="auto"/>
    </w:pPr>
    <w:rPr>
      <w:rFonts w:ascii="Aptos" w:eastAsia="DengXian" w:hAnsi="Aptos" w:cs="Times New Roman"/>
      <w:kern w:val="2"/>
      <w:lang w:val="en-GB" w:eastAsia="zh-CN"/>
      <w14:ligatures w14:val="standardContextual"/>
    </w:rPr>
    <w:tblPr>
      <w:tblStyleRowBandSize w:val="1"/>
      <w:tblStyleColBandSize w:val="1"/>
      <w:tblBorders>
        <w:top w:val="single" w:sz="4" w:space="0" w:color="156082"/>
        <w:left w:val="single" w:sz="4" w:space="0" w:color="156082"/>
        <w:bottom w:val="single" w:sz="4" w:space="0" w:color="156082"/>
        <w:right w:val="single" w:sz="4" w:space="0" w:color="156082"/>
      </w:tblBorders>
    </w:tblPr>
    <w:tblStylePr w:type="firstRow">
      <w:rPr>
        <w:b/>
        <w:bCs/>
        <w:color w:val="FFFFFF"/>
      </w:rPr>
      <w:tblPr/>
      <w:tcPr>
        <w:shd w:val="clear" w:color="auto" w:fill="156082"/>
      </w:tcPr>
    </w:tblStylePr>
    <w:tblStylePr w:type="lastRow">
      <w:rPr>
        <w:b/>
        <w:bCs/>
      </w:rPr>
      <w:tblPr/>
      <w:tcPr>
        <w:tcBorders>
          <w:top w:val="double" w:sz="4" w:space="0" w:color="15608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56082"/>
          <w:right w:val="single" w:sz="4" w:space="0" w:color="156082"/>
        </w:tcBorders>
      </w:tcPr>
    </w:tblStylePr>
    <w:tblStylePr w:type="band1Horz">
      <w:tblPr/>
      <w:tcPr>
        <w:tcBorders>
          <w:top w:val="single" w:sz="4" w:space="0" w:color="156082"/>
          <w:bottom w:val="single" w:sz="4" w:space="0" w:color="15608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left w:val="nil"/>
        </w:tcBorders>
      </w:tcPr>
    </w:tblStylePr>
    <w:tblStylePr w:type="swCell">
      <w:tblPr/>
      <w:tcPr>
        <w:tcBorders>
          <w:top w:val="double" w:sz="4" w:space="0" w:color="156082"/>
          <w:right w:val="nil"/>
        </w:tcBorders>
      </w:tcPr>
    </w:tblStylePr>
  </w:style>
  <w:style w:type="table" w:styleId="ListTable3-Accent1">
    <w:name w:val="List Table 3 Accent 1"/>
    <w:basedOn w:val="TableNormal"/>
    <w:uiPriority w:val="48"/>
    <w:rsid w:val="00B72DA2"/>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TotalTable">
    <w:name w:val="Total Table"/>
    <w:basedOn w:val="TableNormal"/>
    <w:uiPriority w:val="99"/>
    <w:rsid w:val="005017A6"/>
    <w:rPr>
      <w:rFonts w:ascii="Calibri" w:hAnsi="Calibri"/>
      <w:color w:val="000000"/>
      <w:lang w:val="en-SG" w:eastAsia="zh-CN"/>
    </w:rPr>
    <w:tblPr>
      <w:tblBorders>
        <w:top w:val="single" w:sz="4" w:space="0" w:color="ED7D31" w:themeColor="accent2"/>
        <w:bottom w:val="single" w:sz="4" w:space="0" w:color="ED7D31" w:themeColor="accent2"/>
        <w:insideH w:val="single" w:sz="4" w:space="0" w:color="ED7D31" w:themeColor="accent2"/>
        <w:insideV w:val="single" w:sz="4" w:space="0" w:color="ED7D31" w:themeColor="accent2"/>
      </w:tblBorders>
    </w:tblPr>
    <w:tcPr>
      <w:shd w:val="clear" w:color="auto" w:fill="FFFFFF" w:themeFill="background1"/>
    </w:tcPr>
    <w:tblStylePr w:type="firstRow">
      <w:pPr>
        <w:jc w:val="center"/>
      </w:pPr>
      <w:rPr>
        <w:rFonts w:asciiTheme="minorHAnsi" w:hAnsiTheme="minorHAnsi"/>
        <w:b/>
        <w:i w:val="0"/>
        <w:color w:val="FFFFFF" w:themeColor="background1"/>
        <w:sz w:val="22"/>
      </w:rPr>
      <w:tblPr/>
      <w:tcPr>
        <w:shd w:val="clear" w:color="auto" w:fill="A5A5A5" w:themeFill="accent3"/>
        <w:vAlign w:val="center"/>
      </w:tcPr>
    </w:tblStylePr>
    <w:tblStylePr w:type="lastRow">
      <w:pPr>
        <w:jc w:val="left"/>
      </w:pPr>
      <w:rPr>
        <w:rFonts w:asciiTheme="minorHAnsi" w:hAnsiTheme="minorHAnsi"/>
        <w:b/>
        <w:sz w:val="22"/>
      </w:rPr>
      <w:tblPr/>
      <w:tcPr>
        <w:shd w:val="clear" w:color="auto" w:fill="D9E2F3" w:themeFill="accent1" w:themeFillTint="33"/>
        <w:vAlign w:val="center"/>
      </w:tcPr>
    </w:tblStylePr>
  </w:style>
  <w:style w:type="character" w:styleId="Mention">
    <w:name w:val="Mention"/>
    <w:basedOn w:val="DefaultParagraphFont"/>
    <w:uiPriority w:val="99"/>
    <w:unhideWhenUsed/>
    <w:rsid w:val="0085193C"/>
    <w:rPr>
      <w:color w:val="2B579A"/>
      <w:shd w:val="clear" w:color="auto" w:fill="E1DFDD"/>
    </w:rPr>
  </w:style>
  <w:style w:type="character" w:styleId="FollowedHyperlink">
    <w:name w:val="FollowedHyperlink"/>
    <w:basedOn w:val="DefaultParagraphFont"/>
    <w:uiPriority w:val="99"/>
    <w:semiHidden/>
    <w:unhideWhenUsed/>
    <w:rsid w:val="009B4EA4"/>
    <w:rPr>
      <w:color w:val="954F72" w:themeColor="followedHyperlink"/>
      <w:u w:val="single"/>
    </w:rPr>
  </w:style>
  <w:style w:type="paragraph" w:styleId="NormalWeb">
    <w:name w:val="Normal (Web)"/>
    <w:basedOn w:val="Normal"/>
    <w:uiPriority w:val="99"/>
    <w:semiHidden/>
    <w:unhideWhenUsed/>
    <w:rsid w:val="00CF607B"/>
    <w:rPr>
      <w:rFonts w:ascii="Times New Roman" w:hAnsi="Times New Roman" w:cs="Times New Roman"/>
    </w:rPr>
  </w:style>
  <w:style w:type="table" w:styleId="TableGrid">
    <w:name w:val="Table Grid"/>
    <w:basedOn w:val="TableNormal"/>
    <w:uiPriority w:val="39"/>
    <w:rsid w:val="00E73A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7C78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787B"/>
    <w:rPr>
      <w:rFonts w:asciiTheme="majorHAnsi" w:eastAsiaTheme="majorEastAsia" w:hAnsiTheme="majorHAnsi" w:cstheme="majorBidi"/>
      <w:spacing w:val="-10"/>
      <w:kern w:val="28"/>
      <w:sz w:val="56"/>
      <w:szCs w:val="56"/>
      <w:lang w:val="en-GB"/>
    </w:rPr>
  </w:style>
  <w:style w:type="paragraph" w:customStyle="1" w:styleId="BVIfnrChar">
    <w:name w:val="BVI fnr Char"/>
    <w:aliases w:val="BVI fnr Car Car Char,BVI fnr Car Char,BVI fnr Car Car Car Car Char,BVI fnr Car Car Car Car Char Char Char"/>
    <w:basedOn w:val="Normal"/>
    <w:link w:val="FootnoteReference"/>
    <w:uiPriority w:val="99"/>
    <w:qFormat/>
    <w:rsid w:val="009672F0"/>
    <w:pPr>
      <w:spacing w:line="240" w:lineRule="exact"/>
      <w:jc w:val="left"/>
    </w:pPr>
    <w:rPr>
      <w:rFonts w:asciiTheme="minorHAnsi" w:hAnsiTheme="minorHAnsi" w:cstheme="minorBidi"/>
      <w:sz w:val="22"/>
      <w:szCs w:val="22"/>
      <w:vertAlign w:val="superscript"/>
      <w:lang w:val="en-US"/>
    </w:rPr>
  </w:style>
  <w:style w:type="character" w:customStyle="1" w:styleId="mord">
    <w:name w:val="mord"/>
    <w:basedOn w:val="DefaultParagraphFont"/>
    <w:rsid w:val="009672F0"/>
  </w:style>
  <w:style w:type="paragraph" w:styleId="Subtitle">
    <w:name w:val="Subtitle"/>
    <w:basedOn w:val="Normal"/>
    <w:next w:val="Normal"/>
    <w:link w:val="SubtitleChar"/>
    <w:uiPriority w:val="11"/>
    <w:qFormat/>
    <w:rsid w:val="009672F0"/>
    <w:pPr>
      <w:numPr>
        <w:ilvl w:val="1"/>
      </w:numPr>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9672F0"/>
    <w:rPr>
      <w:rFonts w:eastAsiaTheme="minorEastAsia"/>
      <w:color w:val="5A5A5A" w:themeColor="text1" w:themeTint="A5"/>
      <w:spacing w:val="15"/>
      <w:lang w:val="en-GB"/>
    </w:rPr>
  </w:style>
  <w:style w:type="paragraph" w:styleId="TableofFigures">
    <w:name w:val="table of figures"/>
    <w:basedOn w:val="Normal"/>
    <w:next w:val="Normal"/>
    <w:uiPriority w:val="99"/>
    <w:unhideWhenUsed/>
    <w:rsid w:val="00453450"/>
    <w:pPr>
      <w:spacing w:after="0"/>
    </w:pPr>
  </w:style>
  <w:style w:type="table" w:styleId="GridTable4-Accent1">
    <w:name w:val="Grid Table 4 Accent 1"/>
    <w:basedOn w:val="TableNormal"/>
    <w:uiPriority w:val="49"/>
    <w:rsid w:val="00F34A6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CB20F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5">
    <w:name w:val="List Table 4 Accent 5"/>
    <w:basedOn w:val="TableNormal"/>
    <w:uiPriority w:val="49"/>
    <w:rsid w:val="00CB20F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Date">
    <w:name w:val="Date"/>
    <w:basedOn w:val="Normal"/>
    <w:next w:val="Normal"/>
    <w:link w:val="DateChar"/>
    <w:uiPriority w:val="99"/>
    <w:semiHidden/>
    <w:unhideWhenUsed/>
    <w:rsid w:val="009E033D"/>
  </w:style>
  <w:style w:type="character" w:customStyle="1" w:styleId="DateChar">
    <w:name w:val="Date Char"/>
    <w:basedOn w:val="DefaultParagraphFont"/>
    <w:link w:val="Date"/>
    <w:uiPriority w:val="99"/>
    <w:semiHidden/>
    <w:rsid w:val="009E033D"/>
    <w:rPr>
      <w:rFonts w:ascii="Arial" w:hAnsi="Arial" w:cs="Arial"/>
      <w:sz w:val="24"/>
      <w:szCs w:val="24"/>
      <w:lang w:val="en-GB"/>
    </w:rPr>
  </w:style>
  <w:style w:type="paragraph" w:customStyle="1" w:styleId="paragraph">
    <w:name w:val="paragraph"/>
    <w:basedOn w:val="Normal"/>
    <w:rsid w:val="009C463E"/>
    <w:pPr>
      <w:spacing w:before="100" w:beforeAutospacing="1" w:after="100" w:afterAutospacing="1" w:line="240" w:lineRule="auto"/>
      <w:jc w:val="left"/>
    </w:pPr>
    <w:rPr>
      <w:rFonts w:ascii="Times New Roman" w:eastAsia="Times New Roman" w:hAnsi="Times New Roman" w:cs="Times New Roman"/>
      <w:lang w:eastAsia="zh-CN"/>
    </w:rPr>
  </w:style>
  <w:style w:type="character" w:customStyle="1" w:styleId="normaltextrun">
    <w:name w:val="normaltextrun"/>
    <w:basedOn w:val="DefaultParagraphFont"/>
    <w:rsid w:val="009C463E"/>
  </w:style>
  <w:style w:type="character" w:customStyle="1" w:styleId="eop">
    <w:name w:val="eop"/>
    <w:basedOn w:val="DefaultParagraphFont"/>
    <w:rsid w:val="009C463E"/>
  </w:style>
  <w:style w:type="table" w:styleId="PlainTable1">
    <w:name w:val="Plain Table 1"/>
    <w:basedOn w:val="TableNormal"/>
    <w:uiPriority w:val="41"/>
    <w:rsid w:val="00502B4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502B4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8131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310A"/>
    <w:rPr>
      <w:rFonts w:ascii="Segoe UI" w:hAnsi="Segoe UI" w:cs="Segoe UI"/>
      <w:sz w:val="18"/>
      <w:szCs w:val="18"/>
      <w:lang w:val="en-GB"/>
    </w:rPr>
  </w:style>
  <w:style w:type="character" w:styleId="PlaceholderText">
    <w:name w:val="Placeholder Text"/>
    <w:basedOn w:val="DefaultParagraphFont"/>
    <w:uiPriority w:val="99"/>
    <w:semiHidden/>
    <w:rsid w:val="00BA5C7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6553">
      <w:bodyDiv w:val="1"/>
      <w:marLeft w:val="0"/>
      <w:marRight w:val="0"/>
      <w:marTop w:val="0"/>
      <w:marBottom w:val="0"/>
      <w:divBdr>
        <w:top w:val="none" w:sz="0" w:space="0" w:color="auto"/>
        <w:left w:val="none" w:sz="0" w:space="0" w:color="auto"/>
        <w:bottom w:val="none" w:sz="0" w:space="0" w:color="auto"/>
        <w:right w:val="none" w:sz="0" w:space="0" w:color="auto"/>
      </w:divBdr>
    </w:div>
    <w:div w:id="13921652">
      <w:bodyDiv w:val="1"/>
      <w:marLeft w:val="0"/>
      <w:marRight w:val="0"/>
      <w:marTop w:val="0"/>
      <w:marBottom w:val="0"/>
      <w:divBdr>
        <w:top w:val="none" w:sz="0" w:space="0" w:color="auto"/>
        <w:left w:val="none" w:sz="0" w:space="0" w:color="auto"/>
        <w:bottom w:val="none" w:sz="0" w:space="0" w:color="auto"/>
        <w:right w:val="none" w:sz="0" w:space="0" w:color="auto"/>
      </w:divBdr>
    </w:div>
    <w:div w:id="31420081">
      <w:bodyDiv w:val="1"/>
      <w:marLeft w:val="0"/>
      <w:marRight w:val="0"/>
      <w:marTop w:val="0"/>
      <w:marBottom w:val="0"/>
      <w:divBdr>
        <w:top w:val="none" w:sz="0" w:space="0" w:color="auto"/>
        <w:left w:val="none" w:sz="0" w:space="0" w:color="auto"/>
        <w:bottom w:val="none" w:sz="0" w:space="0" w:color="auto"/>
        <w:right w:val="none" w:sz="0" w:space="0" w:color="auto"/>
      </w:divBdr>
    </w:div>
    <w:div w:id="32384846">
      <w:bodyDiv w:val="1"/>
      <w:marLeft w:val="0"/>
      <w:marRight w:val="0"/>
      <w:marTop w:val="0"/>
      <w:marBottom w:val="0"/>
      <w:divBdr>
        <w:top w:val="none" w:sz="0" w:space="0" w:color="auto"/>
        <w:left w:val="none" w:sz="0" w:space="0" w:color="auto"/>
        <w:bottom w:val="none" w:sz="0" w:space="0" w:color="auto"/>
        <w:right w:val="none" w:sz="0" w:space="0" w:color="auto"/>
      </w:divBdr>
    </w:div>
    <w:div w:id="41904219">
      <w:bodyDiv w:val="1"/>
      <w:marLeft w:val="0"/>
      <w:marRight w:val="0"/>
      <w:marTop w:val="0"/>
      <w:marBottom w:val="0"/>
      <w:divBdr>
        <w:top w:val="none" w:sz="0" w:space="0" w:color="auto"/>
        <w:left w:val="none" w:sz="0" w:space="0" w:color="auto"/>
        <w:bottom w:val="none" w:sz="0" w:space="0" w:color="auto"/>
        <w:right w:val="none" w:sz="0" w:space="0" w:color="auto"/>
      </w:divBdr>
    </w:div>
    <w:div w:id="58209164">
      <w:bodyDiv w:val="1"/>
      <w:marLeft w:val="0"/>
      <w:marRight w:val="0"/>
      <w:marTop w:val="0"/>
      <w:marBottom w:val="0"/>
      <w:divBdr>
        <w:top w:val="none" w:sz="0" w:space="0" w:color="auto"/>
        <w:left w:val="none" w:sz="0" w:space="0" w:color="auto"/>
        <w:bottom w:val="none" w:sz="0" w:space="0" w:color="auto"/>
        <w:right w:val="none" w:sz="0" w:space="0" w:color="auto"/>
      </w:divBdr>
    </w:div>
    <w:div w:id="59250095">
      <w:bodyDiv w:val="1"/>
      <w:marLeft w:val="0"/>
      <w:marRight w:val="0"/>
      <w:marTop w:val="0"/>
      <w:marBottom w:val="0"/>
      <w:divBdr>
        <w:top w:val="none" w:sz="0" w:space="0" w:color="auto"/>
        <w:left w:val="none" w:sz="0" w:space="0" w:color="auto"/>
        <w:bottom w:val="none" w:sz="0" w:space="0" w:color="auto"/>
        <w:right w:val="none" w:sz="0" w:space="0" w:color="auto"/>
      </w:divBdr>
    </w:div>
    <w:div w:id="70010099">
      <w:bodyDiv w:val="1"/>
      <w:marLeft w:val="0"/>
      <w:marRight w:val="0"/>
      <w:marTop w:val="0"/>
      <w:marBottom w:val="0"/>
      <w:divBdr>
        <w:top w:val="none" w:sz="0" w:space="0" w:color="auto"/>
        <w:left w:val="none" w:sz="0" w:space="0" w:color="auto"/>
        <w:bottom w:val="none" w:sz="0" w:space="0" w:color="auto"/>
        <w:right w:val="none" w:sz="0" w:space="0" w:color="auto"/>
      </w:divBdr>
    </w:div>
    <w:div w:id="73208924">
      <w:bodyDiv w:val="1"/>
      <w:marLeft w:val="0"/>
      <w:marRight w:val="0"/>
      <w:marTop w:val="0"/>
      <w:marBottom w:val="0"/>
      <w:divBdr>
        <w:top w:val="none" w:sz="0" w:space="0" w:color="auto"/>
        <w:left w:val="none" w:sz="0" w:space="0" w:color="auto"/>
        <w:bottom w:val="none" w:sz="0" w:space="0" w:color="auto"/>
        <w:right w:val="none" w:sz="0" w:space="0" w:color="auto"/>
      </w:divBdr>
    </w:div>
    <w:div w:id="93214483">
      <w:bodyDiv w:val="1"/>
      <w:marLeft w:val="0"/>
      <w:marRight w:val="0"/>
      <w:marTop w:val="0"/>
      <w:marBottom w:val="0"/>
      <w:divBdr>
        <w:top w:val="none" w:sz="0" w:space="0" w:color="auto"/>
        <w:left w:val="none" w:sz="0" w:space="0" w:color="auto"/>
        <w:bottom w:val="none" w:sz="0" w:space="0" w:color="auto"/>
        <w:right w:val="none" w:sz="0" w:space="0" w:color="auto"/>
      </w:divBdr>
    </w:div>
    <w:div w:id="94793070">
      <w:bodyDiv w:val="1"/>
      <w:marLeft w:val="0"/>
      <w:marRight w:val="0"/>
      <w:marTop w:val="0"/>
      <w:marBottom w:val="0"/>
      <w:divBdr>
        <w:top w:val="none" w:sz="0" w:space="0" w:color="auto"/>
        <w:left w:val="none" w:sz="0" w:space="0" w:color="auto"/>
        <w:bottom w:val="none" w:sz="0" w:space="0" w:color="auto"/>
        <w:right w:val="none" w:sz="0" w:space="0" w:color="auto"/>
      </w:divBdr>
    </w:div>
    <w:div w:id="135270505">
      <w:bodyDiv w:val="1"/>
      <w:marLeft w:val="0"/>
      <w:marRight w:val="0"/>
      <w:marTop w:val="0"/>
      <w:marBottom w:val="0"/>
      <w:divBdr>
        <w:top w:val="none" w:sz="0" w:space="0" w:color="auto"/>
        <w:left w:val="none" w:sz="0" w:space="0" w:color="auto"/>
        <w:bottom w:val="none" w:sz="0" w:space="0" w:color="auto"/>
        <w:right w:val="none" w:sz="0" w:space="0" w:color="auto"/>
      </w:divBdr>
    </w:div>
    <w:div w:id="138814764">
      <w:bodyDiv w:val="1"/>
      <w:marLeft w:val="0"/>
      <w:marRight w:val="0"/>
      <w:marTop w:val="0"/>
      <w:marBottom w:val="0"/>
      <w:divBdr>
        <w:top w:val="none" w:sz="0" w:space="0" w:color="auto"/>
        <w:left w:val="none" w:sz="0" w:space="0" w:color="auto"/>
        <w:bottom w:val="none" w:sz="0" w:space="0" w:color="auto"/>
        <w:right w:val="none" w:sz="0" w:space="0" w:color="auto"/>
      </w:divBdr>
    </w:div>
    <w:div w:id="140777563">
      <w:bodyDiv w:val="1"/>
      <w:marLeft w:val="0"/>
      <w:marRight w:val="0"/>
      <w:marTop w:val="0"/>
      <w:marBottom w:val="0"/>
      <w:divBdr>
        <w:top w:val="none" w:sz="0" w:space="0" w:color="auto"/>
        <w:left w:val="none" w:sz="0" w:space="0" w:color="auto"/>
        <w:bottom w:val="none" w:sz="0" w:space="0" w:color="auto"/>
        <w:right w:val="none" w:sz="0" w:space="0" w:color="auto"/>
      </w:divBdr>
    </w:div>
    <w:div w:id="156114026">
      <w:bodyDiv w:val="1"/>
      <w:marLeft w:val="0"/>
      <w:marRight w:val="0"/>
      <w:marTop w:val="0"/>
      <w:marBottom w:val="0"/>
      <w:divBdr>
        <w:top w:val="none" w:sz="0" w:space="0" w:color="auto"/>
        <w:left w:val="none" w:sz="0" w:space="0" w:color="auto"/>
        <w:bottom w:val="none" w:sz="0" w:space="0" w:color="auto"/>
        <w:right w:val="none" w:sz="0" w:space="0" w:color="auto"/>
      </w:divBdr>
    </w:div>
    <w:div w:id="160001761">
      <w:bodyDiv w:val="1"/>
      <w:marLeft w:val="0"/>
      <w:marRight w:val="0"/>
      <w:marTop w:val="0"/>
      <w:marBottom w:val="0"/>
      <w:divBdr>
        <w:top w:val="none" w:sz="0" w:space="0" w:color="auto"/>
        <w:left w:val="none" w:sz="0" w:space="0" w:color="auto"/>
        <w:bottom w:val="none" w:sz="0" w:space="0" w:color="auto"/>
        <w:right w:val="none" w:sz="0" w:space="0" w:color="auto"/>
      </w:divBdr>
    </w:div>
    <w:div w:id="165052287">
      <w:bodyDiv w:val="1"/>
      <w:marLeft w:val="0"/>
      <w:marRight w:val="0"/>
      <w:marTop w:val="0"/>
      <w:marBottom w:val="0"/>
      <w:divBdr>
        <w:top w:val="none" w:sz="0" w:space="0" w:color="auto"/>
        <w:left w:val="none" w:sz="0" w:space="0" w:color="auto"/>
        <w:bottom w:val="none" w:sz="0" w:space="0" w:color="auto"/>
        <w:right w:val="none" w:sz="0" w:space="0" w:color="auto"/>
      </w:divBdr>
    </w:div>
    <w:div w:id="167017793">
      <w:bodyDiv w:val="1"/>
      <w:marLeft w:val="0"/>
      <w:marRight w:val="0"/>
      <w:marTop w:val="0"/>
      <w:marBottom w:val="0"/>
      <w:divBdr>
        <w:top w:val="none" w:sz="0" w:space="0" w:color="auto"/>
        <w:left w:val="none" w:sz="0" w:space="0" w:color="auto"/>
        <w:bottom w:val="none" w:sz="0" w:space="0" w:color="auto"/>
        <w:right w:val="none" w:sz="0" w:space="0" w:color="auto"/>
      </w:divBdr>
    </w:div>
    <w:div w:id="174074003">
      <w:bodyDiv w:val="1"/>
      <w:marLeft w:val="0"/>
      <w:marRight w:val="0"/>
      <w:marTop w:val="0"/>
      <w:marBottom w:val="0"/>
      <w:divBdr>
        <w:top w:val="none" w:sz="0" w:space="0" w:color="auto"/>
        <w:left w:val="none" w:sz="0" w:space="0" w:color="auto"/>
        <w:bottom w:val="none" w:sz="0" w:space="0" w:color="auto"/>
        <w:right w:val="none" w:sz="0" w:space="0" w:color="auto"/>
      </w:divBdr>
    </w:div>
    <w:div w:id="174148545">
      <w:bodyDiv w:val="1"/>
      <w:marLeft w:val="0"/>
      <w:marRight w:val="0"/>
      <w:marTop w:val="0"/>
      <w:marBottom w:val="0"/>
      <w:divBdr>
        <w:top w:val="none" w:sz="0" w:space="0" w:color="auto"/>
        <w:left w:val="none" w:sz="0" w:space="0" w:color="auto"/>
        <w:bottom w:val="none" w:sz="0" w:space="0" w:color="auto"/>
        <w:right w:val="none" w:sz="0" w:space="0" w:color="auto"/>
      </w:divBdr>
      <w:divsChild>
        <w:div w:id="170410059">
          <w:marLeft w:val="0"/>
          <w:marRight w:val="0"/>
          <w:marTop w:val="0"/>
          <w:marBottom w:val="0"/>
          <w:divBdr>
            <w:top w:val="none" w:sz="0" w:space="0" w:color="auto"/>
            <w:left w:val="none" w:sz="0" w:space="0" w:color="auto"/>
            <w:bottom w:val="none" w:sz="0" w:space="0" w:color="auto"/>
            <w:right w:val="none" w:sz="0" w:space="0" w:color="auto"/>
          </w:divBdr>
        </w:div>
        <w:div w:id="201330009">
          <w:marLeft w:val="0"/>
          <w:marRight w:val="0"/>
          <w:marTop w:val="0"/>
          <w:marBottom w:val="0"/>
          <w:divBdr>
            <w:top w:val="none" w:sz="0" w:space="0" w:color="auto"/>
            <w:left w:val="none" w:sz="0" w:space="0" w:color="auto"/>
            <w:bottom w:val="none" w:sz="0" w:space="0" w:color="auto"/>
            <w:right w:val="none" w:sz="0" w:space="0" w:color="auto"/>
          </w:divBdr>
        </w:div>
        <w:div w:id="437718566">
          <w:marLeft w:val="0"/>
          <w:marRight w:val="0"/>
          <w:marTop w:val="0"/>
          <w:marBottom w:val="0"/>
          <w:divBdr>
            <w:top w:val="none" w:sz="0" w:space="0" w:color="auto"/>
            <w:left w:val="none" w:sz="0" w:space="0" w:color="auto"/>
            <w:bottom w:val="none" w:sz="0" w:space="0" w:color="auto"/>
            <w:right w:val="none" w:sz="0" w:space="0" w:color="auto"/>
          </w:divBdr>
        </w:div>
        <w:div w:id="488139681">
          <w:marLeft w:val="0"/>
          <w:marRight w:val="0"/>
          <w:marTop w:val="0"/>
          <w:marBottom w:val="0"/>
          <w:divBdr>
            <w:top w:val="none" w:sz="0" w:space="0" w:color="auto"/>
            <w:left w:val="none" w:sz="0" w:space="0" w:color="auto"/>
            <w:bottom w:val="none" w:sz="0" w:space="0" w:color="auto"/>
            <w:right w:val="none" w:sz="0" w:space="0" w:color="auto"/>
          </w:divBdr>
        </w:div>
        <w:div w:id="502596002">
          <w:marLeft w:val="0"/>
          <w:marRight w:val="0"/>
          <w:marTop w:val="0"/>
          <w:marBottom w:val="0"/>
          <w:divBdr>
            <w:top w:val="none" w:sz="0" w:space="0" w:color="auto"/>
            <w:left w:val="none" w:sz="0" w:space="0" w:color="auto"/>
            <w:bottom w:val="none" w:sz="0" w:space="0" w:color="auto"/>
            <w:right w:val="none" w:sz="0" w:space="0" w:color="auto"/>
          </w:divBdr>
        </w:div>
        <w:div w:id="562564552">
          <w:marLeft w:val="0"/>
          <w:marRight w:val="0"/>
          <w:marTop w:val="0"/>
          <w:marBottom w:val="0"/>
          <w:divBdr>
            <w:top w:val="none" w:sz="0" w:space="0" w:color="auto"/>
            <w:left w:val="none" w:sz="0" w:space="0" w:color="auto"/>
            <w:bottom w:val="none" w:sz="0" w:space="0" w:color="auto"/>
            <w:right w:val="none" w:sz="0" w:space="0" w:color="auto"/>
          </w:divBdr>
        </w:div>
        <w:div w:id="669019645">
          <w:marLeft w:val="0"/>
          <w:marRight w:val="0"/>
          <w:marTop w:val="0"/>
          <w:marBottom w:val="0"/>
          <w:divBdr>
            <w:top w:val="none" w:sz="0" w:space="0" w:color="auto"/>
            <w:left w:val="none" w:sz="0" w:space="0" w:color="auto"/>
            <w:bottom w:val="none" w:sz="0" w:space="0" w:color="auto"/>
            <w:right w:val="none" w:sz="0" w:space="0" w:color="auto"/>
          </w:divBdr>
        </w:div>
        <w:div w:id="689718752">
          <w:marLeft w:val="0"/>
          <w:marRight w:val="0"/>
          <w:marTop w:val="0"/>
          <w:marBottom w:val="0"/>
          <w:divBdr>
            <w:top w:val="none" w:sz="0" w:space="0" w:color="auto"/>
            <w:left w:val="none" w:sz="0" w:space="0" w:color="auto"/>
            <w:bottom w:val="none" w:sz="0" w:space="0" w:color="auto"/>
            <w:right w:val="none" w:sz="0" w:space="0" w:color="auto"/>
          </w:divBdr>
        </w:div>
        <w:div w:id="755635428">
          <w:marLeft w:val="0"/>
          <w:marRight w:val="0"/>
          <w:marTop w:val="0"/>
          <w:marBottom w:val="0"/>
          <w:divBdr>
            <w:top w:val="none" w:sz="0" w:space="0" w:color="auto"/>
            <w:left w:val="none" w:sz="0" w:space="0" w:color="auto"/>
            <w:bottom w:val="none" w:sz="0" w:space="0" w:color="auto"/>
            <w:right w:val="none" w:sz="0" w:space="0" w:color="auto"/>
          </w:divBdr>
        </w:div>
        <w:div w:id="1103233432">
          <w:marLeft w:val="0"/>
          <w:marRight w:val="0"/>
          <w:marTop w:val="0"/>
          <w:marBottom w:val="0"/>
          <w:divBdr>
            <w:top w:val="none" w:sz="0" w:space="0" w:color="auto"/>
            <w:left w:val="none" w:sz="0" w:space="0" w:color="auto"/>
            <w:bottom w:val="none" w:sz="0" w:space="0" w:color="auto"/>
            <w:right w:val="none" w:sz="0" w:space="0" w:color="auto"/>
          </w:divBdr>
        </w:div>
        <w:div w:id="1241132830">
          <w:marLeft w:val="0"/>
          <w:marRight w:val="0"/>
          <w:marTop w:val="0"/>
          <w:marBottom w:val="0"/>
          <w:divBdr>
            <w:top w:val="none" w:sz="0" w:space="0" w:color="auto"/>
            <w:left w:val="none" w:sz="0" w:space="0" w:color="auto"/>
            <w:bottom w:val="none" w:sz="0" w:space="0" w:color="auto"/>
            <w:right w:val="none" w:sz="0" w:space="0" w:color="auto"/>
          </w:divBdr>
        </w:div>
        <w:div w:id="1444152320">
          <w:marLeft w:val="0"/>
          <w:marRight w:val="0"/>
          <w:marTop w:val="0"/>
          <w:marBottom w:val="0"/>
          <w:divBdr>
            <w:top w:val="none" w:sz="0" w:space="0" w:color="auto"/>
            <w:left w:val="none" w:sz="0" w:space="0" w:color="auto"/>
            <w:bottom w:val="none" w:sz="0" w:space="0" w:color="auto"/>
            <w:right w:val="none" w:sz="0" w:space="0" w:color="auto"/>
          </w:divBdr>
        </w:div>
      </w:divsChild>
    </w:div>
    <w:div w:id="176043214">
      <w:bodyDiv w:val="1"/>
      <w:marLeft w:val="0"/>
      <w:marRight w:val="0"/>
      <w:marTop w:val="0"/>
      <w:marBottom w:val="0"/>
      <w:divBdr>
        <w:top w:val="none" w:sz="0" w:space="0" w:color="auto"/>
        <w:left w:val="none" w:sz="0" w:space="0" w:color="auto"/>
        <w:bottom w:val="none" w:sz="0" w:space="0" w:color="auto"/>
        <w:right w:val="none" w:sz="0" w:space="0" w:color="auto"/>
      </w:divBdr>
    </w:div>
    <w:div w:id="180441214">
      <w:bodyDiv w:val="1"/>
      <w:marLeft w:val="0"/>
      <w:marRight w:val="0"/>
      <w:marTop w:val="0"/>
      <w:marBottom w:val="0"/>
      <w:divBdr>
        <w:top w:val="none" w:sz="0" w:space="0" w:color="auto"/>
        <w:left w:val="none" w:sz="0" w:space="0" w:color="auto"/>
        <w:bottom w:val="none" w:sz="0" w:space="0" w:color="auto"/>
        <w:right w:val="none" w:sz="0" w:space="0" w:color="auto"/>
      </w:divBdr>
    </w:div>
    <w:div w:id="186453871">
      <w:bodyDiv w:val="1"/>
      <w:marLeft w:val="0"/>
      <w:marRight w:val="0"/>
      <w:marTop w:val="0"/>
      <w:marBottom w:val="0"/>
      <w:divBdr>
        <w:top w:val="none" w:sz="0" w:space="0" w:color="auto"/>
        <w:left w:val="none" w:sz="0" w:space="0" w:color="auto"/>
        <w:bottom w:val="none" w:sz="0" w:space="0" w:color="auto"/>
        <w:right w:val="none" w:sz="0" w:space="0" w:color="auto"/>
      </w:divBdr>
    </w:div>
    <w:div w:id="195626628">
      <w:bodyDiv w:val="1"/>
      <w:marLeft w:val="0"/>
      <w:marRight w:val="0"/>
      <w:marTop w:val="0"/>
      <w:marBottom w:val="0"/>
      <w:divBdr>
        <w:top w:val="none" w:sz="0" w:space="0" w:color="auto"/>
        <w:left w:val="none" w:sz="0" w:space="0" w:color="auto"/>
        <w:bottom w:val="none" w:sz="0" w:space="0" w:color="auto"/>
        <w:right w:val="none" w:sz="0" w:space="0" w:color="auto"/>
      </w:divBdr>
    </w:div>
    <w:div w:id="203908942">
      <w:bodyDiv w:val="1"/>
      <w:marLeft w:val="0"/>
      <w:marRight w:val="0"/>
      <w:marTop w:val="0"/>
      <w:marBottom w:val="0"/>
      <w:divBdr>
        <w:top w:val="none" w:sz="0" w:space="0" w:color="auto"/>
        <w:left w:val="none" w:sz="0" w:space="0" w:color="auto"/>
        <w:bottom w:val="none" w:sz="0" w:space="0" w:color="auto"/>
        <w:right w:val="none" w:sz="0" w:space="0" w:color="auto"/>
      </w:divBdr>
    </w:div>
    <w:div w:id="212087697">
      <w:bodyDiv w:val="1"/>
      <w:marLeft w:val="0"/>
      <w:marRight w:val="0"/>
      <w:marTop w:val="0"/>
      <w:marBottom w:val="0"/>
      <w:divBdr>
        <w:top w:val="none" w:sz="0" w:space="0" w:color="auto"/>
        <w:left w:val="none" w:sz="0" w:space="0" w:color="auto"/>
        <w:bottom w:val="none" w:sz="0" w:space="0" w:color="auto"/>
        <w:right w:val="none" w:sz="0" w:space="0" w:color="auto"/>
      </w:divBdr>
    </w:div>
    <w:div w:id="212693451">
      <w:bodyDiv w:val="1"/>
      <w:marLeft w:val="0"/>
      <w:marRight w:val="0"/>
      <w:marTop w:val="0"/>
      <w:marBottom w:val="0"/>
      <w:divBdr>
        <w:top w:val="none" w:sz="0" w:space="0" w:color="auto"/>
        <w:left w:val="none" w:sz="0" w:space="0" w:color="auto"/>
        <w:bottom w:val="none" w:sz="0" w:space="0" w:color="auto"/>
        <w:right w:val="none" w:sz="0" w:space="0" w:color="auto"/>
      </w:divBdr>
    </w:div>
    <w:div w:id="214434003">
      <w:bodyDiv w:val="1"/>
      <w:marLeft w:val="0"/>
      <w:marRight w:val="0"/>
      <w:marTop w:val="0"/>
      <w:marBottom w:val="0"/>
      <w:divBdr>
        <w:top w:val="none" w:sz="0" w:space="0" w:color="auto"/>
        <w:left w:val="none" w:sz="0" w:space="0" w:color="auto"/>
        <w:bottom w:val="none" w:sz="0" w:space="0" w:color="auto"/>
        <w:right w:val="none" w:sz="0" w:space="0" w:color="auto"/>
      </w:divBdr>
    </w:div>
    <w:div w:id="216548049">
      <w:bodyDiv w:val="1"/>
      <w:marLeft w:val="0"/>
      <w:marRight w:val="0"/>
      <w:marTop w:val="0"/>
      <w:marBottom w:val="0"/>
      <w:divBdr>
        <w:top w:val="none" w:sz="0" w:space="0" w:color="auto"/>
        <w:left w:val="none" w:sz="0" w:space="0" w:color="auto"/>
        <w:bottom w:val="none" w:sz="0" w:space="0" w:color="auto"/>
        <w:right w:val="none" w:sz="0" w:space="0" w:color="auto"/>
      </w:divBdr>
    </w:div>
    <w:div w:id="223225623">
      <w:bodyDiv w:val="1"/>
      <w:marLeft w:val="0"/>
      <w:marRight w:val="0"/>
      <w:marTop w:val="0"/>
      <w:marBottom w:val="0"/>
      <w:divBdr>
        <w:top w:val="none" w:sz="0" w:space="0" w:color="auto"/>
        <w:left w:val="none" w:sz="0" w:space="0" w:color="auto"/>
        <w:bottom w:val="none" w:sz="0" w:space="0" w:color="auto"/>
        <w:right w:val="none" w:sz="0" w:space="0" w:color="auto"/>
      </w:divBdr>
    </w:div>
    <w:div w:id="226037569">
      <w:bodyDiv w:val="1"/>
      <w:marLeft w:val="0"/>
      <w:marRight w:val="0"/>
      <w:marTop w:val="0"/>
      <w:marBottom w:val="0"/>
      <w:divBdr>
        <w:top w:val="none" w:sz="0" w:space="0" w:color="auto"/>
        <w:left w:val="none" w:sz="0" w:space="0" w:color="auto"/>
        <w:bottom w:val="none" w:sz="0" w:space="0" w:color="auto"/>
        <w:right w:val="none" w:sz="0" w:space="0" w:color="auto"/>
      </w:divBdr>
    </w:div>
    <w:div w:id="243809338">
      <w:bodyDiv w:val="1"/>
      <w:marLeft w:val="0"/>
      <w:marRight w:val="0"/>
      <w:marTop w:val="0"/>
      <w:marBottom w:val="0"/>
      <w:divBdr>
        <w:top w:val="none" w:sz="0" w:space="0" w:color="auto"/>
        <w:left w:val="none" w:sz="0" w:space="0" w:color="auto"/>
        <w:bottom w:val="none" w:sz="0" w:space="0" w:color="auto"/>
        <w:right w:val="none" w:sz="0" w:space="0" w:color="auto"/>
      </w:divBdr>
    </w:div>
    <w:div w:id="250432518">
      <w:bodyDiv w:val="1"/>
      <w:marLeft w:val="0"/>
      <w:marRight w:val="0"/>
      <w:marTop w:val="0"/>
      <w:marBottom w:val="0"/>
      <w:divBdr>
        <w:top w:val="none" w:sz="0" w:space="0" w:color="auto"/>
        <w:left w:val="none" w:sz="0" w:space="0" w:color="auto"/>
        <w:bottom w:val="none" w:sz="0" w:space="0" w:color="auto"/>
        <w:right w:val="none" w:sz="0" w:space="0" w:color="auto"/>
      </w:divBdr>
    </w:div>
    <w:div w:id="253246102">
      <w:bodyDiv w:val="1"/>
      <w:marLeft w:val="0"/>
      <w:marRight w:val="0"/>
      <w:marTop w:val="0"/>
      <w:marBottom w:val="0"/>
      <w:divBdr>
        <w:top w:val="none" w:sz="0" w:space="0" w:color="auto"/>
        <w:left w:val="none" w:sz="0" w:space="0" w:color="auto"/>
        <w:bottom w:val="none" w:sz="0" w:space="0" w:color="auto"/>
        <w:right w:val="none" w:sz="0" w:space="0" w:color="auto"/>
      </w:divBdr>
      <w:divsChild>
        <w:div w:id="570048196">
          <w:marLeft w:val="0"/>
          <w:marRight w:val="0"/>
          <w:marTop w:val="0"/>
          <w:marBottom w:val="0"/>
          <w:divBdr>
            <w:top w:val="none" w:sz="0" w:space="0" w:color="auto"/>
            <w:left w:val="none" w:sz="0" w:space="0" w:color="auto"/>
            <w:bottom w:val="none" w:sz="0" w:space="0" w:color="auto"/>
            <w:right w:val="none" w:sz="0" w:space="0" w:color="auto"/>
          </w:divBdr>
          <w:divsChild>
            <w:div w:id="592327181">
              <w:marLeft w:val="0"/>
              <w:marRight w:val="0"/>
              <w:marTop w:val="0"/>
              <w:marBottom w:val="0"/>
              <w:divBdr>
                <w:top w:val="none" w:sz="0" w:space="0" w:color="auto"/>
                <w:left w:val="none" w:sz="0" w:space="0" w:color="auto"/>
                <w:bottom w:val="none" w:sz="0" w:space="0" w:color="auto"/>
                <w:right w:val="none" w:sz="0" w:space="0" w:color="auto"/>
              </w:divBdr>
              <w:divsChild>
                <w:div w:id="429663652">
                  <w:marLeft w:val="0"/>
                  <w:marRight w:val="0"/>
                  <w:marTop w:val="0"/>
                  <w:marBottom w:val="0"/>
                  <w:divBdr>
                    <w:top w:val="none" w:sz="0" w:space="0" w:color="auto"/>
                    <w:left w:val="none" w:sz="0" w:space="0" w:color="auto"/>
                    <w:bottom w:val="none" w:sz="0" w:space="0" w:color="auto"/>
                    <w:right w:val="none" w:sz="0" w:space="0" w:color="auto"/>
                  </w:divBdr>
                  <w:divsChild>
                    <w:div w:id="153750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271272">
      <w:bodyDiv w:val="1"/>
      <w:marLeft w:val="0"/>
      <w:marRight w:val="0"/>
      <w:marTop w:val="0"/>
      <w:marBottom w:val="0"/>
      <w:divBdr>
        <w:top w:val="none" w:sz="0" w:space="0" w:color="auto"/>
        <w:left w:val="none" w:sz="0" w:space="0" w:color="auto"/>
        <w:bottom w:val="none" w:sz="0" w:space="0" w:color="auto"/>
        <w:right w:val="none" w:sz="0" w:space="0" w:color="auto"/>
      </w:divBdr>
    </w:div>
    <w:div w:id="313458689">
      <w:bodyDiv w:val="1"/>
      <w:marLeft w:val="0"/>
      <w:marRight w:val="0"/>
      <w:marTop w:val="0"/>
      <w:marBottom w:val="0"/>
      <w:divBdr>
        <w:top w:val="none" w:sz="0" w:space="0" w:color="auto"/>
        <w:left w:val="none" w:sz="0" w:space="0" w:color="auto"/>
        <w:bottom w:val="none" w:sz="0" w:space="0" w:color="auto"/>
        <w:right w:val="none" w:sz="0" w:space="0" w:color="auto"/>
      </w:divBdr>
    </w:div>
    <w:div w:id="322008452">
      <w:bodyDiv w:val="1"/>
      <w:marLeft w:val="0"/>
      <w:marRight w:val="0"/>
      <w:marTop w:val="0"/>
      <w:marBottom w:val="0"/>
      <w:divBdr>
        <w:top w:val="none" w:sz="0" w:space="0" w:color="auto"/>
        <w:left w:val="none" w:sz="0" w:space="0" w:color="auto"/>
        <w:bottom w:val="none" w:sz="0" w:space="0" w:color="auto"/>
        <w:right w:val="none" w:sz="0" w:space="0" w:color="auto"/>
      </w:divBdr>
    </w:div>
    <w:div w:id="334573450">
      <w:bodyDiv w:val="1"/>
      <w:marLeft w:val="0"/>
      <w:marRight w:val="0"/>
      <w:marTop w:val="0"/>
      <w:marBottom w:val="0"/>
      <w:divBdr>
        <w:top w:val="none" w:sz="0" w:space="0" w:color="auto"/>
        <w:left w:val="none" w:sz="0" w:space="0" w:color="auto"/>
        <w:bottom w:val="none" w:sz="0" w:space="0" w:color="auto"/>
        <w:right w:val="none" w:sz="0" w:space="0" w:color="auto"/>
      </w:divBdr>
    </w:div>
    <w:div w:id="341393535">
      <w:bodyDiv w:val="1"/>
      <w:marLeft w:val="0"/>
      <w:marRight w:val="0"/>
      <w:marTop w:val="0"/>
      <w:marBottom w:val="0"/>
      <w:divBdr>
        <w:top w:val="none" w:sz="0" w:space="0" w:color="auto"/>
        <w:left w:val="none" w:sz="0" w:space="0" w:color="auto"/>
        <w:bottom w:val="none" w:sz="0" w:space="0" w:color="auto"/>
        <w:right w:val="none" w:sz="0" w:space="0" w:color="auto"/>
      </w:divBdr>
    </w:div>
    <w:div w:id="350297517">
      <w:bodyDiv w:val="1"/>
      <w:marLeft w:val="0"/>
      <w:marRight w:val="0"/>
      <w:marTop w:val="0"/>
      <w:marBottom w:val="0"/>
      <w:divBdr>
        <w:top w:val="none" w:sz="0" w:space="0" w:color="auto"/>
        <w:left w:val="none" w:sz="0" w:space="0" w:color="auto"/>
        <w:bottom w:val="none" w:sz="0" w:space="0" w:color="auto"/>
        <w:right w:val="none" w:sz="0" w:space="0" w:color="auto"/>
      </w:divBdr>
    </w:div>
    <w:div w:id="353270779">
      <w:bodyDiv w:val="1"/>
      <w:marLeft w:val="0"/>
      <w:marRight w:val="0"/>
      <w:marTop w:val="0"/>
      <w:marBottom w:val="0"/>
      <w:divBdr>
        <w:top w:val="none" w:sz="0" w:space="0" w:color="auto"/>
        <w:left w:val="none" w:sz="0" w:space="0" w:color="auto"/>
        <w:bottom w:val="none" w:sz="0" w:space="0" w:color="auto"/>
        <w:right w:val="none" w:sz="0" w:space="0" w:color="auto"/>
      </w:divBdr>
      <w:divsChild>
        <w:div w:id="365526826">
          <w:marLeft w:val="0"/>
          <w:marRight w:val="0"/>
          <w:marTop w:val="0"/>
          <w:marBottom w:val="0"/>
          <w:divBdr>
            <w:top w:val="none" w:sz="0" w:space="0" w:color="auto"/>
            <w:left w:val="none" w:sz="0" w:space="0" w:color="auto"/>
            <w:bottom w:val="none" w:sz="0" w:space="0" w:color="auto"/>
            <w:right w:val="none" w:sz="0" w:space="0" w:color="auto"/>
          </w:divBdr>
          <w:divsChild>
            <w:div w:id="953748401">
              <w:marLeft w:val="0"/>
              <w:marRight w:val="0"/>
              <w:marTop w:val="0"/>
              <w:marBottom w:val="0"/>
              <w:divBdr>
                <w:top w:val="none" w:sz="0" w:space="0" w:color="auto"/>
                <w:left w:val="none" w:sz="0" w:space="0" w:color="auto"/>
                <w:bottom w:val="none" w:sz="0" w:space="0" w:color="auto"/>
                <w:right w:val="none" w:sz="0" w:space="0" w:color="auto"/>
              </w:divBdr>
              <w:divsChild>
                <w:div w:id="1102143099">
                  <w:marLeft w:val="0"/>
                  <w:marRight w:val="0"/>
                  <w:marTop w:val="0"/>
                  <w:marBottom w:val="0"/>
                  <w:divBdr>
                    <w:top w:val="none" w:sz="0" w:space="0" w:color="auto"/>
                    <w:left w:val="none" w:sz="0" w:space="0" w:color="auto"/>
                    <w:bottom w:val="none" w:sz="0" w:space="0" w:color="auto"/>
                    <w:right w:val="none" w:sz="0" w:space="0" w:color="auto"/>
                  </w:divBdr>
                  <w:divsChild>
                    <w:div w:id="1181238142">
                      <w:marLeft w:val="0"/>
                      <w:marRight w:val="0"/>
                      <w:marTop w:val="0"/>
                      <w:marBottom w:val="0"/>
                      <w:divBdr>
                        <w:top w:val="none" w:sz="0" w:space="0" w:color="auto"/>
                        <w:left w:val="none" w:sz="0" w:space="0" w:color="auto"/>
                        <w:bottom w:val="none" w:sz="0" w:space="0" w:color="auto"/>
                        <w:right w:val="none" w:sz="0" w:space="0" w:color="auto"/>
                      </w:divBdr>
                      <w:divsChild>
                        <w:div w:id="968510648">
                          <w:marLeft w:val="0"/>
                          <w:marRight w:val="0"/>
                          <w:marTop w:val="0"/>
                          <w:marBottom w:val="0"/>
                          <w:divBdr>
                            <w:top w:val="none" w:sz="0" w:space="0" w:color="auto"/>
                            <w:left w:val="none" w:sz="0" w:space="0" w:color="auto"/>
                            <w:bottom w:val="none" w:sz="0" w:space="0" w:color="auto"/>
                            <w:right w:val="none" w:sz="0" w:space="0" w:color="auto"/>
                          </w:divBdr>
                          <w:divsChild>
                            <w:div w:id="55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576421">
      <w:bodyDiv w:val="1"/>
      <w:marLeft w:val="0"/>
      <w:marRight w:val="0"/>
      <w:marTop w:val="0"/>
      <w:marBottom w:val="0"/>
      <w:divBdr>
        <w:top w:val="none" w:sz="0" w:space="0" w:color="auto"/>
        <w:left w:val="none" w:sz="0" w:space="0" w:color="auto"/>
        <w:bottom w:val="none" w:sz="0" w:space="0" w:color="auto"/>
        <w:right w:val="none" w:sz="0" w:space="0" w:color="auto"/>
      </w:divBdr>
    </w:div>
    <w:div w:id="398791141">
      <w:bodyDiv w:val="1"/>
      <w:marLeft w:val="0"/>
      <w:marRight w:val="0"/>
      <w:marTop w:val="0"/>
      <w:marBottom w:val="0"/>
      <w:divBdr>
        <w:top w:val="none" w:sz="0" w:space="0" w:color="auto"/>
        <w:left w:val="none" w:sz="0" w:space="0" w:color="auto"/>
        <w:bottom w:val="none" w:sz="0" w:space="0" w:color="auto"/>
        <w:right w:val="none" w:sz="0" w:space="0" w:color="auto"/>
      </w:divBdr>
    </w:div>
    <w:div w:id="407315093">
      <w:bodyDiv w:val="1"/>
      <w:marLeft w:val="0"/>
      <w:marRight w:val="0"/>
      <w:marTop w:val="0"/>
      <w:marBottom w:val="0"/>
      <w:divBdr>
        <w:top w:val="none" w:sz="0" w:space="0" w:color="auto"/>
        <w:left w:val="none" w:sz="0" w:space="0" w:color="auto"/>
        <w:bottom w:val="none" w:sz="0" w:space="0" w:color="auto"/>
        <w:right w:val="none" w:sz="0" w:space="0" w:color="auto"/>
      </w:divBdr>
    </w:div>
    <w:div w:id="416905714">
      <w:bodyDiv w:val="1"/>
      <w:marLeft w:val="0"/>
      <w:marRight w:val="0"/>
      <w:marTop w:val="0"/>
      <w:marBottom w:val="0"/>
      <w:divBdr>
        <w:top w:val="none" w:sz="0" w:space="0" w:color="auto"/>
        <w:left w:val="none" w:sz="0" w:space="0" w:color="auto"/>
        <w:bottom w:val="none" w:sz="0" w:space="0" w:color="auto"/>
        <w:right w:val="none" w:sz="0" w:space="0" w:color="auto"/>
      </w:divBdr>
    </w:div>
    <w:div w:id="420177789">
      <w:bodyDiv w:val="1"/>
      <w:marLeft w:val="0"/>
      <w:marRight w:val="0"/>
      <w:marTop w:val="0"/>
      <w:marBottom w:val="0"/>
      <w:divBdr>
        <w:top w:val="none" w:sz="0" w:space="0" w:color="auto"/>
        <w:left w:val="none" w:sz="0" w:space="0" w:color="auto"/>
        <w:bottom w:val="none" w:sz="0" w:space="0" w:color="auto"/>
        <w:right w:val="none" w:sz="0" w:space="0" w:color="auto"/>
      </w:divBdr>
    </w:div>
    <w:div w:id="430390968">
      <w:bodyDiv w:val="1"/>
      <w:marLeft w:val="0"/>
      <w:marRight w:val="0"/>
      <w:marTop w:val="0"/>
      <w:marBottom w:val="0"/>
      <w:divBdr>
        <w:top w:val="none" w:sz="0" w:space="0" w:color="auto"/>
        <w:left w:val="none" w:sz="0" w:space="0" w:color="auto"/>
        <w:bottom w:val="none" w:sz="0" w:space="0" w:color="auto"/>
        <w:right w:val="none" w:sz="0" w:space="0" w:color="auto"/>
      </w:divBdr>
    </w:div>
    <w:div w:id="452401847">
      <w:bodyDiv w:val="1"/>
      <w:marLeft w:val="0"/>
      <w:marRight w:val="0"/>
      <w:marTop w:val="0"/>
      <w:marBottom w:val="0"/>
      <w:divBdr>
        <w:top w:val="none" w:sz="0" w:space="0" w:color="auto"/>
        <w:left w:val="none" w:sz="0" w:space="0" w:color="auto"/>
        <w:bottom w:val="none" w:sz="0" w:space="0" w:color="auto"/>
        <w:right w:val="none" w:sz="0" w:space="0" w:color="auto"/>
      </w:divBdr>
    </w:div>
    <w:div w:id="458105761">
      <w:bodyDiv w:val="1"/>
      <w:marLeft w:val="0"/>
      <w:marRight w:val="0"/>
      <w:marTop w:val="0"/>
      <w:marBottom w:val="0"/>
      <w:divBdr>
        <w:top w:val="none" w:sz="0" w:space="0" w:color="auto"/>
        <w:left w:val="none" w:sz="0" w:space="0" w:color="auto"/>
        <w:bottom w:val="none" w:sz="0" w:space="0" w:color="auto"/>
        <w:right w:val="none" w:sz="0" w:space="0" w:color="auto"/>
      </w:divBdr>
    </w:div>
    <w:div w:id="477460744">
      <w:bodyDiv w:val="1"/>
      <w:marLeft w:val="0"/>
      <w:marRight w:val="0"/>
      <w:marTop w:val="0"/>
      <w:marBottom w:val="0"/>
      <w:divBdr>
        <w:top w:val="none" w:sz="0" w:space="0" w:color="auto"/>
        <w:left w:val="none" w:sz="0" w:space="0" w:color="auto"/>
        <w:bottom w:val="none" w:sz="0" w:space="0" w:color="auto"/>
        <w:right w:val="none" w:sz="0" w:space="0" w:color="auto"/>
      </w:divBdr>
    </w:div>
    <w:div w:id="481771749">
      <w:bodyDiv w:val="1"/>
      <w:marLeft w:val="0"/>
      <w:marRight w:val="0"/>
      <w:marTop w:val="0"/>
      <w:marBottom w:val="0"/>
      <w:divBdr>
        <w:top w:val="none" w:sz="0" w:space="0" w:color="auto"/>
        <w:left w:val="none" w:sz="0" w:space="0" w:color="auto"/>
        <w:bottom w:val="none" w:sz="0" w:space="0" w:color="auto"/>
        <w:right w:val="none" w:sz="0" w:space="0" w:color="auto"/>
      </w:divBdr>
    </w:div>
    <w:div w:id="483474237">
      <w:bodyDiv w:val="1"/>
      <w:marLeft w:val="0"/>
      <w:marRight w:val="0"/>
      <w:marTop w:val="0"/>
      <w:marBottom w:val="0"/>
      <w:divBdr>
        <w:top w:val="none" w:sz="0" w:space="0" w:color="auto"/>
        <w:left w:val="none" w:sz="0" w:space="0" w:color="auto"/>
        <w:bottom w:val="none" w:sz="0" w:space="0" w:color="auto"/>
        <w:right w:val="none" w:sz="0" w:space="0" w:color="auto"/>
      </w:divBdr>
    </w:div>
    <w:div w:id="484706734">
      <w:bodyDiv w:val="1"/>
      <w:marLeft w:val="0"/>
      <w:marRight w:val="0"/>
      <w:marTop w:val="0"/>
      <w:marBottom w:val="0"/>
      <w:divBdr>
        <w:top w:val="none" w:sz="0" w:space="0" w:color="auto"/>
        <w:left w:val="none" w:sz="0" w:space="0" w:color="auto"/>
        <w:bottom w:val="none" w:sz="0" w:space="0" w:color="auto"/>
        <w:right w:val="none" w:sz="0" w:space="0" w:color="auto"/>
      </w:divBdr>
    </w:div>
    <w:div w:id="490214577">
      <w:bodyDiv w:val="1"/>
      <w:marLeft w:val="0"/>
      <w:marRight w:val="0"/>
      <w:marTop w:val="0"/>
      <w:marBottom w:val="0"/>
      <w:divBdr>
        <w:top w:val="none" w:sz="0" w:space="0" w:color="auto"/>
        <w:left w:val="none" w:sz="0" w:space="0" w:color="auto"/>
        <w:bottom w:val="none" w:sz="0" w:space="0" w:color="auto"/>
        <w:right w:val="none" w:sz="0" w:space="0" w:color="auto"/>
      </w:divBdr>
    </w:div>
    <w:div w:id="495221490">
      <w:bodyDiv w:val="1"/>
      <w:marLeft w:val="0"/>
      <w:marRight w:val="0"/>
      <w:marTop w:val="0"/>
      <w:marBottom w:val="0"/>
      <w:divBdr>
        <w:top w:val="none" w:sz="0" w:space="0" w:color="auto"/>
        <w:left w:val="none" w:sz="0" w:space="0" w:color="auto"/>
        <w:bottom w:val="none" w:sz="0" w:space="0" w:color="auto"/>
        <w:right w:val="none" w:sz="0" w:space="0" w:color="auto"/>
      </w:divBdr>
    </w:div>
    <w:div w:id="502473169">
      <w:bodyDiv w:val="1"/>
      <w:marLeft w:val="0"/>
      <w:marRight w:val="0"/>
      <w:marTop w:val="0"/>
      <w:marBottom w:val="0"/>
      <w:divBdr>
        <w:top w:val="none" w:sz="0" w:space="0" w:color="auto"/>
        <w:left w:val="none" w:sz="0" w:space="0" w:color="auto"/>
        <w:bottom w:val="none" w:sz="0" w:space="0" w:color="auto"/>
        <w:right w:val="none" w:sz="0" w:space="0" w:color="auto"/>
      </w:divBdr>
    </w:div>
    <w:div w:id="513764995">
      <w:bodyDiv w:val="1"/>
      <w:marLeft w:val="0"/>
      <w:marRight w:val="0"/>
      <w:marTop w:val="0"/>
      <w:marBottom w:val="0"/>
      <w:divBdr>
        <w:top w:val="none" w:sz="0" w:space="0" w:color="auto"/>
        <w:left w:val="none" w:sz="0" w:space="0" w:color="auto"/>
        <w:bottom w:val="none" w:sz="0" w:space="0" w:color="auto"/>
        <w:right w:val="none" w:sz="0" w:space="0" w:color="auto"/>
      </w:divBdr>
    </w:div>
    <w:div w:id="522791232">
      <w:bodyDiv w:val="1"/>
      <w:marLeft w:val="0"/>
      <w:marRight w:val="0"/>
      <w:marTop w:val="0"/>
      <w:marBottom w:val="0"/>
      <w:divBdr>
        <w:top w:val="none" w:sz="0" w:space="0" w:color="auto"/>
        <w:left w:val="none" w:sz="0" w:space="0" w:color="auto"/>
        <w:bottom w:val="none" w:sz="0" w:space="0" w:color="auto"/>
        <w:right w:val="none" w:sz="0" w:space="0" w:color="auto"/>
      </w:divBdr>
    </w:div>
    <w:div w:id="528840826">
      <w:bodyDiv w:val="1"/>
      <w:marLeft w:val="0"/>
      <w:marRight w:val="0"/>
      <w:marTop w:val="0"/>
      <w:marBottom w:val="0"/>
      <w:divBdr>
        <w:top w:val="none" w:sz="0" w:space="0" w:color="auto"/>
        <w:left w:val="none" w:sz="0" w:space="0" w:color="auto"/>
        <w:bottom w:val="none" w:sz="0" w:space="0" w:color="auto"/>
        <w:right w:val="none" w:sz="0" w:space="0" w:color="auto"/>
      </w:divBdr>
    </w:div>
    <w:div w:id="539170040">
      <w:bodyDiv w:val="1"/>
      <w:marLeft w:val="0"/>
      <w:marRight w:val="0"/>
      <w:marTop w:val="0"/>
      <w:marBottom w:val="0"/>
      <w:divBdr>
        <w:top w:val="none" w:sz="0" w:space="0" w:color="auto"/>
        <w:left w:val="none" w:sz="0" w:space="0" w:color="auto"/>
        <w:bottom w:val="none" w:sz="0" w:space="0" w:color="auto"/>
        <w:right w:val="none" w:sz="0" w:space="0" w:color="auto"/>
      </w:divBdr>
    </w:div>
    <w:div w:id="549608013">
      <w:bodyDiv w:val="1"/>
      <w:marLeft w:val="0"/>
      <w:marRight w:val="0"/>
      <w:marTop w:val="0"/>
      <w:marBottom w:val="0"/>
      <w:divBdr>
        <w:top w:val="none" w:sz="0" w:space="0" w:color="auto"/>
        <w:left w:val="none" w:sz="0" w:space="0" w:color="auto"/>
        <w:bottom w:val="none" w:sz="0" w:space="0" w:color="auto"/>
        <w:right w:val="none" w:sz="0" w:space="0" w:color="auto"/>
      </w:divBdr>
    </w:div>
    <w:div w:id="552229001">
      <w:bodyDiv w:val="1"/>
      <w:marLeft w:val="0"/>
      <w:marRight w:val="0"/>
      <w:marTop w:val="0"/>
      <w:marBottom w:val="0"/>
      <w:divBdr>
        <w:top w:val="none" w:sz="0" w:space="0" w:color="auto"/>
        <w:left w:val="none" w:sz="0" w:space="0" w:color="auto"/>
        <w:bottom w:val="none" w:sz="0" w:space="0" w:color="auto"/>
        <w:right w:val="none" w:sz="0" w:space="0" w:color="auto"/>
      </w:divBdr>
      <w:divsChild>
        <w:div w:id="1654213621">
          <w:marLeft w:val="0"/>
          <w:marRight w:val="0"/>
          <w:marTop w:val="0"/>
          <w:marBottom w:val="0"/>
          <w:divBdr>
            <w:top w:val="none" w:sz="0" w:space="0" w:color="auto"/>
            <w:left w:val="none" w:sz="0" w:space="0" w:color="auto"/>
            <w:bottom w:val="none" w:sz="0" w:space="0" w:color="auto"/>
            <w:right w:val="none" w:sz="0" w:space="0" w:color="auto"/>
          </w:divBdr>
          <w:divsChild>
            <w:div w:id="1272711027">
              <w:marLeft w:val="0"/>
              <w:marRight w:val="0"/>
              <w:marTop w:val="0"/>
              <w:marBottom w:val="0"/>
              <w:divBdr>
                <w:top w:val="none" w:sz="0" w:space="0" w:color="auto"/>
                <w:left w:val="none" w:sz="0" w:space="0" w:color="auto"/>
                <w:bottom w:val="none" w:sz="0" w:space="0" w:color="auto"/>
                <w:right w:val="none" w:sz="0" w:space="0" w:color="auto"/>
              </w:divBdr>
              <w:divsChild>
                <w:div w:id="402605716">
                  <w:marLeft w:val="0"/>
                  <w:marRight w:val="0"/>
                  <w:marTop w:val="0"/>
                  <w:marBottom w:val="0"/>
                  <w:divBdr>
                    <w:top w:val="none" w:sz="0" w:space="0" w:color="auto"/>
                    <w:left w:val="none" w:sz="0" w:space="0" w:color="auto"/>
                    <w:bottom w:val="none" w:sz="0" w:space="0" w:color="auto"/>
                    <w:right w:val="none" w:sz="0" w:space="0" w:color="auto"/>
                  </w:divBdr>
                  <w:divsChild>
                    <w:div w:id="72537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386390">
          <w:marLeft w:val="0"/>
          <w:marRight w:val="0"/>
          <w:marTop w:val="0"/>
          <w:marBottom w:val="0"/>
          <w:divBdr>
            <w:top w:val="none" w:sz="0" w:space="0" w:color="auto"/>
            <w:left w:val="none" w:sz="0" w:space="0" w:color="auto"/>
            <w:bottom w:val="none" w:sz="0" w:space="0" w:color="auto"/>
            <w:right w:val="none" w:sz="0" w:space="0" w:color="auto"/>
          </w:divBdr>
          <w:divsChild>
            <w:div w:id="266739017">
              <w:marLeft w:val="0"/>
              <w:marRight w:val="0"/>
              <w:marTop w:val="0"/>
              <w:marBottom w:val="0"/>
              <w:divBdr>
                <w:top w:val="none" w:sz="0" w:space="0" w:color="auto"/>
                <w:left w:val="none" w:sz="0" w:space="0" w:color="auto"/>
                <w:bottom w:val="none" w:sz="0" w:space="0" w:color="auto"/>
                <w:right w:val="none" w:sz="0" w:space="0" w:color="auto"/>
              </w:divBdr>
              <w:divsChild>
                <w:div w:id="2054574796">
                  <w:marLeft w:val="0"/>
                  <w:marRight w:val="0"/>
                  <w:marTop w:val="0"/>
                  <w:marBottom w:val="0"/>
                  <w:divBdr>
                    <w:top w:val="none" w:sz="0" w:space="0" w:color="auto"/>
                    <w:left w:val="none" w:sz="0" w:space="0" w:color="auto"/>
                    <w:bottom w:val="none" w:sz="0" w:space="0" w:color="auto"/>
                    <w:right w:val="none" w:sz="0" w:space="0" w:color="auto"/>
                  </w:divBdr>
                  <w:divsChild>
                    <w:div w:id="43575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161830">
      <w:bodyDiv w:val="1"/>
      <w:marLeft w:val="0"/>
      <w:marRight w:val="0"/>
      <w:marTop w:val="0"/>
      <w:marBottom w:val="0"/>
      <w:divBdr>
        <w:top w:val="none" w:sz="0" w:space="0" w:color="auto"/>
        <w:left w:val="none" w:sz="0" w:space="0" w:color="auto"/>
        <w:bottom w:val="none" w:sz="0" w:space="0" w:color="auto"/>
        <w:right w:val="none" w:sz="0" w:space="0" w:color="auto"/>
      </w:divBdr>
      <w:divsChild>
        <w:div w:id="738946340">
          <w:marLeft w:val="0"/>
          <w:marRight w:val="0"/>
          <w:marTop w:val="0"/>
          <w:marBottom w:val="0"/>
          <w:divBdr>
            <w:top w:val="none" w:sz="0" w:space="0" w:color="auto"/>
            <w:left w:val="none" w:sz="0" w:space="0" w:color="auto"/>
            <w:bottom w:val="none" w:sz="0" w:space="0" w:color="auto"/>
            <w:right w:val="none" w:sz="0" w:space="0" w:color="auto"/>
          </w:divBdr>
          <w:divsChild>
            <w:div w:id="2039239463">
              <w:marLeft w:val="0"/>
              <w:marRight w:val="0"/>
              <w:marTop w:val="0"/>
              <w:marBottom w:val="0"/>
              <w:divBdr>
                <w:top w:val="none" w:sz="0" w:space="0" w:color="auto"/>
                <w:left w:val="none" w:sz="0" w:space="0" w:color="auto"/>
                <w:bottom w:val="none" w:sz="0" w:space="0" w:color="auto"/>
                <w:right w:val="none" w:sz="0" w:space="0" w:color="auto"/>
              </w:divBdr>
              <w:divsChild>
                <w:div w:id="1092555627">
                  <w:marLeft w:val="0"/>
                  <w:marRight w:val="0"/>
                  <w:marTop w:val="0"/>
                  <w:marBottom w:val="0"/>
                  <w:divBdr>
                    <w:top w:val="none" w:sz="0" w:space="0" w:color="auto"/>
                    <w:left w:val="none" w:sz="0" w:space="0" w:color="auto"/>
                    <w:bottom w:val="none" w:sz="0" w:space="0" w:color="auto"/>
                    <w:right w:val="none" w:sz="0" w:space="0" w:color="auto"/>
                  </w:divBdr>
                  <w:divsChild>
                    <w:div w:id="112631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667705">
      <w:bodyDiv w:val="1"/>
      <w:marLeft w:val="0"/>
      <w:marRight w:val="0"/>
      <w:marTop w:val="0"/>
      <w:marBottom w:val="0"/>
      <w:divBdr>
        <w:top w:val="none" w:sz="0" w:space="0" w:color="auto"/>
        <w:left w:val="none" w:sz="0" w:space="0" w:color="auto"/>
        <w:bottom w:val="none" w:sz="0" w:space="0" w:color="auto"/>
        <w:right w:val="none" w:sz="0" w:space="0" w:color="auto"/>
      </w:divBdr>
    </w:div>
    <w:div w:id="575868097">
      <w:bodyDiv w:val="1"/>
      <w:marLeft w:val="0"/>
      <w:marRight w:val="0"/>
      <w:marTop w:val="0"/>
      <w:marBottom w:val="0"/>
      <w:divBdr>
        <w:top w:val="none" w:sz="0" w:space="0" w:color="auto"/>
        <w:left w:val="none" w:sz="0" w:space="0" w:color="auto"/>
        <w:bottom w:val="none" w:sz="0" w:space="0" w:color="auto"/>
        <w:right w:val="none" w:sz="0" w:space="0" w:color="auto"/>
      </w:divBdr>
    </w:div>
    <w:div w:id="592974728">
      <w:bodyDiv w:val="1"/>
      <w:marLeft w:val="0"/>
      <w:marRight w:val="0"/>
      <w:marTop w:val="0"/>
      <w:marBottom w:val="0"/>
      <w:divBdr>
        <w:top w:val="none" w:sz="0" w:space="0" w:color="auto"/>
        <w:left w:val="none" w:sz="0" w:space="0" w:color="auto"/>
        <w:bottom w:val="none" w:sz="0" w:space="0" w:color="auto"/>
        <w:right w:val="none" w:sz="0" w:space="0" w:color="auto"/>
      </w:divBdr>
      <w:divsChild>
        <w:div w:id="1139806215">
          <w:marLeft w:val="0"/>
          <w:marRight w:val="0"/>
          <w:marTop w:val="0"/>
          <w:marBottom w:val="0"/>
          <w:divBdr>
            <w:top w:val="none" w:sz="0" w:space="0" w:color="auto"/>
            <w:left w:val="none" w:sz="0" w:space="0" w:color="auto"/>
            <w:bottom w:val="none" w:sz="0" w:space="0" w:color="auto"/>
            <w:right w:val="none" w:sz="0" w:space="0" w:color="auto"/>
          </w:divBdr>
          <w:divsChild>
            <w:div w:id="576863338">
              <w:marLeft w:val="0"/>
              <w:marRight w:val="0"/>
              <w:marTop w:val="0"/>
              <w:marBottom w:val="0"/>
              <w:divBdr>
                <w:top w:val="none" w:sz="0" w:space="0" w:color="auto"/>
                <w:left w:val="none" w:sz="0" w:space="0" w:color="auto"/>
                <w:bottom w:val="none" w:sz="0" w:space="0" w:color="auto"/>
                <w:right w:val="none" w:sz="0" w:space="0" w:color="auto"/>
              </w:divBdr>
              <w:divsChild>
                <w:div w:id="547886923">
                  <w:marLeft w:val="0"/>
                  <w:marRight w:val="0"/>
                  <w:marTop w:val="0"/>
                  <w:marBottom w:val="0"/>
                  <w:divBdr>
                    <w:top w:val="none" w:sz="0" w:space="0" w:color="auto"/>
                    <w:left w:val="none" w:sz="0" w:space="0" w:color="auto"/>
                    <w:bottom w:val="none" w:sz="0" w:space="0" w:color="auto"/>
                    <w:right w:val="none" w:sz="0" w:space="0" w:color="auto"/>
                  </w:divBdr>
                  <w:divsChild>
                    <w:div w:id="67326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82881">
          <w:marLeft w:val="0"/>
          <w:marRight w:val="0"/>
          <w:marTop w:val="0"/>
          <w:marBottom w:val="0"/>
          <w:divBdr>
            <w:top w:val="none" w:sz="0" w:space="0" w:color="auto"/>
            <w:left w:val="none" w:sz="0" w:space="0" w:color="auto"/>
            <w:bottom w:val="none" w:sz="0" w:space="0" w:color="auto"/>
            <w:right w:val="none" w:sz="0" w:space="0" w:color="auto"/>
          </w:divBdr>
          <w:divsChild>
            <w:div w:id="902641480">
              <w:marLeft w:val="0"/>
              <w:marRight w:val="0"/>
              <w:marTop w:val="0"/>
              <w:marBottom w:val="0"/>
              <w:divBdr>
                <w:top w:val="none" w:sz="0" w:space="0" w:color="auto"/>
                <w:left w:val="none" w:sz="0" w:space="0" w:color="auto"/>
                <w:bottom w:val="none" w:sz="0" w:space="0" w:color="auto"/>
                <w:right w:val="none" w:sz="0" w:space="0" w:color="auto"/>
              </w:divBdr>
              <w:divsChild>
                <w:div w:id="647444655">
                  <w:marLeft w:val="0"/>
                  <w:marRight w:val="0"/>
                  <w:marTop w:val="0"/>
                  <w:marBottom w:val="0"/>
                  <w:divBdr>
                    <w:top w:val="none" w:sz="0" w:space="0" w:color="auto"/>
                    <w:left w:val="none" w:sz="0" w:space="0" w:color="auto"/>
                    <w:bottom w:val="none" w:sz="0" w:space="0" w:color="auto"/>
                    <w:right w:val="none" w:sz="0" w:space="0" w:color="auto"/>
                  </w:divBdr>
                  <w:divsChild>
                    <w:div w:id="205465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760300">
      <w:bodyDiv w:val="1"/>
      <w:marLeft w:val="0"/>
      <w:marRight w:val="0"/>
      <w:marTop w:val="0"/>
      <w:marBottom w:val="0"/>
      <w:divBdr>
        <w:top w:val="none" w:sz="0" w:space="0" w:color="auto"/>
        <w:left w:val="none" w:sz="0" w:space="0" w:color="auto"/>
        <w:bottom w:val="none" w:sz="0" w:space="0" w:color="auto"/>
        <w:right w:val="none" w:sz="0" w:space="0" w:color="auto"/>
      </w:divBdr>
    </w:div>
    <w:div w:id="625619675">
      <w:bodyDiv w:val="1"/>
      <w:marLeft w:val="0"/>
      <w:marRight w:val="0"/>
      <w:marTop w:val="0"/>
      <w:marBottom w:val="0"/>
      <w:divBdr>
        <w:top w:val="none" w:sz="0" w:space="0" w:color="auto"/>
        <w:left w:val="none" w:sz="0" w:space="0" w:color="auto"/>
        <w:bottom w:val="none" w:sz="0" w:space="0" w:color="auto"/>
        <w:right w:val="none" w:sz="0" w:space="0" w:color="auto"/>
      </w:divBdr>
    </w:div>
    <w:div w:id="626859174">
      <w:bodyDiv w:val="1"/>
      <w:marLeft w:val="0"/>
      <w:marRight w:val="0"/>
      <w:marTop w:val="0"/>
      <w:marBottom w:val="0"/>
      <w:divBdr>
        <w:top w:val="none" w:sz="0" w:space="0" w:color="auto"/>
        <w:left w:val="none" w:sz="0" w:space="0" w:color="auto"/>
        <w:bottom w:val="none" w:sz="0" w:space="0" w:color="auto"/>
        <w:right w:val="none" w:sz="0" w:space="0" w:color="auto"/>
      </w:divBdr>
    </w:div>
    <w:div w:id="629556196">
      <w:bodyDiv w:val="1"/>
      <w:marLeft w:val="0"/>
      <w:marRight w:val="0"/>
      <w:marTop w:val="0"/>
      <w:marBottom w:val="0"/>
      <w:divBdr>
        <w:top w:val="none" w:sz="0" w:space="0" w:color="auto"/>
        <w:left w:val="none" w:sz="0" w:space="0" w:color="auto"/>
        <w:bottom w:val="none" w:sz="0" w:space="0" w:color="auto"/>
        <w:right w:val="none" w:sz="0" w:space="0" w:color="auto"/>
      </w:divBdr>
    </w:div>
    <w:div w:id="630944341">
      <w:bodyDiv w:val="1"/>
      <w:marLeft w:val="0"/>
      <w:marRight w:val="0"/>
      <w:marTop w:val="0"/>
      <w:marBottom w:val="0"/>
      <w:divBdr>
        <w:top w:val="none" w:sz="0" w:space="0" w:color="auto"/>
        <w:left w:val="none" w:sz="0" w:space="0" w:color="auto"/>
        <w:bottom w:val="none" w:sz="0" w:space="0" w:color="auto"/>
        <w:right w:val="none" w:sz="0" w:space="0" w:color="auto"/>
      </w:divBdr>
    </w:div>
    <w:div w:id="684097175">
      <w:bodyDiv w:val="1"/>
      <w:marLeft w:val="0"/>
      <w:marRight w:val="0"/>
      <w:marTop w:val="0"/>
      <w:marBottom w:val="0"/>
      <w:divBdr>
        <w:top w:val="none" w:sz="0" w:space="0" w:color="auto"/>
        <w:left w:val="none" w:sz="0" w:space="0" w:color="auto"/>
        <w:bottom w:val="none" w:sz="0" w:space="0" w:color="auto"/>
        <w:right w:val="none" w:sz="0" w:space="0" w:color="auto"/>
      </w:divBdr>
    </w:div>
    <w:div w:id="694186954">
      <w:bodyDiv w:val="1"/>
      <w:marLeft w:val="0"/>
      <w:marRight w:val="0"/>
      <w:marTop w:val="0"/>
      <w:marBottom w:val="0"/>
      <w:divBdr>
        <w:top w:val="none" w:sz="0" w:space="0" w:color="auto"/>
        <w:left w:val="none" w:sz="0" w:space="0" w:color="auto"/>
        <w:bottom w:val="none" w:sz="0" w:space="0" w:color="auto"/>
        <w:right w:val="none" w:sz="0" w:space="0" w:color="auto"/>
      </w:divBdr>
    </w:div>
    <w:div w:id="713770923">
      <w:bodyDiv w:val="1"/>
      <w:marLeft w:val="0"/>
      <w:marRight w:val="0"/>
      <w:marTop w:val="0"/>
      <w:marBottom w:val="0"/>
      <w:divBdr>
        <w:top w:val="none" w:sz="0" w:space="0" w:color="auto"/>
        <w:left w:val="none" w:sz="0" w:space="0" w:color="auto"/>
        <w:bottom w:val="none" w:sz="0" w:space="0" w:color="auto"/>
        <w:right w:val="none" w:sz="0" w:space="0" w:color="auto"/>
      </w:divBdr>
    </w:div>
    <w:div w:id="714425870">
      <w:bodyDiv w:val="1"/>
      <w:marLeft w:val="0"/>
      <w:marRight w:val="0"/>
      <w:marTop w:val="0"/>
      <w:marBottom w:val="0"/>
      <w:divBdr>
        <w:top w:val="none" w:sz="0" w:space="0" w:color="auto"/>
        <w:left w:val="none" w:sz="0" w:space="0" w:color="auto"/>
        <w:bottom w:val="none" w:sz="0" w:space="0" w:color="auto"/>
        <w:right w:val="none" w:sz="0" w:space="0" w:color="auto"/>
      </w:divBdr>
    </w:div>
    <w:div w:id="718435940">
      <w:bodyDiv w:val="1"/>
      <w:marLeft w:val="0"/>
      <w:marRight w:val="0"/>
      <w:marTop w:val="0"/>
      <w:marBottom w:val="0"/>
      <w:divBdr>
        <w:top w:val="none" w:sz="0" w:space="0" w:color="auto"/>
        <w:left w:val="none" w:sz="0" w:space="0" w:color="auto"/>
        <w:bottom w:val="none" w:sz="0" w:space="0" w:color="auto"/>
        <w:right w:val="none" w:sz="0" w:space="0" w:color="auto"/>
      </w:divBdr>
    </w:div>
    <w:div w:id="724960011">
      <w:bodyDiv w:val="1"/>
      <w:marLeft w:val="0"/>
      <w:marRight w:val="0"/>
      <w:marTop w:val="0"/>
      <w:marBottom w:val="0"/>
      <w:divBdr>
        <w:top w:val="none" w:sz="0" w:space="0" w:color="auto"/>
        <w:left w:val="none" w:sz="0" w:space="0" w:color="auto"/>
        <w:bottom w:val="none" w:sz="0" w:space="0" w:color="auto"/>
        <w:right w:val="none" w:sz="0" w:space="0" w:color="auto"/>
      </w:divBdr>
    </w:div>
    <w:div w:id="728303877">
      <w:bodyDiv w:val="1"/>
      <w:marLeft w:val="0"/>
      <w:marRight w:val="0"/>
      <w:marTop w:val="0"/>
      <w:marBottom w:val="0"/>
      <w:divBdr>
        <w:top w:val="none" w:sz="0" w:space="0" w:color="auto"/>
        <w:left w:val="none" w:sz="0" w:space="0" w:color="auto"/>
        <w:bottom w:val="none" w:sz="0" w:space="0" w:color="auto"/>
        <w:right w:val="none" w:sz="0" w:space="0" w:color="auto"/>
      </w:divBdr>
    </w:div>
    <w:div w:id="736588464">
      <w:bodyDiv w:val="1"/>
      <w:marLeft w:val="0"/>
      <w:marRight w:val="0"/>
      <w:marTop w:val="0"/>
      <w:marBottom w:val="0"/>
      <w:divBdr>
        <w:top w:val="none" w:sz="0" w:space="0" w:color="auto"/>
        <w:left w:val="none" w:sz="0" w:space="0" w:color="auto"/>
        <w:bottom w:val="none" w:sz="0" w:space="0" w:color="auto"/>
        <w:right w:val="none" w:sz="0" w:space="0" w:color="auto"/>
      </w:divBdr>
    </w:div>
    <w:div w:id="760106328">
      <w:bodyDiv w:val="1"/>
      <w:marLeft w:val="0"/>
      <w:marRight w:val="0"/>
      <w:marTop w:val="0"/>
      <w:marBottom w:val="0"/>
      <w:divBdr>
        <w:top w:val="none" w:sz="0" w:space="0" w:color="auto"/>
        <w:left w:val="none" w:sz="0" w:space="0" w:color="auto"/>
        <w:bottom w:val="none" w:sz="0" w:space="0" w:color="auto"/>
        <w:right w:val="none" w:sz="0" w:space="0" w:color="auto"/>
      </w:divBdr>
    </w:div>
    <w:div w:id="764958713">
      <w:bodyDiv w:val="1"/>
      <w:marLeft w:val="0"/>
      <w:marRight w:val="0"/>
      <w:marTop w:val="0"/>
      <w:marBottom w:val="0"/>
      <w:divBdr>
        <w:top w:val="none" w:sz="0" w:space="0" w:color="auto"/>
        <w:left w:val="none" w:sz="0" w:space="0" w:color="auto"/>
        <w:bottom w:val="none" w:sz="0" w:space="0" w:color="auto"/>
        <w:right w:val="none" w:sz="0" w:space="0" w:color="auto"/>
      </w:divBdr>
    </w:div>
    <w:div w:id="777219607">
      <w:bodyDiv w:val="1"/>
      <w:marLeft w:val="0"/>
      <w:marRight w:val="0"/>
      <w:marTop w:val="0"/>
      <w:marBottom w:val="0"/>
      <w:divBdr>
        <w:top w:val="none" w:sz="0" w:space="0" w:color="auto"/>
        <w:left w:val="none" w:sz="0" w:space="0" w:color="auto"/>
        <w:bottom w:val="none" w:sz="0" w:space="0" w:color="auto"/>
        <w:right w:val="none" w:sz="0" w:space="0" w:color="auto"/>
      </w:divBdr>
    </w:div>
    <w:div w:id="791090534">
      <w:bodyDiv w:val="1"/>
      <w:marLeft w:val="0"/>
      <w:marRight w:val="0"/>
      <w:marTop w:val="0"/>
      <w:marBottom w:val="0"/>
      <w:divBdr>
        <w:top w:val="none" w:sz="0" w:space="0" w:color="auto"/>
        <w:left w:val="none" w:sz="0" w:space="0" w:color="auto"/>
        <w:bottom w:val="none" w:sz="0" w:space="0" w:color="auto"/>
        <w:right w:val="none" w:sz="0" w:space="0" w:color="auto"/>
      </w:divBdr>
    </w:div>
    <w:div w:id="793213940">
      <w:bodyDiv w:val="1"/>
      <w:marLeft w:val="0"/>
      <w:marRight w:val="0"/>
      <w:marTop w:val="0"/>
      <w:marBottom w:val="0"/>
      <w:divBdr>
        <w:top w:val="none" w:sz="0" w:space="0" w:color="auto"/>
        <w:left w:val="none" w:sz="0" w:space="0" w:color="auto"/>
        <w:bottom w:val="none" w:sz="0" w:space="0" w:color="auto"/>
        <w:right w:val="none" w:sz="0" w:space="0" w:color="auto"/>
      </w:divBdr>
    </w:div>
    <w:div w:id="816411447">
      <w:bodyDiv w:val="1"/>
      <w:marLeft w:val="0"/>
      <w:marRight w:val="0"/>
      <w:marTop w:val="0"/>
      <w:marBottom w:val="0"/>
      <w:divBdr>
        <w:top w:val="none" w:sz="0" w:space="0" w:color="auto"/>
        <w:left w:val="none" w:sz="0" w:space="0" w:color="auto"/>
        <w:bottom w:val="none" w:sz="0" w:space="0" w:color="auto"/>
        <w:right w:val="none" w:sz="0" w:space="0" w:color="auto"/>
      </w:divBdr>
    </w:div>
    <w:div w:id="817965073">
      <w:bodyDiv w:val="1"/>
      <w:marLeft w:val="0"/>
      <w:marRight w:val="0"/>
      <w:marTop w:val="0"/>
      <w:marBottom w:val="0"/>
      <w:divBdr>
        <w:top w:val="none" w:sz="0" w:space="0" w:color="auto"/>
        <w:left w:val="none" w:sz="0" w:space="0" w:color="auto"/>
        <w:bottom w:val="none" w:sz="0" w:space="0" w:color="auto"/>
        <w:right w:val="none" w:sz="0" w:space="0" w:color="auto"/>
      </w:divBdr>
    </w:div>
    <w:div w:id="822816941">
      <w:bodyDiv w:val="1"/>
      <w:marLeft w:val="0"/>
      <w:marRight w:val="0"/>
      <w:marTop w:val="0"/>
      <w:marBottom w:val="0"/>
      <w:divBdr>
        <w:top w:val="none" w:sz="0" w:space="0" w:color="auto"/>
        <w:left w:val="none" w:sz="0" w:space="0" w:color="auto"/>
        <w:bottom w:val="none" w:sz="0" w:space="0" w:color="auto"/>
        <w:right w:val="none" w:sz="0" w:space="0" w:color="auto"/>
      </w:divBdr>
      <w:divsChild>
        <w:div w:id="1474294">
          <w:marLeft w:val="0"/>
          <w:marRight w:val="0"/>
          <w:marTop w:val="0"/>
          <w:marBottom w:val="0"/>
          <w:divBdr>
            <w:top w:val="none" w:sz="0" w:space="0" w:color="auto"/>
            <w:left w:val="none" w:sz="0" w:space="0" w:color="auto"/>
            <w:bottom w:val="none" w:sz="0" w:space="0" w:color="auto"/>
            <w:right w:val="none" w:sz="0" w:space="0" w:color="auto"/>
          </w:divBdr>
          <w:divsChild>
            <w:div w:id="1139297275">
              <w:marLeft w:val="-75"/>
              <w:marRight w:val="0"/>
              <w:marTop w:val="30"/>
              <w:marBottom w:val="30"/>
              <w:divBdr>
                <w:top w:val="none" w:sz="0" w:space="0" w:color="auto"/>
                <w:left w:val="none" w:sz="0" w:space="0" w:color="auto"/>
                <w:bottom w:val="none" w:sz="0" w:space="0" w:color="auto"/>
                <w:right w:val="none" w:sz="0" w:space="0" w:color="auto"/>
              </w:divBdr>
              <w:divsChild>
                <w:div w:id="87510830">
                  <w:marLeft w:val="0"/>
                  <w:marRight w:val="0"/>
                  <w:marTop w:val="0"/>
                  <w:marBottom w:val="0"/>
                  <w:divBdr>
                    <w:top w:val="none" w:sz="0" w:space="0" w:color="auto"/>
                    <w:left w:val="none" w:sz="0" w:space="0" w:color="auto"/>
                    <w:bottom w:val="none" w:sz="0" w:space="0" w:color="auto"/>
                    <w:right w:val="none" w:sz="0" w:space="0" w:color="auto"/>
                  </w:divBdr>
                  <w:divsChild>
                    <w:div w:id="1001468761">
                      <w:marLeft w:val="0"/>
                      <w:marRight w:val="0"/>
                      <w:marTop w:val="0"/>
                      <w:marBottom w:val="0"/>
                      <w:divBdr>
                        <w:top w:val="none" w:sz="0" w:space="0" w:color="auto"/>
                        <w:left w:val="none" w:sz="0" w:space="0" w:color="auto"/>
                        <w:bottom w:val="none" w:sz="0" w:space="0" w:color="auto"/>
                        <w:right w:val="none" w:sz="0" w:space="0" w:color="auto"/>
                      </w:divBdr>
                    </w:div>
                  </w:divsChild>
                </w:div>
                <w:div w:id="121388265">
                  <w:marLeft w:val="0"/>
                  <w:marRight w:val="0"/>
                  <w:marTop w:val="0"/>
                  <w:marBottom w:val="0"/>
                  <w:divBdr>
                    <w:top w:val="none" w:sz="0" w:space="0" w:color="auto"/>
                    <w:left w:val="none" w:sz="0" w:space="0" w:color="auto"/>
                    <w:bottom w:val="none" w:sz="0" w:space="0" w:color="auto"/>
                    <w:right w:val="none" w:sz="0" w:space="0" w:color="auto"/>
                  </w:divBdr>
                  <w:divsChild>
                    <w:div w:id="33390571">
                      <w:marLeft w:val="0"/>
                      <w:marRight w:val="0"/>
                      <w:marTop w:val="0"/>
                      <w:marBottom w:val="0"/>
                      <w:divBdr>
                        <w:top w:val="none" w:sz="0" w:space="0" w:color="auto"/>
                        <w:left w:val="none" w:sz="0" w:space="0" w:color="auto"/>
                        <w:bottom w:val="none" w:sz="0" w:space="0" w:color="auto"/>
                        <w:right w:val="none" w:sz="0" w:space="0" w:color="auto"/>
                      </w:divBdr>
                    </w:div>
                  </w:divsChild>
                </w:div>
                <w:div w:id="189344582">
                  <w:marLeft w:val="0"/>
                  <w:marRight w:val="0"/>
                  <w:marTop w:val="0"/>
                  <w:marBottom w:val="0"/>
                  <w:divBdr>
                    <w:top w:val="none" w:sz="0" w:space="0" w:color="auto"/>
                    <w:left w:val="none" w:sz="0" w:space="0" w:color="auto"/>
                    <w:bottom w:val="none" w:sz="0" w:space="0" w:color="auto"/>
                    <w:right w:val="none" w:sz="0" w:space="0" w:color="auto"/>
                  </w:divBdr>
                  <w:divsChild>
                    <w:div w:id="40132752">
                      <w:marLeft w:val="0"/>
                      <w:marRight w:val="0"/>
                      <w:marTop w:val="0"/>
                      <w:marBottom w:val="0"/>
                      <w:divBdr>
                        <w:top w:val="none" w:sz="0" w:space="0" w:color="auto"/>
                        <w:left w:val="none" w:sz="0" w:space="0" w:color="auto"/>
                        <w:bottom w:val="none" w:sz="0" w:space="0" w:color="auto"/>
                        <w:right w:val="none" w:sz="0" w:space="0" w:color="auto"/>
                      </w:divBdr>
                    </w:div>
                  </w:divsChild>
                </w:div>
                <w:div w:id="318078736">
                  <w:marLeft w:val="0"/>
                  <w:marRight w:val="0"/>
                  <w:marTop w:val="0"/>
                  <w:marBottom w:val="0"/>
                  <w:divBdr>
                    <w:top w:val="none" w:sz="0" w:space="0" w:color="auto"/>
                    <w:left w:val="none" w:sz="0" w:space="0" w:color="auto"/>
                    <w:bottom w:val="none" w:sz="0" w:space="0" w:color="auto"/>
                    <w:right w:val="none" w:sz="0" w:space="0" w:color="auto"/>
                  </w:divBdr>
                  <w:divsChild>
                    <w:div w:id="1951812700">
                      <w:marLeft w:val="0"/>
                      <w:marRight w:val="0"/>
                      <w:marTop w:val="0"/>
                      <w:marBottom w:val="0"/>
                      <w:divBdr>
                        <w:top w:val="none" w:sz="0" w:space="0" w:color="auto"/>
                        <w:left w:val="none" w:sz="0" w:space="0" w:color="auto"/>
                        <w:bottom w:val="none" w:sz="0" w:space="0" w:color="auto"/>
                        <w:right w:val="none" w:sz="0" w:space="0" w:color="auto"/>
                      </w:divBdr>
                    </w:div>
                  </w:divsChild>
                </w:div>
                <w:div w:id="326249551">
                  <w:marLeft w:val="0"/>
                  <w:marRight w:val="0"/>
                  <w:marTop w:val="0"/>
                  <w:marBottom w:val="0"/>
                  <w:divBdr>
                    <w:top w:val="none" w:sz="0" w:space="0" w:color="auto"/>
                    <w:left w:val="none" w:sz="0" w:space="0" w:color="auto"/>
                    <w:bottom w:val="none" w:sz="0" w:space="0" w:color="auto"/>
                    <w:right w:val="none" w:sz="0" w:space="0" w:color="auto"/>
                  </w:divBdr>
                  <w:divsChild>
                    <w:div w:id="745883460">
                      <w:marLeft w:val="0"/>
                      <w:marRight w:val="0"/>
                      <w:marTop w:val="0"/>
                      <w:marBottom w:val="0"/>
                      <w:divBdr>
                        <w:top w:val="none" w:sz="0" w:space="0" w:color="auto"/>
                        <w:left w:val="none" w:sz="0" w:space="0" w:color="auto"/>
                        <w:bottom w:val="none" w:sz="0" w:space="0" w:color="auto"/>
                        <w:right w:val="none" w:sz="0" w:space="0" w:color="auto"/>
                      </w:divBdr>
                    </w:div>
                  </w:divsChild>
                </w:div>
                <w:div w:id="369035811">
                  <w:marLeft w:val="0"/>
                  <w:marRight w:val="0"/>
                  <w:marTop w:val="0"/>
                  <w:marBottom w:val="0"/>
                  <w:divBdr>
                    <w:top w:val="none" w:sz="0" w:space="0" w:color="auto"/>
                    <w:left w:val="none" w:sz="0" w:space="0" w:color="auto"/>
                    <w:bottom w:val="none" w:sz="0" w:space="0" w:color="auto"/>
                    <w:right w:val="none" w:sz="0" w:space="0" w:color="auto"/>
                  </w:divBdr>
                  <w:divsChild>
                    <w:div w:id="342632301">
                      <w:marLeft w:val="0"/>
                      <w:marRight w:val="0"/>
                      <w:marTop w:val="0"/>
                      <w:marBottom w:val="0"/>
                      <w:divBdr>
                        <w:top w:val="none" w:sz="0" w:space="0" w:color="auto"/>
                        <w:left w:val="none" w:sz="0" w:space="0" w:color="auto"/>
                        <w:bottom w:val="none" w:sz="0" w:space="0" w:color="auto"/>
                        <w:right w:val="none" w:sz="0" w:space="0" w:color="auto"/>
                      </w:divBdr>
                    </w:div>
                  </w:divsChild>
                </w:div>
                <w:div w:id="418647272">
                  <w:marLeft w:val="0"/>
                  <w:marRight w:val="0"/>
                  <w:marTop w:val="0"/>
                  <w:marBottom w:val="0"/>
                  <w:divBdr>
                    <w:top w:val="none" w:sz="0" w:space="0" w:color="auto"/>
                    <w:left w:val="none" w:sz="0" w:space="0" w:color="auto"/>
                    <w:bottom w:val="none" w:sz="0" w:space="0" w:color="auto"/>
                    <w:right w:val="none" w:sz="0" w:space="0" w:color="auto"/>
                  </w:divBdr>
                  <w:divsChild>
                    <w:div w:id="1809323087">
                      <w:marLeft w:val="0"/>
                      <w:marRight w:val="0"/>
                      <w:marTop w:val="0"/>
                      <w:marBottom w:val="0"/>
                      <w:divBdr>
                        <w:top w:val="none" w:sz="0" w:space="0" w:color="auto"/>
                        <w:left w:val="none" w:sz="0" w:space="0" w:color="auto"/>
                        <w:bottom w:val="none" w:sz="0" w:space="0" w:color="auto"/>
                        <w:right w:val="none" w:sz="0" w:space="0" w:color="auto"/>
                      </w:divBdr>
                    </w:div>
                  </w:divsChild>
                </w:div>
                <w:div w:id="492836492">
                  <w:marLeft w:val="0"/>
                  <w:marRight w:val="0"/>
                  <w:marTop w:val="0"/>
                  <w:marBottom w:val="0"/>
                  <w:divBdr>
                    <w:top w:val="none" w:sz="0" w:space="0" w:color="auto"/>
                    <w:left w:val="none" w:sz="0" w:space="0" w:color="auto"/>
                    <w:bottom w:val="none" w:sz="0" w:space="0" w:color="auto"/>
                    <w:right w:val="none" w:sz="0" w:space="0" w:color="auto"/>
                  </w:divBdr>
                  <w:divsChild>
                    <w:div w:id="878974881">
                      <w:marLeft w:val="0"/>
                      <w:marRight w:val="0"/>
                      <w:marTop w:val="0"/>
                      <w:marBottom w:val="0"/>
                      <w:divBdr>
                        <w:top w:val="none" w:sz="0" w:space="0" w:color="auto"/>
                        <w:left w:val="none" w:sz="0" w:space="0" w:color="auto"/>
                        <w:bottom w:val="none" w:sz="0" w:space="0" w:color="auto"/>
                        <w:right w:val="none" w:sz="0" w:space="0" w:color="auto"/>
                      </w:divBdr>
                    </w:div>
                  </w:divsChild>
                </w:div>
                <w:div w:id="630476598">
                  <w:marLeft w:val="0"/>
                  <w:marRight w:val="0"/>
                  <w:marTop w:val="0"/>
                  <w:marBottom w:val="0"/>
                  <w:divBdr>
                    <w:top w:val="none" w:sz="0" w:space="0" w:color="auto"/>
                    <w:left w:val="none" w:sz="0" w:space="0" w:color="auto"/>
                    <w:bottom w:val="none" w:sz="0" w:space="0" w:color="auto"/>
                    <w:right w:val="none" w:sz="0" w:space="0" w:color="auto"/>
                  </w:divBdr>
                  <w:divsChild>
                    <w:div w:id="421687418">
                      <w:marLeft w:val="0"/>
                      <w:marRight w:val="0"/>
                      <w:marTop w:val="0"/>
                      <w:marBottom w:val="0"/>
                      <w:divBdr>
                        <w:top w:val="none" w:sz="0" w:space="0" w:color="auto"/>
                        <w:left w:val="none" w:sz="0" w:space="0" w:color="auto"/>
                        <w:bottom w:val="none" w:sz="0" w:space="0" w:color="auto"/>
                        <w:right w:val="none" w:sz="0" w:space="0" w:color="auto"/>
                      </w:divBdr>
                    </w:div>
                  </w:divsChild>
                </w:div>
                <w:div w:id="663703378">
                  <w:marLeft w:val="0"/>
                  <w:marRight w:val="0"/>
                  <w:marTop w:val="0"/>
                  <w:marBottom w:val="0"/>
                  <w:divBdr>
                    <w:top w:val="none" w:sz="0" w:space="0" w:color="auto"/>
                    <w:left w:val="none" w:sz="0" w:space="0" w:color="auto"/>
                    <w:bottom w:val="none" w:sz="0" w:space="0" w:color="auto"/>
                    <w:right w:val="none" w:sz="0" w:space="0" w:color="auto"/>
                  </w:divBdr>
                  <w:divsChild>
                    <w:div w:id="1487240759">
                      <w:marLeft w:val="0"/>
                      <w:marRight w:val="0"/>
                      <w:marTop w:val="0"/>
                      <w:marBottom w:val="0"/>
                      <w:divBdr>
                        <w:top w:val="none" w:sz="0" w:space="0" w:color="auto"/>
                        <w:left w:val="none" w:sz="0" w:space="0" w:color="auto"/>
                        <w:bottom w:val="none" w:sz="0" w:space="0" w:color="auto"/>
                        <w:right w:val="none" w:sz="0" w:space="0" w:color="auto"/>
                      </w:divBdr>
                    </w:div>
                  </w:divsChild>
                </w:div>
                <w:div w:id="716273447">
                  <w:marLeft w:val="0"/>
                  <w:marRight w:val="0"/>
                  <w:marTop w:val="0"/>
                  <w:marBottom w:val="0"/>
                  <w:divBdr>
                    <w:top w:val="none" w:sz="0" w:space="0" w:color="auto"/>
                    <w:left w:val="none" w:sz="0" w:space="0" w:color="auto"/>
                    <w:bottom w:val="none" w:sz="0" w:space="0" w:color="auto"/>
                    <w:right w:val="none" w:sz="0" w:space="0" w:color="auto"/>
                  </w:divBdr>
                  <w:divsChild>
                    <w:div w:id="1474713527">
                      <w:marLeft w:val="0"/>
                      <w:marRight w:val="0"/>
                      <w:marTop w:val="0"/>
                      <w:marBottom w:val="0"/>
                      <w:divBdr>
                        <w:top w:val="none" w:sz="0" w:space="0" w:color="auto"/>
                        <w:left w:val="none" w:sz="0" w:space="0" w:color="auto"/>
                        <w:bottom w:val="none" w:sz="0" w:space="0" w:color="auto"/>
                        <w:right w:val="none" w:sz="0" w:space="0" w:color="auto"/>
                      </w:divBdr>
                    </w:div>
                  </w:divsChild>
                </w:div>
                <w:div w:id="740834401">
                  <w:marLeft w:val="0"/>
                  <w:marRight w:val="0"/>
                  <w:marTop w:val="0"/>
                  <w:marBottom w:val="0"/>
                  <w:divBdr>
                    <w:top w:val="none" w:sz="0" w:space="0" w:color="auto"/>
                    <w:left w:val="none" w:sz="0" w:space="0" w:color="auto"/>
                    <w:bottom w:val="none" w:sz="0" w:space="0" w:color="auto"/>
                    <w:right w:val="none" w:sz="0" w:space="0" w:color="auto"/>
                  </w:divBdr>
                  <w:divsChild>
                    <w:div w:id="1025133284">
                      <w:marLeft w:val="0"/>
                      <w:marRight w:val="0"/>
                      <w:marTop w:val="0"/>
                      <w:marBottom w:val="0"/>
                      <w:divBdr>
                        <w:top w:val="none" w:sz="0" w:space="0" w:color="auto"/>
                        <w:left w:val="none" w:sz="0" w:space="0" w:color="auto"/>
                        <w:bottom w:val="none" w:sz="0" w:space="0" w:color="auto"/>
                        <w:right w:val="none" w:sz="0" w:space="0" w:color="auto"/>
                      </w:divBdr>
                    </w:div>
                  </w:divsChild>
                </w:div>
                <w:div w:id="778766495">
                  <w:marLeft w:val="0"/>
                  <w:marRight w:val="0"/>
                  <w:marTop w:val="0"/>
                  <w:marBottom w:val="0"/>
                  <w:divBdr>
                    <w:top w:val="none" w:sz="0" w:space="0" w:color="auto"/>
                    <w:left w:val="none" w:sz="0" w:space="0" w:color="auto"/>
                    <w:bottom w:val="none" w:sz="0" w:space="0" w:color="auto"/>
                    <w:right w:val="none" w:sz="0" w:space="0" w:color="auto"/>
                  </w:divBdr>
                  <w:divsChild>
                    <w:div w:id="1225677538">
                      <w:marLeft w:val="0"/>
                      <w:marRight w:val="0"/>
                      <w:marTop w:val="0"/>
                      <w:marBottom w:val="0"/>
                      <w:divBdr>
                        <w:top w:val="none" w:sz="0" w:space="0" w:color="auto"/>
                        <w:left w:val="none" w:sz="0" w:space="0" w:color="auto"/>
                        <w:bottom w:val="none" w:sz="0" w:space="0" w:color="auto"/>
                        <w:right w:val="none" w:sz="0" w:space="0" w:color="auto"/>
                      </w:divBdr>
                    </w:div>
                  </w:divsChild>
                </w:div>
                <w:div w:id="874539503">
                  <w:marLeft w:val="0"/>
                  <w:marRight w:val="0"/>
                  <w:marTop w:val="0"/>
                  <w:marBottom w:val="0"/>
                  <w:divBdr>
                    <w:top w:val="none" w:sz="0" w:space="0" w:color="auto"/>
                    <w:left w:val="none" w:sz="0" w:space="0" w:color="auto"/>
                    <w:bottom w:val="none" w:sz="0" w:space="0" w:color="auto"/>
                    <w:right w:val="none" w:sz="0" w:space="0" w:color="auto"/>
                  </w:divBdr>
                  <w:divsChild>
                    <w:div w:id="931595723">
                      <w:marLeft w:val="0"/>
                      <w:marRight w:val="0"/>
                      <w:marTop w:val="0"/>
                      <w:marBottom w:val="0"/>
                      <w:divBdr>
                        <w:top w:val="none" w:sz="0" w:space="0" w:color="auto"/>
                        <w:left w:val="none" w:sz="0" w:space="0" w:color="auto"/>
                        <w:bottom w:val="none" w:sz="0" w:space="0" w:color="auto"/>
                        <w:right w:val="none" w:sz="0" w:space="0" w:color="auto"/>
                      </w:divBdr>
                    </w:div>
                  </w:divsChild>
                </w:div>
                <w:div w:id="909581345">
                  <w:marLeft w:val="0"/>
                  <w:marRight w:val="0"/>
                  <w:marTop w:val="0"/>
                  <w:marBottom w:val="0"/>
                  <w:divBdr>
                    <w:top w:val="none" w:sz="0" w:space="0" w:color="auto"/>
                    <w:left w:val="none" w:sz="0" w:space="0" w:color="auto"/>
                    <w:bottom w:val="none" w:sz="0" w:space="0" w:color="auto"/>
                    <w:right w:val="none" w:sz="0" w:space="0" w:color="auto"/>
                  </w:divBdr>
                  <w:divsChild>
                    <w:div w:id="1981960266">
                      <w:marLeft w:val="0"/>
                      <w:marRight w:val="0"/>
                      <w:marTop w:val="0"/>
                      <w:marBottom w:val="0"/>
                      <w:divBdr>
                        <w:top w:val="none" w:sz="0" w:space="0" w:color="auto"/>
                        <w:left w:val="none" w:sz="0" w:space="0" w:color="auto"/>
                        <w:bottom w:val="none" w:sz="0" w:space="0" w:color="auto"/>
                        <w:right w:val="none" w:sz="0" w:space="0" w:color="auto"/>
                      </w:divBdr>
                    </w:div>
                  </w:divsChild>
                </w:div>
                <w:div w:id="944265096">
                  <w:marLeft w:val="0"/>
                  <w:marRight w:val="0"/>
                  <w:marTop w:val="0"/>
                  <w:marBottom w:val="0"/>
                  <w:divBdr>
                    <w:top w:val="none" w:sz="0" w:space="0" w:color="auto"/>
                    <w:left w:val="none" w:sz="0" w:space="0" w:color="auto"/>
                    <w:bottom w:val="none" w:sz="0" w:space="0" w:color="auto"/>
                    <w:right w:val="none" w:sz="0" w:space="0" w:color="auto"/>
                  </w:divBdr>
                  <w:divsChild>
                    <w:div w:id="2101097067">
                      <w:marLeft w:val="0"/>
                      <w:marRight w:val="0"/>
                      <w:marTop w:val="0"/>
                      <w:marBottom w:val="0"/>
                      <w:divBdr>
                        <w:top w:val="none" w:sz="0" w:space="0" w:color="auto"/>
                        <w:left w:val="none" w:sz="0" w:space="0" w:color="auto"/>
                        <w:bottom w:val="none" w:sz="0" w:space="0" w:color="auto"/>
                        <w:right w:val="none" w:sz="0" w:space="0" w:color="auto"/>
                      </w:divBdr>
                    </w:div>
                  </w:divsChild>
                </w:div>
                <w:div w:id="1058438771">
                  <w:marLeft w:val="0"/>
                  <w:marRight w:val="0"/>
                  <w:marTop w:val="0"/>
                  <w:marBottom w:val="0"/>
                  <w:divBdr>
                    <w:top w:val="none" w:sz="0" w:space="0" w:color="auto"/>
                    <w:left w:val="none" w:sz="0" w:space="0" w:color="auto"/>
                    <w:bottom w:val="none" w:sz="0" w:space="0" w:color="auto"/>
                    <w:right w:val="none" w:sz="0" w:space="0" w:color="auto"/>
                  </w:divBdr>
                  <w:divsChild>
                    <w:div w:id="1042706435">
                      <w:marLeft w:val="0"/>
                      <w:marRight w:val="0"/>
                      <w:marTop w:val="0"/>
                      <w:marBottom w:val="0"/>
                      <w:divBdr>
                        <w:top w:val="none" w:sz="0" w:space="0" w:color="auto"/>
                        <w:left w:val="none" w:sz="0" w:space="0" w:color="auto"/>
                        <w:bottom w:val="none" w:sz="0" w:space="0" w:color="auto"/>
                        <w:right w:val="none" w:sz="0" w:space="0" w:color="auto"/>
                      </w:divBdr>
                    </w:div>
                  </w:divsChild>
                </w:div>
                <w:div w:id="1093625090">
                  <w:marLeft w:val="0"/>
                  <w:marRight w:val="0"/>
                  <w:marTop w:val="0"/>
                  <w:marBottom w:val="0"/>
                  <w:divBdr>
                    <w:top w:val="none" w:sz="0" w:space="0" w:color="auto"/>
                    <w:left w:val="none" w:sz="0" w:space="0" w:color="auto"/>
                    <w:bottom w:val="none" w:sz="0" w:space="0" w:color="auto"/>
                    <w:right w:val="none" w:sz="0" w:space="0" w:color="auto"/>
                  </w:divBdr>
                  <w:divsChild>
                    <w:div w:id="1498963496">
                      <w:marLeft w:val="0"/>
                      <w:marRight w:val="0"/>
                      <w:marTop w:val="0"/>
                      <w:marBottom w:val="0"/>
                      <w:divBdr>
                        <w:top w:val="none" w:sz="0" w:space="0" w:color="auto"/>
                        <w:left w:val="none" w:sz="0" w:space="0" w:color="auto"/>
                        <w:bottom w:val="none" w:sz="0" w:space="0" w:color="auto"/>
                        <w:right w:val="none" w:sz="0" w:space="0" w:color="auto"/>
                      </w:divBdr>
                    </w:div>
                  </w:divsChild>
                </w:div>
                <w:div w:id="1170219178">
                  <w:marLeft w:val="0"/>
                  <w:marRight w:val="0"/>
                  <w:marTop w:val="0"/>
                  <w:marBottom w:val="0"/>
                  <w:divBdr>
                    <w:top w:val="none" w:sz="0" w:space="0" w:color="auto"/>
                    <w:left w:val="none" w:sz="0" w:space="0" w:color="auto"/>
                    <w:bottom w:val="none" w:sz="0" w:space="0" w:color="auto"/>
                    <w:right w:val="none" w:sz="0" w:space="0" w:color="auto"/>
                  </w:divBdr>
                  <w:divsChild>
                    <w:div w:id="266232147">
                      <w:marLeft w:val="0"/>
                      <w:marRight w:val="0"/>
                      <w:marTop w:val="0"/>
                      <w:marBottom w:val="0"/>
                      <w:divBdr>
                        <w:top w:val="none" w:sz="0" w:space="0" w:color="auto"/>
                        <w:left w:val="none" w:sz="0" w:space="0" w:color="auto"/>
                        <w:bottom w:val="none" w:sz="0" w:space="0" w:color="auto"/>
                        <w:right w:val="none" w:sz="0" w:space="0" w:color="auto"/>
                      </w:divBdr>
                    </w:div>
                  </w:divsChild>
                </w:div>
                <w:div w:id="1226330805">
                  <w:marLeft w:val="0"/>
                  <w:marRight w:val="0"/>
                  <w:marTop w:val="0"/>
                  <w:marBottom w:val="0"/>
                  <w:divBdr>
                    <w:top w:val="none" w:sz="0" w:space="0" w:color="auto"/>
                    <w:left w:val="none" w:sz="0" w:space="0" w:color="auto"/>
                    <w:bottom w:val="none" w:sz="0" w:space="0" w:color="auto"/>
                    <w:right w:val="none" w:sz="0" w:space="0" w:color="auto"/>
                  </w:divBdr>
                  <w:divsChild>
                    <w:div w:id="703288808">
                      <w:marLeft w:val="0"/>
                      <w:marRight w:val="0"/>
                      <w:marTop w:val="0"/>
                      <w:marBottom w:val="0"/>
                      <w:divBdr>
                        <w:top w:val="none" w:sz="0" w:space="0" w:color="auto"/>
                        <w:left w:val="none" w:sz="0" w:space="0" w:color="auto"/>
                        <w:bottom w:val="none" w:sz="0" w:space="0" w:color="auto"/>
                        <w:right w:val="none" w:sz="0" w:space="0" w:color="auto"/>
                      </w:divBdr>
                    </w:div>
                  </w:divsChild>
                </w:div>
                <w:div w:id="1284267977">
                  <w:marLeft w:val="0"/>
                  <w:marRight w:val="0"/>
                  <w:marTop w:val="0"/>
                  <w:marBottom w:val="0"/>
                  <w:divBdr>
                    <w:top w:val="none" w:sz="0" w:space="0" w:color="auto"/>
                    <w:left w:val="none" w:sz="0" w:space="0" w:color="auto"/>
                    <w:bottom w:val="none" w:sz="0" w:space="0" w:color="auto"/>
                    <w:right w:val="none" w:sz="0" w:space="0" w:color="auto"/>
                  </w:divBdr>
                  <w:divsChild>
                    <w:div w:id="682589765">
                      <w:marLeft w:val="0"/>
                      <w:marRight w:val="0"/>
                      <w:marTop w:val="0"/>
                      <w:marBottom w:val="0"/>
                      <w:divBdr>
                        <w:top w:val="none" w:sz="0" w:space="0" w:color="auto"/>
                        <w:left w:val="none" w:sz="0" w:space="0" w:color="auto"/>
                        <w:bottom w:val="none" w:sz="0" w:space="0" w:color="auto"/>
                        <w:right w:val="none" w:sz="0" w:space="0" w:color="auto"/>
                      </w:divBdr>
                    </w:div>
                  </w:divsChild>
                </w:div>
                <w:div w:id="1304114331">
                  <w:marLeft w:val="0"/>
                  <w:marRight w:val="0"/>
                  <w:marTop w:val="0"/>
                  <w:marBottom w:val="0"/>
                  <w:divBdr>
                    <w:top w:val="none" w:sz="0" w:space="0" w:color="auto"/>
                    <w:left w:val="none" w:sz="0" w:space="0" w:color="auto"/>
                    <w:bottom w:val="none" w:sz="0" w:space="0" w:color="auto"/>
                    <w:right w:val="none" w:sz="0" w:space="0" w:color="auto"/>
                  </w:divBdr>
                  <w:divsChild>
                    <w:div w:id="684020894">
                      <w:marLeft w:val="0"/>
                      <w:marRight w:val="0"/>
                      <w:marTop w:val="0"/>
                      <w:marBottom w:val="0"/>
                      <w:divBdr>
                        <w:top w:val="none" w:sz="0" w:space="0" w:color="auto"/>
                        <w:left w:val="none" w:sz="0" w:space="0" w:color="auto"/>
                        <w:bottom w:val="none" w:sz="0" w:space="0" w:color="auto"/>
                        <w:right w:val="none" w:sz="0" w:space="0" w:color="auto"/>
                      </w:divBdr>
                    </w:div>
                  </w:divsChild>
                </w:div>
                <w:div w:id="1407452843">
                  <w:marLeft w:val="0"/>
                  <w:marRight w:val="0"/>
                  <w:marTop w:val="0"/>
                  <w:marBottom w:val="0"/>
                  <w:divBdr>
                    <w:top w:val="none" w:sz="0" w:space="0" w:color="auto"/>
                    <w:left w:val="none" w:sz="0" w:space="0" w:color="auto"/>
                    <w:bottom w:val="none" w:sz="0" w:space="0" w:color="auto"/>
                    <w:right w:val="none" w:sz="0" w:space="0" w:color="auto"/>
                  </w:divBdr>
                  <w:divsChild>
                    <w:div w:id="799155989">
                      <w:marLeft w:val="0"/>
                      <w:marRight w:val="0"/>
                      <w:marTop w:val="0"/>
                      <w:marBottom w:val="0"/>
                      <w:divBdr>
                        <w:top w:val="none" w:sz="0" w:space="0" w:color="auto"/>
                        <w:left w:val="none" w:sz="0" w:space="0" w:color="auto"/>
                        <w:bottom w:val="none" w:sz="0" w:space="0" w:color="auto"/>
                        <w:right w:val="none" w:sz="0" w:space="0" w:color="auto"/>
                      </w:divBdr>
                    </w:div>
                  </w:divsChild>
                </w:div>
                <w:div w:id="1529756655">
                  <w:marLeft w:val="0"/>
                  <w:marRight w:val="0"/>
                  <w:marTop w:val="0"/>
                  <w:marBottom w:val="0"/>
                  <w:divBdr>
                    <w:top w:val="none" w:sz="0" w:space="0" w:color="auto"/>
                    <w:left w:val="none" w:sz="0" w:space="0" w:color="auto"/>
                    <w:bottom w:val="none" w:sz="0" w:space="0" w:color="auto"/>
                    <w:right w:val="none" w:sz="0" w:space="0" w:color="auto"/>
                  </w:divBdr>
                  <w:divsChild>
                    <w:div w:id="2042974509">
                      <w:marLeft w:val="0"/>
                      <w:marRight w:val="0"/>
                      <w:marTop w:val="0"/>
                      <w:marBottom w:val="0"/>
                      <w:divBdr>
                        <w:top w:val="none" w:sz="0" w:space="0" w:color="auto"/>
                        <w:left w:val="none" w:sz="0" w:space="0" w:color="auto"/>
                        <w:bottom w:val="none" w:sz="0" w:space="0" w:color="auto"/>
                        <w:right w:val="none" w:sz="0" w:space="0" w:color="auto"/>
                      </w:divBdr>
                    </w:div>
                  </w:divsChild>
                </w:div>
                <w:div w:id="1543710183">
                  <w:marLeft w:val="0"/>
                  <w:marRight w:val="0"/>
                  <w:marTop w:val="0"/>
                  <w:marBottom w:val="0"/>
                  <w:divBdr>
                    <w:top w:val="none" w:sz="0" w:space="0" w:color="auto"/>
                    <w:left w:val="none" w:sz="0" w:space="0" w:color="auto"/>
                    <w:bottom w:val="none" w:sz="0" w:space="0" w:color="auto"/>
                    <w:right w:val="none" w:sz="0" w:space="0" w:color="auto"/>
                  </w:divBdr>
                  <w:divsChild>
                    <w:div w:id="290474869">
                      <w:marLeft w:val="0"/>
                      <w:marRight w:val="0"/>
                      <w:marTop w:val="0"/>
                      <w:marBottom w:val="0"/>
                      <w:divBdr>
                        <w:top w:val="none" w:sz="0" w:space="0" w:color="auto"/>
                        <w:left w:val="none" w:sz="0" w:space="0" w:color="auto"/>
                        <w:bottom w:val="none" w:sz="0" w:space="0" w:color="auto"/>
                        <w:right w:val="none" w:sz="0" w:space="0" w:color="auto"/>
                      </w:divBdr>
                    </w:div>
                  </w:divsChild>
                </w:div>
                <w:div w:id="1589848193">
                  <w:marLeft w:val="0"/>
                  <w:marRight w:val="0"/>
                  <w:marTop w:val="0"/>
                  <w:marBottom w:val="0"/>
                  <w:divBdr>
                    <w:top w:val="none" w:sz="0" w:space="0" w:color="auto"/>
                    <w:left w:val="none" w:sz="0" w:space="0" w:color="auto"/>
                    <w:bottom w:val="none" w:sz="0" w:space="0" w:color="auto"/>
                    <w:right w:val="none" w:sz="0" w:space="0" w:color="auto"/>
                  </w:divBdr>
                  <w:divsChild>
                    <w:div w:id="589971850">
                      <w:marLeft w:val="0"/>
                      <w:marRight w:val="0"/>
                      <w:marTop w:val="0"/>
                      <w:marBottom w:val="0"/>
                      <w:divBdr>
                        <w:top w:val="none" w:sz="0" w:space="0" w:color="auto"/>
                        <w:left w:val="none" w:sz="0" w:space="0" w:color="auto"/>
                        <w:bottom w:val="none" w:sz="0" w:space="0" w:color="auto"/>
                        <w:right w:val="none" w:sz="0" w:space="0" w:color="auto"/>
                      </w:divBdr>
                    </w:div>
                  </w:divsChild>
                </w:div>
                <w:div w:id="1616015689">
                  <w:marLeft w:val="0"/>
                  <w:marRight w:val="0"/>
                  <w:marTop w:val="0"/>
                  <w:marBottom w:val="0"/>
                  <w:divBdr>
                    <w:top w:val="none" w:sz="0" w:space="0" w:color="auto"/>
                    <w:left w:val="none" w:sz="0" w:space="0" w:color="auto"/>
                    <w:bottom w:val="none" w:sz="0" w:space="0" w:color="auto"/>
                    <w:right w:val="none" w:sz="0" w:space="0" w:color="auto"/>
                  </w:divBdr>
                  <w:divsChild>
                    <w:div w:id="686054389">
                      <w:marLeft w:val="0"/>
                      <w:marRight w:val="0"/>
                      <w:marTop w:val="0"/>
                      <w:marBottom w:val="0"/>
                      <w:divBdr>
                        <w:top w:val="none" w:sz="0" w:space="0" w:color="auto"/>
                        <w:left w:val="none" w:sz="0" w:space="0" w:color="auto"/>
                        <w:bottom w:val="none" w:sz="0" w:space="0" w:color="auto"/>
                        <w:right w:val="none" w:sz="0" w:space="0" w:color="auto"/>
                      </w:divBdr>
                    </w:div>
                  </w:divsChild>
                </w:div>
                <w:div w:id="1954750409">
                  <w:marLeft w:val="0"/>
                  <w:marRight w:val="0"/>
                  <w:marTop w:val="0"/>
                  <w:marBottom w:val="0"/>
                  <w:divBdr>
                    <w:top w:val="none" w:sz="0" w:space="0" w:color="auto"/>
                    <w:left w:val="none" w:sz="0" w:space="0" w:color="auto"/>
                    <w:bottom w:val="none" w:sz="0" w:space="0" w:color="auto"/>
                    <w:right w:val="none" w:sz="0" w:space="0" w:color="auto"/>
                  </w:divBdr>
                  <w:divsChild>
                    <w:div w:id="177347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56465">
          <w:marLeft w:val="0"/>
          <w:marRight w:val="0"/>
          <w:marTop w:val="0"/>
          <w:marBottom w:val="0"/>
          <w:divBdr>
            <w:top w:val="none" w:sz="0" w:space="0" w:color="auto"/>
            <w:left w:val="none" w:sz="0" w:space="0" w:color="auto"/>
            <w:bottom w:val="none" w:sz="0" w:space="0" w:color="auto"/>
            <w:right w:val="none" w:sz="0" w:space="0" w:color="auto"/>
          </w:divBdr>
        </w:div>
        <w:div w:id="306513558">
          <w:marLeft w:val="0"/>
          <w:marRight w:val="0"/>
          <w:marTop w:val="0"/>
          <w:marBottom w:val="0"/>
          <w:divBdr>
            <w:top w:val="none" w:sz="0" w:space="0" w:color="auto"/>
            <w:left w:val="none" w:sz="0" w:space="0" w:color="auto"/>
            <w:bottom w:val="none" w:sz="0" w:space="0" w:color="auto"/>
            <w:right w:val="none" w:sz="0" w:space="0" w:color="auto"/>
          </w:divBdr>
        </w:div>
        <w:div w:id="450980743">
          <w:marLeft w:val="0"/>
          <w:marRight w:val="0"/>
          <w:marTop w:val="0"/>
          <w:marBottom w:val="0"/>
          <w:divBdr>
            <w:top w:val="none" w:sz="0" w:space="0" w:color="auto"/>
            <w:left w:val="none" w:sz="0" w:space="0" w:color="auto"/>
            <w:bottom w:val="none" w:sz="0" w:space="0" w:color="auto"/>
            <w:right w:val="none" w:sz="0" w:space="0" w:color="auto"/>
          </w:divBdr>
        </w:div>
        <w:div w:id="482352350">
          <w:marLeft w:val="0"/>
          <w:marRight w:val="0"/>
          <w:marTop w:val="0"/>
          <w:marBottom w:val="0"/>
          <w:divBdr>
            <w:top w:val="none" w:sz="0" w:space="0" w:color="auto"/>
            <w:left w:val="none" w:sz="0" w:space="0" w:color="auto"/>
            <w:bottom w:val="none" w:sz="0" w:space="0" w:color="auto"/>
            <w:right w:val="none" w:sz="0" w:space="0" w:color="auto"/>
          </w:divBdr>
        </w:div>
        <w:div w:id="752627088">
          <w:marLeft w:val="0"/>
          <w:marRight w:val="0"/>
          <w:marTop w:val="0"/>
          <w:marBottom w:val="0"/>
          <w:divBdr>
            <w:top w:val="none" w:sz="0" w:space="0" w:color="auto"/>
            <w:left w:val="none" w:sz="0" w:space="0" w:color="auto"/>
            <w:bottom w:val="none" w:sz="0" w:space="0" w:color="auto"/>
            <w:right w:val="none" w:sz="0" w:space="0" w:color="auto"/>
          </w:divBdr>
        </w:div>
        <w:div w:id="1019088317">
          <w:marLeft w:val="0"/>
          <w:marRight w:val="0"/>
          <w:marTop w:val="0"/>
          <w:marBottom w:val="0"/>
          <w:divBdr>
            <w:top w:val="none" w:sz="0" w:space="0" w:color="auto"/>
            <w:left w:val="none" w:sz="0" w:space="0" w:color="auto"/>
            <w:bottom w:val="none" w:sz="0" w:space="0" w:color="auto"/>
            <w:right w:val="none" w:sz="0" w:space="0" w:color="auto"/>
          </w:divBdr>
        </w:div>
        <w:div w:id="1074010118">
          <w:marLeft w:val="0"/>
          <w:marRight w:val="0"/>
          <w:marTop w:val="0"/>
          <w:marBottom w:val="0"/>
          <w:divBdr>
            <w:top w:val="none" w:sz="0" w:space="0" w:color="auto"/>
            <w:left w:val="none" w:sz="0" w:space="0" w:color="auto"/>
            <w:bottom w:val="none" w:sz="0" w:space="0" w:color="auto"/>
            <w:right w:val="none" w:sz="0" w:space="0" w:color="auto"/>
          </w:divBdr>
        </w:div>
        <w:div w:id="1324776800">
          <w:marLeft w:val="0"/>
          <w:marRight w:val="0"/>
          <w:marTop w:val="0"/>
          <w:marBottom w:val="0"/>
          <w:divBdr>
            <w:top w:val="none" w:sz="0" w:space="0" w:color="auto"/>
            <w:left w:val="none" w:sz="0" w:space="0" w:color="auto"/>
            <w:bottom w:val="none" w:sz="0" w:space="0" w:color="auto"/>
            <w:right w:val="none" w:sz="0" w:space="0" w:color="auto"/>
          </w:divBdr>
        </w:div>
      </w:divsChild>
    </w:div>
    <w:div w:id="826433020">
      <w:bodyDiv w:val="1"/>
      <w:marLeft w:val="0"/>
      <w:marRight w:val="0"/>
      <w:marTop w:val="0"/>
      <w:marBottom w:val="0"/>
      <w:divBdr>
        <w:top w:val="none" w:sz="0" w:space="0" w:color="auto"/>
        <w:left w:val="none" w:sz="0" w:space="0" w:color="auto"/>
        <w:bottom w:val="none" w:sz="0" w:space="0" w:color="auto"/>
        <w:right w:val="none" w:sz="0" w:space="0" w:color="auto"/>
      </w:divBdr>
    </w:div>
    <w:div w:id="842666912">
      <w:bodyDiv w:val="1"/>
      <w:marLeft w:val="0"/>
      <w:marRight w:val="0"/>
      <w:marTop w:val="0"/>
      <w:marBottom w:val="0"/>
      <w:divBdr>
        <w:top w:val="none" w:sz="0" w:space="0" w:color="auto"/>
        <w:left w:val="none" w:sz="0" w:space="0" w:color="auto"/>
        <w:bottom w:val="none" w:sz="0" w:space="0" w:color="auto"/>
        <w:right w:val="none" w:sz="0" w:space="0" w:color="auto"/>
      </w:divBdr>
    </w:div>
    <w:div w:id="871654189">
      <w:bodyDiv w:val="1"/>
      <w:marLeft w:val="0"/>
      <w:marRight w:val="0"/>
      <w:marTop w:val="0"/>
      <w:marBottom w:val="0"/>
      <w:divBdr>
        <w:top w:val="none" w:sz="0" w:space="0" w:color="auto"/>
        <w:left w:val="none" w:sz="0" w:space="0" w:color="auto"/>
        <w:bottom w:val="none" w:sz="0" w:space="0" w:color="auto"/>
        <w:right w:val="none" w:sz="0" w:space="0" w:color="auto"/>
      </w:divBdr>
    </w:div>
    <w:div w:id="888221924">
      <w:bodyDiv w:val="1"/>
      <w:marLeft w:val="0"/>
      <w:marRight w:val="0"/>
      <w:marTop w:val="0"/>
      <w:marBottom w:val="0"/>
      <w:divBdr>
        <w:top w:val="none" w:sz="0" w:space="0" w:color="auto"/>
        <w:left w:val="none" w:sz="0" w:space="0" w:color="auto"/>
        <w:bottom w:val="none" w:sz="0" w:space="0" w:color="auto"/>
        <w:right w:val="none" w:sz="0" w:space="0" w:color="auto"/>
      </w:divBdr>
    </w:div>
    <w:div w:id="900486228">
      <w:bodyDiv w:val="1"/>
      <w:marLeft w:val="0"/>
      <w:marRight w:val="0"/>
      <w:marTop w:val="0"/>
      <w:marBottom w:val="0"/>
      <w:divBdr>
        <w:top w:val="none" w:sz="0" w:space="0" w:color="auto"/>
        <w:left w:val="none" w:sz="0" w:space="0" w:color="auto"/>
        <w:bottom w:val="none" w:sz="0" w:space="0" w:color="auto"/>
        <w:right w:val="none" w:sz="0" w:space="0" w:color="auto"/>
      </w:divBdr>
    </w:div>
    <w:div w:id="900947441">
      <w:bodyDiv w:val="1"/>
      <w:marLeft w:val="0"/>
      <w:marRight w:val="0"/>
      <w:marTop w:val="0"/>
      <w:marBottom w:val="0"/>
      <w:divBdr>
        <w:top w:val="none" w:sz="0" w:space="0" w:color="auto"/>
        <w:left w:val="none" w:sz="0" w:space="0" w:color="auto"/>
        <w:bottom w:val="none" w:sz="0" w:space="0" w:color="auto"/>
        <w:right w:val="none" w:sz="0" w:space="0" w:color="auto"/>
      </w:divBdr>
    </w:div>
    <w:div w:id="909536754">
      <w:bodyDiv w:val="1"/>
      <w:marLeft w:val="0"/>
      <w:marRight w:val="0"/>
      <w:marTop w:val="0"/>
      <w:marBottom w:val="0"/>
      <w:divBdr>
        <w:top w:val="none" w:sz="0" w:space="0" w:color="auto"/>
        <w:left w:val="none" w:sz="0" w:space="0" w:color="auto"/>
        <w:bottom w:val="none" w:sz="0" w:space="0" w:color="auto"/>
        <w:right w:val="none" w:sz="0" w:space="0" w:color="auto"/>
      </w:divBdr>
    </w:div>
    <w:div w:id="934020299">
      <w:bodyDiv w:val="1"/>
      <w:marLeft w:val="0"/>
      <w:marRight w:val="0"/>
      <w:marTop w:val="0"/>
      <w:marBottom w:val="0"/>
      <w:divBdr>
        <w:top w:val="none" w:sz="0" w:space="0" w:color="auto"/>
        <w:left w:val="none" w:sz="0" w:space="0" w:color="auto"/>
        <w:bottom w:val="none" w:sz="0" w:space="0" w:color="auto"/>
        <w:right w:val="none" w:sz="0" w:space="0" w:color="auto"/>
      </w:divBdr>
    </w:div>
    <w:div w:id="941761769">
      <w:bodyDiv w:val="1"/>
      <w:marLeft w:val="0"/>
      <w:marRight w:val="0"/>
      <w:marTop w:val="0"/>
      <w:marBottom w:val="0"/>
      <w:divBdr>
        <w:top w:val="none" w:sz="0" w:space="0" w:color="auto"/>
        <w:left w:val="none" w:sz="0" w:space="0" w:color="auto"/>
        <w:bottom w:val="none" w:sz="0" w:space="0" w:color="auto"/>
        <w:right w:val="none" w:sz="0" w:space="0" w:color="auto"/>
      </w:divBdr>
    </w:div>
    <w:div w:id="956986206">
      <w:bodyDiv w:val="1"/>
      <w:marLeft w:val="0"/>
      <w:marRight w:val="0"/>
      <w:marTop w:val="0"/>
      <w:marBottom w:val="0"/>
      <w:divBdr>
        <w:top w:val="none" w:sz="0" w:space="0" w:color="auto"/>
        <w:left w:val="none" w:sz="0" w:space="0" w:color="auto"/>
        <w:bottom w:val="none" w:sz="0" w:space="0" w:color="auto"/>
        <w:right w:val="none" w:sz="0" w:space="0" w:color="auto"/>
      </w:divBdr>
    </w:div>
    <w:div w:id="957030249">
      <w:bodyDiv w:val="1"/>
      <w:marLeft w:val="0"/>
      <w:marRight w:val="0"/>
      <w:marTop w:val="0"/>
      <w:marBottom w:val="0"/>
      <w:divBdr>
        <w:top w:val="none" w:sz="0" w:space="0" w:color="auto"/>
        <w:left w:val="none" w:sz="0" w:space="0" w:color="auto"/>
        <w:bottom w:val="none" w:sz="0" w:space="0" w:color="auto"/>
        <w:right w:val="none" w:sz="0" w:space="0" w:color="auto"/>
      </w:divBdr>
    </w:div>
    <w:div w:id="965694065">
      <w:bodyDiv w:val="1"/>
      <w:marLeft w:val="0"/>
      <w:marRight w:val="0"/>
      <w:marTop w:val="0"/>
      <w:marBottom w:val="0"/>
      <w:divBdr>
        <w:top w:val="none" w:sz="0" w:space="0" w:color="auto"/>
        <w:left w:val="none" w:sz="0" w:space="0" w:color="auto"/>
        <w:bottom w:val="none" w:sz="0" w:space="0" w:color="auto"/>
        <w:right w:val="none" w:sz="0" w:space="0" w:color="auto"/>
      </w:divBdr>
    </w:div>
    <w:div w:id="967663362">
      <w:bodyDiv w:val="1"/>
      <w:marLeft w:val="0"/>
      <w:marRight w:val="0"/>
      <w:marTop w:val="0"/>
      <w:marBottom w:val="0"/>
      <w:divBdr>
        <w:top w:val="none" w:sz="0" w:space="0" w:color="auto"/>
        <w:left w:val="none" w:sz="0" w:space="0" w:color="auto"/>
        <w:bottom w:val="none" w:sz="0" w:space="0" w:color="auto"/>
        <w:right w:val="none" w:sz="0" w:space="0" w:color="auto"/>
      </w:divBdr>
    </w:div>
    <w:div w:id="968896898">
      <w:bodyDiv w:val="1"/>
      <w:marLeft w:val="0"/>
      <w:marRight w:val="0"/>
      <w:marTop w:val="0"/>
      <w:marBottom w:val="0"/>
      <w:divBdr>
        <w:top w:val="none" w:sz="0" w:space="0" w:color="auto"/>
        <w:left w:val="none" w:sz="0" w:space="0" w:color="auto"/>
        <w:bottom w:val="none" w:sz="0" w:space="0" w:color="auto"/>
        <w:right w:val="none" w:sz="0" w:space="0" w:color="auto"/>
      </w:divBdr>
    </w:div>
    <w:div w:id="1002196289">
      <w:bodyDiv w:val="1"/>
      <w:marLeft w:val="0"/>
      <w:marRight w:val="0"/>
      <w:marTop w:val="0"/>
      <w:marBottom w:val="0"/>
      <w:divBdr>
        <w:top w:val="none" w:sz="0" w:space="0" w:color="auto"/>
        <w:left w:val="none" w:sz="0" w:space="0" w:color="auto"/>
        <w:bottom w:val="none" w:sz="0" w:space="0" w:color="auto"/>
        <w:right w:val="none" w:sz="0" w:space="0" w:color="auto"/>
      </w:divBdr>
    </w:div>
    <w:div w:id="1008872492">
      <w:bodyDiv w:val="1"/>
      <w:marLeft w:val="0"/>
      <w:marRight w:val="0"/>
      <w:marTop w:val="0"/>
      <w:marBottom w:val="0"/>
      <w:divBdr>
        <w:top w:val="none" w:sz="0" w:space="0" w:color="auto"/>
        <w:left w:val="none" w:sz="0" w:space="0" w:color="auto"/>
        <w:bottom w:val="none" w:sz="0" w:space="0" w:color="auto"/>
        <w:right w:val="none" w:sz="0" w:space="0" w:color="auto"/>
      </w:divBdr>
      <w:divsChild>
        <w:div w:id="1894151448">
          <w:marLeft w:val="0"/>
          <w:marRight w:val="0"/>
          <w:marTop w:val="0"/>
          <w:marBottom w:val="0"/>
          <w:divBdr>
            <w:top w:val="none" w:sz="0" w:space="0" w:color="auto"/>
            <w:left w:val="none" w:sz="0" w:space="0" w:color="auto"/>
            <w:bottom w:val="none" w:sz="0" w:space="0" w:color="auto"/>
            <w:right w:val="none" w:sz="0" w:space="0" w:color="auto"/>
          </w:divBdr>
        </w:div>
        <w:div w:id="2057773622">
          <w:marLeft w:val="0"/>
          <w:marRight w:val="0"/>
          <w:marTop w:val="0"/>
          <w:marBottom w:val="0"/>
          <w:divBdr>
            <w:top w:val="none" w:sz="0" w:space="0" w:color="auto"/>
            <w:left w:val="none" w:sz="0" w:space="0" w:color="auto"/>
            <w:bottom w:val="none" w:sz="0" w:space="0" w:color="auto"/>
            <w:right w:val="none" w:sz="0" w:space="0" w:color="auto"/>
          </w:divBdr>
        </w:div>
      </w:divsChild>
    </w:div>
    <w:div w:id="1015612732">
      <w:bodyDiv w:val="1"/>
      <w:marLeft w:val="0"/>
      <w:marRight w:val="0"/>
      <w:marTop w:val="0"/>
      <w:marBottom w:val="0"/>
      <w:divBdr>
        <w:top w:val="none" w:sz="0" w:space="0" w:color="auto"/>
        <w:left w:val="none" w:sz="0" w:space="0" w:color="auto"/>
        <w:bottom w:val="none" w:sz="0" w:space="0" w:color="auto"/>
        <w:right w:val="none" w:sz="0" w:space="0" w:color="auto"/>
      </w:divBdr>
    </w:div>
    <w:div w:id="1020426926">
      <w:bodyDiv w:val="1"/>
      <w:marLeft w:val="0"/>
      <w:marRight w:val="0"/>
      <w:marTop w:val="0"/>
      <w:marBottom w:val="0"/>
      <w:divBdr>
        <w:top w:val="none" w:sz="0" w:space="0" w:color="auto"/>
        <w:left w:val="none" w:sz="0" w:space="0" w:color="auto"/>
        <w:bottom w:val="none" w:sz="0" w:space="0" w:color="auto"/>
        <w:right w:val="none" w:sz="0" w:space="0" w:color="auto"/>
      </w:divBdr>
    </w:div>
    <w:div w:id="1027294206">
      <w:bodyDiv w:val="1"/>
      <w:marLeft w:val="0"/>
      <w:marRight w:val="0"/>
      <w:marTop w:val="0"/>
      <w:marBottom w:val="0"/>
      <w:divBdr>
        <w:top w:val="none" w:sz="0" w:space="0" w:color="auto"/>
        <w:left w:val="none" w:sz="0" w:space="0" w:color="auto"/>
        <w:bottom w:val="none" w:sz="0" w:space="0" w:color="auto"/>
        <w:right w:val="none" w:sz="0" w:space="0" w:color="auto"/>
      </w:divBdr>
    </w:div>
    <w:div w:id="1029644313">
      <w:bodyDiv w:val="1"/>
      <w:marLeft w:val="0"/>
      <w:marRight w:val="0"/>
      <w:marTop w:val="0"/>
      <w:marBottom w:val="0"/>
      <w:divBdr>
        <w:top w:val="none" w:sz="0" w:space="0" w:color="auto"/>
        <w:left w:val="none" w:sz="0" w:space="0" w:color="auto"/>
        <w:bottom w:val="none" w:sz="0" w:space="0" w:color="auto"/>
        <w:right w:val="none" w:sz="0" w:space="0" w:color="auto"/>
      </w:divBdr>
    </w:div>
    <w:div w:id="1031882921">
      <w:bodyDiv w:val="1"/>
      <w:marLeft w:val="0"/>
      <w:marRight w:val="0"/>
      <w:marTop w:val="0"/>
      <w:marBottom w:val="0"/>
      <w:divBdr>
        <w:top w:val="none" w:sz="0" w:space="0" w:color="auto"/>
        <w:left w:val="none" w:sz="0" w:space="0" w:color="auto"/>
        <w:bottom w:val="none" w:sz="0" w:space="0" w:color="auto"/>
        <w:right w:val="none" w:sz="0" w:space="0" w:color="auto"/>
      </w:divBdr>
    </w:div>
    <w:div w:id="1037002750">
      <w:bodyDiv w:val="1"/>
      <w:marLeft w:val="0"/>
      <w:marRight w:val="0"/>
      <w:marTop w:val="0"/>
      <w:marBottom w:val="0"/>
      <w:divBdr>
        <w:top w:val="none" w:sz="0" w:space="0" w:color="auto"/>
        <w:left w:val="none" w:sz="0" w:space="0" w:color="auto"/>
        <w:bottom w:val="none" w:sz="0" w:space="0" w:color="auto"/>
        <w:right w:val="none" w:sz="0" w:space="0" w:color="auto"/>
      </w:divBdr>
    </w:div>
    <w:div w:id="1057167641">
      <w:bodyDiv w:val="1"/>
      <w:marLeft w:val="0"/>
      <w:marRight w:val="0"/>
      <w:marTop w:val="0"/>
      <w:marBottom w:val="0"/>
      <w:divBdr>
        <w:top w:val="none" w:sz="0" w:space="0" w:color="auto"/>
        <w:left w:val="none" w:sz="0" w:space="0" w:color="auto"/>
        <w:bottom w:val="none" w:sz="0" w:space="0" w:color="auto"/>
        <w:right w:val="none" w:sz="0" w:space="0" w:color="auto"/>
      </w:divBdr>
    </w:div>
    <w:div w:id="1094591201">
      <w:bodyDiv w:val="1"/>
      <w:marLeft w:val="0"/>
      <w:marRight w:val="0"/>
      <w:marTop w:val="0"/>
      <w:marBottom w:val="0"/>
      <w:divBdr>
        <w:top w:val="none" w:sz="0" w:space="0" w:color="auto"/>
        <w:left w:val="none" w:sz="0" w:space="0" w:color="auto"/>
        <w:bottom w:val="none" w:sz="0" w:space="0" w:color="auto"/>
        <w:right w:val="none" w:sz="0" w:space="0" w:color="auto"/>
      </w:divBdr>
    </w:div>
    <w:div w:id="1096706409">
      <w:bodyDiv w:val="1"/>
      <w:marLeft w:val="0"/>
      <w:marRight w:val="0"/>
      <w:marTop w:val="0"/>
      <w:marBottom w:val="0"/>
      <w:divBdr>
        <w:top w:val="none" w:sz="0" w:space="0" w:color="auto"/>
        <w:left w:val="none" w:sz="0" w:space="0" w:color="auto"/>
        <w:bottom w:val="none" w:sz="0" w:space="0" w:color="auto"/>
        <w:right w:val="none" w:sz="0" w:space="0" w:color="auto"/>
      </w:divBdr>
    </w:div>
    <w:div w:id="1098521995">
      <w:bodyDiv w:val="1"/>
      <w:marLeft w:val="0"/>
      <w:marRight w:val="0"/>
      <w:marTop w:val="0"/>
      <w:marBottom w:val="0"/>
      <w:divBdr>
        <w:top w:val="none" w:sz="0" w:space="0" w:color="auto"/>
        <w:left w:val="none" w:sz="0" w:space="0" w:color="auto"/>
        <w:bottom w:val="none" w:sz="0" w:space="0" w:color="auto"/>
        <w:right w:val="none" w:sz="0" w:space="0" w:color="auto"/>
      </w:divBdr>
      <w:divsChild>
        <w:div w:id="576716922">
          <w:marLeft w:val="0"/>
          <w:marRight w:val="0"/>
          <w:marTop w:val="0"/>
          <w:marBottom w:val="0"/>
          <w:divBdr>
            <w:top w:val="none" w:sz="0" w:space="0" w:color="auto"/>
            <w:left w:val="none" w:sz="0" w:space="0" w:color="auto"/>
            <w:bottom w:val="none" w:sz="0" w:space="0" w:color="auto"/>
            <w:right w:val="none" w:sz="0" w:space="0" w:color="auto"/>
          </w:divBdr>
        </w:div>
        <w:div w:id="1231304746">
          <w:marLeft w:val="0"/>
          <w:marRight w:val="0"/>
          <w:marTop w:val="0"/>
          <w:marBottom w:val="0"/>
          <w:divBdr>
            <w:top w:val="none" w:sz="0" w:space="0" w:color="auto"/>
            <w:left w:val="none" w:sz="0" w:space="0" w:color="auto"/>
            <w:bottom w:val="none" w:sz="0" w:space="0" w:color="auto"/>
            <w:right w:val="none" w:sz="0" w:space="0" w:color="auto"/>
          </w:divBdr>
        </w:div>
      </w:divsChild>
    </w:div>
    <w:div w:id="1106313914">
      <w:bodyDiv w:val="1"/>
      <w:marLeft w:val="0"/>
      <w:marRight w:val="0"/>
      <w:marTop w:val="0"/>
      <w:marBottom w:val="0"/>
      <w:divBdr>
        <w:top w:val="none" w:sz="0" w:space="0" w:color="auto"/>
        <w:left w:val="none" w:sz="0" w:space="0" w:color="auto"/>
        <w:bottom w:val="none" w:sz="0" w:space="0" w:color="auto"/>
        <w:right w:val="none" w:sz="0" w:space="0" w:color="auto"/>
      </w:divBdr>
      <w:divsChild>
        <w:div w:id="867371505">
          <w:marLeft w:val="-5505"/>
          <w:marRight w:val="0"/>
          <w:marTop w:val="0"/>
          <w:marBottom w:val="0"/>
          <w:divBdr>
            <w:top w:val="none" w:sz="0" w:space="0" w:color="auto"/>
            <w:left w:val="none" w:sz="0" w:space="0" w:color="auto"/>
            <w:bottom w:val="none" w:sz="0" w:space="0" w:color="auto"/>
            <w:right w:val="none" w:sz="0" w:space="0" w:color="auto"/>
          </w:divBdr>
        </w:div>
        <w:div w:id="1530024747">
          <w:marLeft w:val="0"/>
          <w:marRight w:val="0"/>
          <w:marTop w:val="0"/>
          <w:marBottom w:val="0"/>
          <w:divBdr>
            <w:top w:val="none" w:sz="0" w:space="0" w:color="auto"/>
            <w:left w:val="none" w:sz="0" w:space="0" w:color="auto"/>
            <w:bottom w:val="none" w:sz="0" w:space="0" w:color="auto"/>
            <w:right w:val="none" w:sz="0" w:space="0" w:color="auto"/>
          </w:divBdr>
        </w:div>
      </w:divsChild>
    </w:div>
    <w:div w:id="1115519739">
      <w:bodyDiv w:val="1"/>
      <w:marLeft w:val="0"/>
      <w:marRight w:val="0"/>
      <w:marTop w:val="0"/>
      <w:marBottom w:val="0"/>
      <w:divBdr>
        <w:top w:val="none" w:sz="0" w:space="0" w:color="auto"/>
        <w:left w:val="none" w:sz="0" w:space="0" w:color="auto"/>
        <w:bottom w:val="none" w:sz="0" w:space="0" w:color="auto"/>
        <w:right w:val="none" w:sz="0" w:space="0" w:color="auto"/>
      </w:divBdr>
    </w:div>
    <w:div w:id="1151940861">
      <w:bodyDiv w:val="1"/>
      <w:marLeft w:val="0"/>
      <w:marRight w:val="0"/>
      <w:marTop w:val="0"/>
      <w:marBottom w:val="0"/>
      <w:divBdr>
        <w:top w:val="none" w:sz="0" w:space="0" w:color="auto"/>
        <w:left w:val="none" w:sz="0" w:space="0" w:color="auto"/>
        <w:bottom w:val="none" w:sz="0" w:space="0" w:color="auto"/>
        <w:right w:val="none" w:sz="0" w:space="0" w:color="auto"/>
      </w:divBdr>
    </w:div>
    <w:div w:id="1157384809">
      <w:bodyDiv w:val="1"/>
      <w:marLeft w:val="0"/>
      <w:marRight w:val="0"/>
      <w:marTop w:val="0"/>
      <w:marBottom w:val="0"/>
      <w:divBdr>
        <w:top w:val="none" w:sz="0" w:space="0" w:color="auto"/>
        <w:left w:val="none" w:sz="0" w:space="0" w:color="auto"/>
        <w:bottom w:val="none" w:sz="0" w:space="0" w:color="auto"/>
        <w:right w:val="none" w:sz="0" w:space="0" w:color="auto"/>
      </w:divBdr>
    </w:div>
    <w:div w:id="1199120701">
      <w:bodyDiv w:val="1"/>
      <w:marLeft w:val="0"/>
      <w:marRight w:val="0"/>
      <w:marTop w:val="0"/>
      <w:marBottom w:val="0"/>
      <w:divBdr>
        <w:top w:val="none" w:sz="0" w:space="0" w:color="auto"/>
        <w:left w:val="none" w:sz="0" w:space="0" w:color="auto"/>
        <w:bottom w:val="none" w:sz="0" w:space="0" w:color="auto"/>
        <w:right w:val="none" w:sz="0" w:space="0" w:color="auto"/>
      </w:divBdr>
    </w:div>
    <w:div w:id="1216889683">
      <w:bodyDiv w:val="1"/>
      <w:marLeft w:val="0"/>
      <w:marRight w:val="0"/>
      <w:marTop w:val="0"/>
      <w:marBottom w:val="0"/>
      <w:divBdr>
        <w:top w:val="none" w:sz="0" w:space="0" w:color="auto"/>
        <w:left w:val="none" w:sz="0" w:space="0" w:color="auto"/>
        <w:bottom w:val="none" w:sz="0" w:space="0" w:color="auto"/>
        <w:right w:val="none" w:sz="0" w:space="0" w:color="auto"/>
      </w:divBdr>
    </w:div>
    <w:div w:id="1218276646">
      <w:bodyDiv w:val="1"/>
      <w:marLeft w:val="0"/>
      <w:marRight w:val="0"/>
      <w:marTop w:val="0"/>
      <w:marBottom w:val="0"/>
      <w:divBdr>
        <w:top w:val="none" w:sz="0" w:space="0" w:color="auto"/>
        <w:left w:val="none" w:sz="0" w:space="0" w:color="auto"/>
        <w:bottom w:val="none" w:sz="0" w:space="0" w:color="auto"/>
        <w:right w:val="none" w:sz="0" w:space="0" w:color="auto"/>
      </w:divBdr>
    </w:div>
    <w:div w:id="1232036839">
      <w:bodyDiv w:val="1"/>
      <w:marLeft w:val="0"/>
      <w:marRight w:val="0"/>
      <w:marTop w:val="0"/>
      <w:marBottom w:val="0"/>
      <w:divBdr>
        <w:top w:val="none" w:sz="0" w:space="0" w:color="auto"/>
        <w:left w:val="none" w:sz="0" w:space="0" w:color="auto"/>
        <w:bottom w:val="none" w:sz="0" w:space="0" w:color="auto"/>
        <w:right w:val="none" w:sz="0" w:space="0" w:color="auto"/>
      </w:divBdr>
    </w:div>
    <w:div w:id="1236471755">
      <w:bodyDiv w:val="1"/>
      <w:marLeft w:val="0"/>
      <w:marRight w:val="0"/>
      <w:marTop w:val="0"/>
      <w:marBottom w:val="0"/>
      <w:divBdr>
        <w:top w:val="none" w:sz="0" w:space="0" w:color="auto"/>
        <w:left w:val="none" w:sz="0" w:space="0" w:color="auto"/>
        <w:bottom w:val="none" w:sz="0" w:space="0" w:color="auto"/>
        <w:right w:val="none" w:sz="0" w:space="0" w:color="auto"/>
      </w:divBdr>
    </w:div>
    <w:div w:id="1245457950">
      <w:bodyDiv w:val="1"/>
      <w:marLeft w:val="0"/>
      <w:marRight w:val="0"/>
      <w:marTop w:val="0"/>
      <w:marBottom w:val="0"/>
      <w:divBdr>
        <w:top w:val="none" w:sz="0" w:space="0" w:color="auto"/>
        <w:left w:val="none" w:sz="0" w:space="0" w:color="auto"/>
        <w:bottom w:val="none" w:sz="0" w:space="0" w:color="auto"/>
        <w:right w:val="none" w:sz="0" w:space="0" w:color="auto"/>
      </w:divBdr>
    </w:div>
    <w:div w:id="1267735634">
      <w:bodyDiv w:val="1"/>
      <w:marLeft w:val="0"/>
      <w:marRight w:val="0"/>
      <w:marTop w:val="0"/>
      <w:marBottom w:val="0"/>
      <w:divBdr>
        <w:top w:val="none" w:sz="0" w:space="0" w:color="auto"/>
        <w:left w:val="none" w:sz="0" w:space="0" w:color="auto"/>
        <w:bottom w:val="none" w:sz="0" w:space="0" w:color="auto"/>
        <w:right w:val="none" w:sz="0" w:space="0" w:color="auto"/>
      </w:divBdr>
    </w:div>
    <w:div w:id="1282154055">
      <w:bodyDiv w:val="1"/>
      <w:marLeft w:val="0"/>
      <w:marRight w:val="0"/>
      <w:marTop w:val="0"/>
      <w:marBottom w:val="0"/>
      <w:divBdr>
        <w:top w:val="none" w:sz="0" w:space="0" w:color="auto"/>
        <w:left w:val="none" w:sz="0" w:space="0" w:color="auto"/>
        <w:bottom w:val="none" w:sz="0" w:space="0" w:color="auto"/>
        <w:right w:val="none" w:sz="0" w:space="0" w:color="auto"/>
      </w:divBdr>
    </w:div>
    <w:div w:id="1297839157">
      <w:bodyDiv w:val="1"/>
      <w:marLeft w:val="0"/>
      <w:marRight w:val="0"/>
      <w:marTop w:val="0"/>
      <w:marBottom w:val="0"/>
      <w:divBdr>
        <w:top w:val="none" w:sz="0" w:space="0" w:color="auto"/>
        <w:left w:val="none" w:sz="0" w:space="0" w:color="auto"/>
        <w:bottom w:val="none" w:sz="0" w:space="0" w:color="auto"/>
        <w:right w:val="none" w:sz="0" w:space="0" w:color="auto"/>
      </w:divBdr>
    </w:div>
    <w:div w:id="1297948417">
      <w:bodyDiv w:val="1"/>
      <w:marLeft w:val="0"/>
      <w:marRight w:val="0"/>
      <w:marTop w:val="0"/>
      <w:marBottom w:val="0"/>
      <w:divBdr>
        <w:top w:val="none" w:sz="0" w:space="0" w:color="auto"/>
        <w:left w:val="none" w:sz="0" w:space="0" w:color="auto"/>
        <w:bottom w:val="none" w:sz="0" w:space="0" w:color="auto"/>
        <w:right w:val="none" w:sz="0" w:space="0" w:color="auto"/>
      </w:divBdr>
      <w:divsChild>
        <w:div w:id="420763049">
          <w:marLeft w:val="0"/>
          <w:marRight w:val="0"/>
          <w:marTop w:val="0"/>
          <w:marBottom w:val="0"/>
          <w:divBdr>
            <w:top w:val="none" w:sz="0" w:space="0" w:color="auto"/>
            <w:left w:val="none" w:sz="0" w:space="0" w:color="auto"/>
            <w:bottom w:val="none" w:sz="0" w:space="0" w:color="auto"/>
            <w:right w:val="none" w:sz="0" w:space="0" w:color="auto"/>
          </w:divBdr>
        </w:div>
        <w:div w:id="899709074">
          <w:marLeft w:val="0"/>
          <w:marRight w:val="0"/>
          <w:marTop w:val="0"/>
          <w:marBottom w:val="0"/>
          <w:divBdr>
            <w:top w:val="none" w:sz="0" w:space="0" w:color="auto"/>
            <w:left w:val="none" w:sz="0" w:space="0" w:color="auto"/>
            <w:bottom w:val="none" w:sz="0" w:space="0" w:color="auto"/>
            <w:right w:val="none" w:sz="0" w:space="0" w:color="auto"/>
          </w:divBdr>
        </w:div>
        <w:div w:id="1601372432">
          <w:marLeft w:val="0"/>
          <w:marRight w:val="0"/>
          <w:marTop w:val="0"/>
          <w:marBottom w:val="0"/>
          <w:divBdr>
            <w:top w:val="none" w:sz="0" w:space="0" w:color="auto"/>
            <w:left w:val="none" w:sz="0" w:space="0" w:color="auto"/>
            <w:bottom w:val="none" w:sz="0" w:space="0" w:color="auto"/>
            <w:right w:val="none" w:sz="0" w:space="0" w:color="auto"/>
          </w:divBdr>
        </w:div>
      </w:divsChild>
    </w:div>
    <w:div w:id="1298535079">
      <w:bodyDiv w:val="1"/>
      <w:marLeft w:val="0"/>
      <w:marRight w:val="0"/>
      <w:marTop w:val="0"/>
      <w:marBottom w:val="0"/>
      <w:divBdr>
        <w:top w:val="none" w:sz="0" w:space="0" w:color="auto"/>
        <w:left w:val="none" w:sz="0" w:space="0" w:color="auto"/>
        <w:bottom w:val="none" w:sz="0" w:space="0" w:color="auto"/>
        <w:right w:val="none" w:sz="0" w:space="0" w:color="auto"/>
      </w:divBdr>
    </w:div>
    <w:div w:id="1313875838">
      <w:bodyDiv w:val="1"/>
      <w:marLeft w:val="0"/>
      <w:marRight w:val="0"/>
      <w:marTop w:val="0"/>
      <w:marBottom w:val="0"/>
      <w:divBdr>
        <w:top w:val="none" w:sz="0" w:space="0" w:color="auto"/>
        <w:left w:val="none" w:sz="0" w:space="0" w:color="auto"/>
        <w:bottom w:val="none" w:sz="0" w:space="0" w:color="auto"/>
        <w:right w:val="none" w:sz="0" w:space="0" w:color="auto"/>
      </w:divBdr>
    </w:div>
    <w:div w:id="1316762843">
      <w:bodyDiv w:val="1"/>
      <w:marLeft w:val="0"/>
      <w:marRight w:val="0"/>
      <w:marTop w:val="0"/>
      <w:marBottom w:val="0"/>
      <w:divBdr>
        <w:top w:val="none" w:sz="0" w:space="0" w:color="auto"/>
        <w:left w:val="none" w:sz="0" w:space="0" w:color="auto"/>
        <w:bottom w:val="none" w:sz="0" w:space="0" w:color="auto"/>
        <w:right w:val="none" w:sz="0" w:space="0" w:color="auto"/>
      </w:divBdr>
    </w:div>
    <w:div w:id="1318338251">
      <w:bodyDiv w:val="1"/>
      <w:marLeft w:val="0"/>
      <w:marRight w:val="0"/>
      <w:marTop w:val="0"/>
      <w:marBottom w:val="0"/>
      <w:divBdr>
        <w:top w:val="none" w:sz="0" w:space="0" w:color="auto"/>
        <w:left w:val="none" w:sz="0" w:space="0" w:color="auto"/>
        <w:bottom w:val="none" w:sz="0" w:space="0" w:color="auto"/>
        <w:right w:val="none" w:sz="0" w:space="0" w:color="auto"/>
      </w:divBdr>
    </w:div>
    <w:div w:id="1318462111">
      <w:bodyDiv w:val="1"/>
      <w:marLeft w:val="0"/>
      <w:marRight w:val="0"/>
      <w:marTop w:val="0"/>
      <w:marBottom w:val="0"/>
      <w:divBdr>
        <w:top w:val="none" w:sz="0" w:space="0" w:color="auto"/>
        <w:left w:val="none" w:sz="0" w:space="0" w:color="auto"/>
        <w:bottom w:val="none" w:sz="0" w:space="0" w:color="auto"/>
        <w:right w:val="none" w:sz="0" w:space="0" w:color="auto"/>
      </w:divBdr>
    </w:div>
    <w:div w:id="1325889495">
      <w:bodyDiv w:val="1"/>
      <w:marLeft w:val="0"/>
      <w:marRight w:val="0"/>
      <w:marTop w:val="0"/>
      <w:marBottom w:val="0"/>
      <w:divBdr>
        <w:top w:val="none" w:sz="0" w:space="0" w:color="auto"/>
        <w:left w:val="none" w:sz="0" w:space="0" w:color="auto"/>
        <w:bottom w:val="none" w:sz="0" w:space="0" w:color="auto"/>
        <w:right w:val="none" w:sz="0" w:space="0" w:color="auto"/>
      </w:divBdr>
    </w:div>
    <w:div w:id="1345741628">
      <w:bodyDiv w:val="1"/>
      <w:marLeft w:val="0"/>
      <w:marRight w:val="0"/>
      <w:marTop w:val="0"/>
      <w:marBottom w:val="0"/>
      <w:divBdr>
        <w:top w:val="none" w:sz="0" w:space="0" w:color="auto"/>
        <w:left w:val="none" w:sz="0" w:space="0" w:color="auto"/>
        <w:bottom w:val="none" w:sz="0" w:space="0" w:color="auto"/>
        <w:right w:val="none" w:sz="0" w:space="0" w:color="auto"/>
      </w:divBdr>
    </w:div>
    <w:div w:id="1356731843">
      <w:bodyDiv w:val="1"/>
      <w:marLeft w:val="0"/>
      <w:marRight w:val="0"/>
      <w:marTop w:val="0"/>
      <w:marBottom w:val="0"/>
      <w:divBdr>
        <w:top w:val="none" w:sz="0" w:space="0" w:color="auto"/>
        <w:left w:val="none" w:sz="0" w:space="0" w:color="auto"/>
        <w:bottom w:val="none" w:sz="0" w:space="0" w:color="auto"/>
        <w:right w:val="none" w:sz="0" w:space="0" w:color="auto"/>
      </w:divBdr>
    </w:div>
    <w:div w:id="1361979523">
      <w:bodyDiv w:val="1"/>
      <w:marLeft w:val="0"/>
      <w:marRight w:val="0"/>
      <w:marTop w:val="0"/>
      <w:marBottom w:val="0"/>
      <w:divBdr>
        <w:top w:val="none" w:sz="0" w:space="0" w:color="auto"/>
        <w:left w:val="none" w:sz="0" w:space="0" w:color="auto"/>
        <w:bottom w:val="none" w:sz="0" w:space="0" w:color="auto"/>
        <w:right w:val="none" w:sz="0" w:space="0" w:color="auto"/>
      </w:divBdr>
    </w:div>
    <w:div w:id="1365405369">
      <w:bodyDiv w:val="1"/>
      <w:marLeft w:val="0"/>
      <w:marRight w:val="0"/>
      <w:marTop w:val="0"/>
      <w:marBottom w:val="0"/>
      <w:divBdr>
        <w:top w:val="none" w:sz="0" w:space="0" w:color="auto"/>
        <w:left w:val="none" w:sz="0" w:space="0" w:color="auto"/>
        <w:bottom w:val="none" w:sz="0" w:space="0" w:color="auto"/>
        <w:right w:val="none" w:sz="0" w:space="0" w:color="auto"/>
      </w:divBdr>
    </w:div>
    <w:div w:id="1365515855">
      <w:bodyDiv w:val="1"/>
      <w:marLeft w:val="0"/>
      <w:marRight w:val="0"/>
      <w:marTop w:val="0"/>
      <w:marBottom w:val="0"/>
      <w:divBdr>
        <w:top w:val="none" w:sz="0" w:space="0" w:color="auto"/>
        <w:left w:val="none" w:sz="0" w:space="0" w:color="auto"/>
        <w:bottom w:val="none" w:sz="0" w:space="0" w:color="auto"/>
        <w:right w:val="none" w:sz="0" w:space="0" w:color="auto"/>
      </w:divBdr>
    </w:div>
    <w:div w:id="1400402634">
      <w:bodyDiv w:val="1"/>
      <w:marLeft w:val="0"/>
      <w:marRight w:val="0"/>
      <w:marTop w:val="0"/>
      <w:marBottom w:val="0"/>
      <w:divBdr>
        <w:top w:val="none" w:sz="0" w:space="0" w:color="auto"/>
        <w:left w:val="none" w:sz="0" w:space="0" w:color="auto"/>
        <w:bottom w:val="none" w:sz="0" w:space="0" w:color="auto"/>
        <w:right w:val="none" w:sz="0" w:space="0" w:color="auto"/>
      </w:divBdr>
      <w:divsChild>
        <w:div w:id="349068797">
          <w:marLeft w:val="0"/>
          <w:marRight w:val="0"/>
          <w:marTop w:val="0"/>
          <w:marBottom w:val="0"/>
          <w:divBdr>
            <w:top w:val="none" w:sz="0" w:space="0" w:color="auto"/>
            <w:left w:val="none" w:sz="0" w:space="0" w:color="auto"/>
            <w:bottom w:val="none" w:sz="0" w:space="0" w:color="auto"/>
            <w:right w:val="none" w:sz="0" w:space="0" w:color="auto"/>
          </w:divBdr>
        </w:div>
        <w:div w:id="1105538415">
          <w:marLeft w:val="0"/>
          <w:marRight w:val="0"/>
          <w:marTop w:val="0"/>
          <w:marBottom w:val="0"/>
          <w:divBdr>
            <w:top w:val="none" w:sz="0" w:space="0" w:color="auto"/>
            <w:left w:val="none" w:sz="0" w:space="0" w:color="auto"/>
            <w:bottom w:val="none" w:sz="0" w:space="0" w:color="auto"/>
            <w:right w:val="none" w:sz="0" w:space="0" w:color="auto"/>
          </w:divBdr>
        </w:div>
      </w:divsChild>
    </w:div>
    <w:div w:id="1405452139">
      <w:bodyDiv w:val="1"/>
      <w:marLeft w:val="0"/>
      <w:marRight w:val="0"/>
      <w:marTop w:val="0"/>
      <w:marBottom w:val="0"/>
      <w:divBdr>
        <w:top w:val="none" w:sz="0" w:space="0" w:color="auto"/>
        <w:left w:val="none" w:sz="0" w:space="0" w:color="auto"/>
        <w:bottom w:val="none" w:sz="0" w:space="0" w:color="auto"/>
        <w:right w:val="none" w:sz="0" w:space="0" w:color="auto"/>
      </w:divBdr>
    </w:div>
    <w:div w:id="1435905631">
      <w:bodyDiv w:val="1"/>
      <w:marLeft w:val="0"/>
      <w:marRight w:val="0"/>
      <w:marTop w:val="0"/>
      <w:marBottom w:val="0"/>
      <w:divBdr>
        <w:top w:val="none" w:sz="0" w:space="0" w:color="auto"/>
        <w:left w:val="none" w:sz="0" w:space="0" w:color="auto"/>
        <w:bottom w:val="none" w:sz="0" w:space="0" w:color="auto"/>
        <w:right w:val="none" w:sz="0" w:space="0" w:color="auto"/>
      </w:divBdr>
    </w:div>
    <w:div w:id="1436166629">
      <w:bodyDiv w:val="1"/>
      <w:marLeft w:val="0"/>
      <w:marRight w:val="0"/>
      <w:marTop w:val="0"/>
      <w:marBottom w:val="0"/>
      <w:divBdr>
        <w:top w:val="none" w:sz="0" w:space="0" w:color="auto"/>
        <w:left w:val="none" w:sz="0" w:space="0" w:color="auto"/>
        <w:bottom w:val="none" w:sz="0" w:space="0" w:color="auto"/>
        <w:right w:val="none" w:sz="0" w:space="0" w:color="auto"/>
      </w:divBdr>
    </w:div>
    <w:div w:id="1442259882">
      <w:bodyDiv w:val="1"/>
      <w:marLeft w:val="0"/>
      <w:marRight w:val="0"/>
      <w:marTop w:val="0"/>
      <w:marBottom w:val="0"/>
      <w:divBdr>
        <w:top w:val="none" w:sz="0" w:space="0" w:color="auto"/>
        <w:left w:val="none" w:sz="0" w:space="0" w:color="auto"/>
        <w:bottom w:val="none" w:sz="0" w:space="0" w:color="auto"/>
        <w:right w:val="none" w:sz="0" w:space="0" w:color="auto"/>
      </w:divBdr>
      <w:divsChild>
        <w:div w:id="1575122415">
          <w:marLeft w:val="-5505"/>
          <w:marRight w:val="0"/>
          <w:marTop w:val="0"/>
          <w:marBottom w:val="0"/>
          <w:divBdr>
            <w:top w:val="none" w:sz="0" w:space="0" w:color="auto"/>
            <w:left w:val="none" w:sz="0" w:space="0" w:color="auto"/>
            <w:bottom w:val="none" w:sz="0" w:space="0" w:color="auto"/>
            <w:right w:val="none" w:sz="0" w:space="0" w:color="auto"/>
          </w:divBdr>
        </w:div>
        <w:div w:id="1812675794">
          <w:marLeft w:val="0"/>
          <w:marRight w:val="0"/>
          <w:marTop w:val="0"/>
          <w:marBottom w:val="0"/>
          <w:divBdr>
            <w:top w:val="none" w:sz="0" w:space="0" w:color="auto"/>
            <w:left w:val="none" w:sz="0" w:space="0" w:color="auto"/>
            <w:bottom w:val="none" w:sz="0" w:space="0" w:color="auto"/>
            <w:right w:val="none" w:sz="0" w:space="0" w:color="auto"/>
          </w:divBdr>
        </w:div>
      </w:divsChild>
    </w:div>
    <w:div w:id="1458530004">
      <w:bodyDiv w:val="1"/>
      <w:marLeft w:val="0"/>
      <w:marRight w:val="0"/>
      <w:marTop w:val="0"/>
      <w:marBottom w:val="0"/>
      <w:divBdr>
        <w:top w:val="none" w:sz="0" w:space="0" w:color="auto"/>
        <w:left w:val="none" w:sz="0" w:space="0" w:color="auto"/>
        <w:bottom w:val="none" w:sz="0" w:space="0" w:color="auto"/>
        <w:right w:val="none" w:sz="0" w:space="0" w:color="auto"/>
      </w:divBdr>
    </w:div>
    <w:div w:id="1463227905">
      <w:bodyDiv w:val="1"/>
      <w:marLeft w:val="0"/>
      <w:marRight w:val="0"/>
      <w:marTop w:val="0"/>
      <w:marBottom w:val="0"/>
      <w:divBdr>
        <w:top w:val="none" w:sz="0" w:space="0" w:color="auto"/>
        <w:left w:val="none" w:sz="0" w:space="0" w:color="auto"/>
        <w:bottom w:val="none" w:sz="0" w:space="0" w:color="auto"/>
        <w:right w:val="none" w:sz="0" w:space="0" w:color="auto"/>
      </w:divBdr>
    </w:div>
    <w:div w:id="1494835915">
      <w:bodyDiv w:val="1"/>
      <w:marLeft w:val="0"/>
      <w:marRight w:val="0"/>
      <w:marTop w:val="0"/>
      <w:marBottom w:val="0"/>
      <w:divBdr>
        <w:top w:val="none" w:sz="0" w:space="0" w:color="auto"/>
        <w:left w:val="none" w:sz="0" w:space="0" w:color="auto"/>
        <w:bottom w:val="none" w:sz="0" w:space="0" w:color="auto"/>
        <w:right w:val="none" w:sz="0" w:space="0" w:color="auto"/>
      </w:divBdr>
    </w:div>
    <w:div w:id="1501773278">
      <w:bodyDiv w:val="1"/>
      <w:marLeft w:val="0"/>
      <w:marRight w:val="0"/>
      <w:marTop w:val="0"/>
      <w:marBottom w:val="0"/>
      <w:divBdr>
        <w:top w:val="none" w:sz="0" w:space="0" w:color="auto"/>
        <w:left w:val="none" w:sz="0" w:space="0" w:color="auto"/>
        <w:bottom w:val="none" w:sz="0" w:space="0" w:color="auto"/>
        <w:right w:val="none" w:sz="0" w:space="0" w:color="auto"/>
      </w:divBdr>
    </w:div>
    <w:div w:id="1505633108">
      <w:bodyDiv w:val="1"/>
      <w:marLeft w:val="0"/>
      <w:marRight w:val="0"/>
      <w:marTop w:val="0"/>
      <w:marBottom w:val="0"/>
      <w:divBdr>
        <w:top w:val="none" w:sz="0" w:space="0" w:color="auto"/>
        <w:left w:val="none" w:sz="0" w:space="0" w:color="auto"/>
        <w:bottom w:val="none" w:sz="0" w:space="0" w:color="auto"/>
        <w:right w:val="none" w:sz="0" w:space="0" w:color="auto"/>
      </w:divBdr>
    </w:div>
    <w:div w:id="1514148008">
      <w:bodyDiv w:val="1"/>
      <w:marLeft w:val="0"/>
      <w:marRight w:val="0"/>
      <w:marTop w:val="0"/>
      <w:marBottom w:val="0"/>
      <w:divBdr>
        <w:top w:val="none" w:sz="0" w:space="0" w:color="auto"/>
        <w:left w:val="none" w:sz="0" w:space="0" w:color="auto"/>
        <w:bottom w:val="none" w:sz="0" w:space="0" w:color="auto"/>
        <w:right w:val="none" w:sz="0" w:space="0" w:color="auto"/>
      </w:divBdr>
    </w:div>
    <w:div w:id="1523127233">
      <w:bodyDiv w:val="1"/>
      <w:marLeft w:val="0"/>
      <w:marRight w:val="0"/>
      <w:marTop w:val="0"/>
      <w:marBottom w:val="0"/>
      <w:divBdr>
        <w:top w:val="none" w:sz="0" w:space="0" w:color="auto"/>
        <w:left w:val="none" w:sz="0" w:space="0" w:color="auto"/>
        <w:bottom w:val="none" w:sz="0" w:space="0" w:color="auto"/>
        <w:right w:val="none" w:sz="0" w:space="0" w:color="auto"/>
      </w:divBdr>
    </w:div>
    <w:div w:id="1524510780">
      <w:bodyDiv w:val="1"/>
      <w:marLeft w:val="0"/>
      <w:marRight w:val="0"/>
      <w:marTop w:val="0"/>
      <w:marBottom w:val="0"/>
      <w:divBdr>
        <w:top w:val="none" w:sz="0" w:space="0" w:color="auto"/>
        <w:left w:val="none" w:sz="0" w:space="0" w:color="auto"/>
        <w:bottom w:val="none" w:sz="0" w:space="0" w:color="auto"/>
        <w:right w:val="none" w:sz="0" w:space="0" w:color="auto"/>
      </w:divBdr>
    </w:div>
    <w:div w:id="1531606410">
      <w:bodyDiv w:val="1"/>
      <w:marLeft w:val="0"/>
      <w:marRight w:val="0"/>
      <w:marTop w:val="0"/>
      <w:marBottom w:val="0"/>
      <w:divBdr>
        <w:top w:val="none" w:sz="0" w:space="0" w:color="auto"/>
        <w:left w:val="none" w:sz="0" w:space="0" w:color="auto"/>
        <w:bottom w:val="none" w:sz="0" w:space="0" w:color="auto"/>
        <w:right w:val="none" w:sz="0" w:space="0" w:color="auto"/>
      </w:divBdr>
      <w:divsChild>
        <w:div w:id="142695469">
          <w:marLeft w:val="0"/>
          <w:marRight w:val="0"/>
          <w:marTop w:val="0"/>
          <w:marBottom w:val="0"/>
          <w:divBdr>
            <w:top w:val="none" w:sz="0" w:space="0" w:color="auto"/>
            <w:left w:val="none" w:sz="0" w:space="0" w:color="auto"/>
            <w:bottom w:val="none" w:sz="0" w:space="0" w:color="auto"/>
            <w:right w:val="none" w:sz="0" w:space="0" w:color="auto"/>
          </w:divBdr>
        </w:div>
        <w:div w:id="180291044">
          <w:marLeft w:val="0"/>
          <w:marRight w:val="0"/>
          <w:marTop w:val="0"/>
          <w:marBottom w:val="0"/>
          <w:divBdr>
            <w:top w:val="none" w:sz="0" w:space="0" w:color="auto"/>
            <w:left w:val="none" w:sz="0" w:space="0" w:color="auto"/>
            <w:bottom w:val="none" w:sz="0" w:space="0" w:color="auto"/>
            <w:right w:val="none" w:sz="0" w:space="0" w:color="auto"/>
          </w:divBdr>
          <w:divsChild>
            <w:div w:id="340161598">
              <w:marLeft w:val="-75"/>
              <w:marRight w:val="0"/>
              <w:marTop w:val="30"/>
              <w:marBottom w:val="30"/>
              <w:divBdr>
                <w:top w:val="none" w:sz="0" w:space="0" w:color="auto"/>
                <w:left w:val="none" w:sz="0" w:space="0" w:color="auto"/>
                <w:bottom w:val="none" w:sz="0" w:space="0" w:color="auto"/>
                <w:right w:val="none" w:sz="0" w:space="0" w:color="auto"/>
              </w:divBdr>
              <w:divsChild>
                <w:div w:id="396617">
                  <w:marLeft w:val="0"/>
                  <w:marRight w:val="0"/>
                  <w:marTop w:val="0"/>
                  <w:marBottom w:val="0"/>
                  <w:divBdr>
                    <w:top w:val="none" w:sz="0" w:space="0" w:color="auto"/>
                    <w:left w:val="none" w:sz="0" w:space="0" w:color="auto"/>
                    <w:bottom w:val="none" w:sz="0" w:space="0" w:color="auto"/>
                    <w:right w:val="none" w:sz="0" w:space="0" w:color="auto"/>
                  </w:divBdr>
                  <w:divsChild>
                    <w:div w:id="340787453">
                      <w:marLeft w:val="0"/>
                      <w:marRight w:val="0"/>
                      <w:marTop w:val="0"/>
                      <w:marBottom w:val="0"/>
                      <w:divBdr>
                        <w:top w:val="none" w:sz="0" w:space="0" w:color="auto"/>
                        <w:left w:val="none" w:sz="0" w:space="0" w:color="auto"/>
                        <w:bottom w:val="none" w:sz="0" w:space="0" w:color="auto"/>
                        <w:right w:val="none" w:sz="0" w:space="0" w:color="auto"/>
                      </w:divBdr>
                    </w:div>
                  </w:divsChild>
                </w:div>
                <w:div w:id="126557807">
                  <w:marLeft w:val="0"/>
                  <w:marRight w:val="0"/>
                  <w:marTop w:val="0"/>
                  <w:marBottom w:val="0"/>
                  <w:divBdr>
                    <w:top w:val="none" w:sz="0" w:space="0" w:color="auto"/>
                    <w:left w:val="none" w:sz="0" w:space="0" w:color="auto"/>
                    <w:bottom w:val="none" w:sz="0" w:space="0" w:color="auto"/>
                    <w:right w:val="none" w:sz="0" w:space="0" w:color="auto"/>
                  </w:divBdr>
                  <w:divsChild>
                    <w:div w:id="1913806638">
                      <w:marLeft w:val="0"/>
                      <w:marRight w:val="0"/>
                      <w:marTop w:val="0"/>
                      <w:marBottom w:val="0"/>
                      <w:divBdr>
                        <w:top w:val="none" w:sz="0" w:space="0" w:color="auto"/>
                        <w:left w:val="none" w:sz="0" w:space="0" w:color="auto"/>
                        <w:bottom w:val="none" w:sz="0" w:space="0" w:color="auto"/>
                        <w:right w:val="none" w:sz="0" w:space="0" w:color="auto"/>
                      </w:divBdr>
                    </w:div>
                  </w:divsChild>
                </w:div>
                <w:div w:id="129444656">
                  <w:marLeft w:val="0"/>
                  <w:marRight w:val="0"/>
                  <w:marTop w:val="0"/>
                  <w:marBottom w:val="0"/>
                  <w:divBdr>
                    <w:top w:val="none" w:sz="0" w:space="0" w:color="auto"/>
                    <w:left w:val="none" w:sz="0" w:space="0" w:color="auto"/>
                    <w:bottom w:val="none" w:sz="0" w:space="0" w:color="auto"/>
                    <w:right w:val="none" w:sz="0" w:space="0" w:color="auto"/>
                  </w:divBdr>
                  <w:divsChild>
                    <w:div w:id="271938822">
                      <w:marLeft w:val="0"/>
                      <w:marRight w:val="0"/>
                      <w:marTop w:val="0"/>
                      <w:marBottom w:val="0"/>
                      <w:divBdr>
                        <w:top w:val="none" w:sz="0" w:space="0" w:color="auto"/>
                        <w:left w:val="none" w:sz="0" w:space="0" w:color="auto"/>
                        <w:bottom w:val="none" w:sz="0" w:space="0" w:color="auto"/>
                        <w:right w:val="none" w:sz="0" w:space="0" w:color="auto"/>
                      </w:divBdr>
                    </w:div>
                  </w:divsChild>
                </w:div>
                <w:div w:id="254167291">
                  <w:marLeft w:val="0"/>
                  <w:marRight w:val="0"/>
                  <w:marTop w:val="0"/>
                  <w:marBottom w:val="0"/>
                  <w:divBdr>
                    <w:top w:val="none" w:sz="0" w:space="0" w:color="auto"/>
                    <w:left w:val="none" w:sz="0" w:space="0" w:color="auto"/>
                    <w:bottom w:val="none" w:sz="0" w:space="0" w:color="auto"/>
                    <w:right w:val="none" w:sz="0" w:space="0" w:color="auto"/>
                  </w:divBdr>
                  <w:divsChild>
                    <w:div w:id="659113772">
                      <w:marLeft w:val="0"/>
                      <w:marRight w:val="0"/>
                      <w:marTop w:val="0"/>
                      <w:marBottom w:val="0"/>
                      <w:divBdr>
                        <w:top w:val="none" w:sz="0" w:space="0" w:color="auto"/>
                        <w:left w:val="none" w:sz="0" w:space="0" w:color="auto"/>
                        <w:bottom w:val="none" w:sz="0" w:space="0" w:color="auto"/>
                        <w:right w:val="none" w:sz="0" w:space="0" w:color="auto"/>
                      </w:divBdr>
                    </w:div>
                  </w:divsChild>
                </w:div>
                <w:div w:id="307514581">
                  <w:marLeft w:val="0"/>
                  <w:marRight w:val="0"/>
                  <w:marTop w:val="0"/>
                  <w:marBottom w:val="0"/>
                  <w:divBdr>
                    <w:top w:val="none" w:sz="0" w:space="0" w:color="auto"/>
                    <w:left w:val="none" w:sz="0" w:space="0" w:color="auto"/>
                    <w:bottom w:val="none" w:sz="0" w:space="0" w:color="auto"/>
                    <w:right w:val="none" w:sz="0" w:space="0" w:color="auto"/>
                  </w:divBdr>
                  <w:divsChild>
                    <w:div w:id="1606772363">
                      <w:marLeft w:val="0"/>
                      <w:marRight w:val="0"/>
                      <w:marTop w:val="0"/>
                      <w:marBottom w:val="0"/>
                      <w:divBdr>
                        <w:top w:val="none" w:sz="0" w:space="0" w:color="auto"/>
                        <w:left w:val="none" w:sz="0" w:space="0" w:color="auto"/>
                        <w:bottom w:val="none" w:sz="0" w:space="0" w:color="auto"/>
                        <w:right w:val="none" w:sz="0" w:space="0" w:color="auto"/>
                      </w:divBdr>
                    </w:div>
                  </w:divsChild>
                </w:div>
                <w:div w:id="357236923">
                  <w:marLeft w:val="0"/>
                  <w:marRight w:val="0"/>
                  <w:marTop w:val="0"/>
                  <w:marBottom w:val="0"/>
                  <w:divBdr>
                    <w:top w:val="none" w:sz="0" w:space="0" w:color="auto"/>
                    <w:left w:val="none" w:sz="0" w:space="0" w:color="auto"/>
                    <w:bottom w:val="none" w:sz="0" w:space="0" w:color="auto"/>
                    <w:right w:val="none" w:sz="0" w:space="0" w:color="auto"/>
                  </w:divBdr>
                  <w:divsChild>
                    <w:div w:id="1206303">
                      <w:marLeft w:val="0"/>
                      <w:marRight w:val="0"/>
                      <w:marTop w:val="0"/>
                      <w:marBottom w:val="0"/>
                      <w:divBdr>
                        <w:top w:val="none" w:sz="0" w:space="0" w:color="auto"/>
                        <w:left w:val="none" w:sz="0" w:space="0" w:color="auto"/>
                        <w:bottom w:val="none" w:sz="0" w:space="0" w:color="auto"/>
                        <w:right w:val="none" w:sz="0" w:space="0" w:color="auto"/>
                      </w:divBdr>
                    </w:div>
                  </w:divsChild>
                </w:div>
                <w:div w:id="650672305">
                  <w:marLeft w:val="0"/>
                  <w:marRight w:val="0"/>
                  <w:marTop w:val="0"/>
                  <w:marBottom w:val="0"/>
                  <w:divBdr>
                    <w:top w:val="none" w:sz="0" w:space="0" w:color="auto"/>
                    <w:left w:val="none" w:sz="0" w:space="0" w:color="auto"/>
                    <w:bottom w:val="none" w:sz="0" w:space="0" w:color="auto"/>
                    <w:right w:val="none" w:sz="0" w:space="0" w:color="auto"/>
                  </w:divBdr>
                  <w:divsChild>
                    <w:div w:id="1141268244">
                      <w:marLeft w:val="0"/>
                      <w:marRight w:val="0"/>
                      <w:marTop w:val="0"/>
                      <w:marBottom w:val="0"/>
                      <w:divBdr>
                        <w:top w:val="none" w:sz="0" w:space="0" w:color="auto"/>
                        <w:left w:val="none" w:sz="0" w:space="0" w:color="auto"/>
                        <w:bottom w:val="none" w:sz="0" w:space="0" w:color="auto"/>
                        <w:right w:val="none" w:sz="0" w:space="0" w:color="auto"/>
                      </w:divBdr>
                    </w:div>
                  </w:divsChild>
                </w:div>
                <w:div w:id="656881189">
                  <w:marLeft w:val="0"/>
                  <w:marRight w:val="0"/>
                  <w:marTop w:val="0"/>
                  <w:marBottom w:val="0"/>
                  <w:divBdr>
                    <w:top w:val="none" w:sz="0" w:space="0" w:color="auto"/>
                    <w:left w:val="none" w:sz="0" w:space="0" w:color="auto"/>
                    <w:bottom w:val="none" w:sz="0" w:space="0" w:color="auto"/>
                    <w:right w:val="none" w:sz="0" w:space="0" w:color="auto"/>
                  </w:divBdr>
                  <w:divsChild>
                    <w:div w:id="845290202">
                      <w:marLeft w:val="0"/>
                      <w:marRight w:val="0"/>
                      <w:marTop w:val="0"/>
                      <w:marBottom w:val="0"/>
                      <w:divBdr>
                        <w:top w:val="none" w:sz="0" w:space="0" w:color="auto"/>
                        <w:left w:val="none" w:sz="0" w:space="0" w:color="auto"/>
                        <w:bottom w:val="none" w:sz="0" w:space="0" w:color="auto"/>
                        <w:right w:val="none" w:sz="0" w:space="0" w:color="auto"/>
                      </w:divBdr>
                    </w:div>
                  </w:divsChild>
                </w:div>
                <w:div w:id="677971592">
                  <w:marLeft w:val="0"/>
                  <w:marRight w:val="0"/>
                  <w:marTop w:val="0"/>
                  <w:marBottom w:val="0"/>
                  <w:divBdr>
                    <w:top w:val="none" w:sz="0" w:space="0" w:color="auto"/>
                    <w:left w:val="none" w:sz="0" w:space="0" w:color="auto"/>
                    <w:bottom w:val="none" w:sz="0" w:space="0" w:color="auto"/>
                    <w:right w:val="none" w:sz="0" w:space="0" w:color="auto"/>
                  </w:divBdr>
                  <w:divsChild>
                    <w:div w:id="1652443459">
                      <w:marLeft w:val="0"/>
                      <w:marRight w:val="0"/>
                      <w:marTop w:val="0"/>
                      <w:marBottom w:val="0"/>
                      <w:divBdr>
                        <w:top w:val="none" w:sz="0" w:space="0" w:color="auto"/>
                        <w:left w:val="none" w:sz="0" w:space="0" w:color="auto"/>
                        <w:bottom w:val="none" w:sz="0" w:space="0" w:color="auto"/>
                        <w:right w:val="none" w:sz="0" w:space="0" w:color="auto"/>
                      </w:divBdr>
                    </w:div>
                  </w:divsChild>
                </w:div>
                <w:div w:id="725640268">
                  <w:marLeft w:val="0"/>
                  <w:marRight w:val="0"/>
                  <w:marTop w:val="0"/>
                  <w:marBottom w:val="0"/>
                  <w:divBdr>
                    <w:top w:val="none" w:sz="0" w:space="0" w:color="auto"/>
                    <w:left w:val="none" w:sz="0" w:space="0" w:color="auto"/>
                    <w:bottom w:val="none" w:sz="0" w:space="0" w:color="auto"/>
                    <w:right w:val="none" w:sz="0" w:space="0" w:color="auto"/>
                  </w:divBdr>
                  <w:divsChild>
                    <w:div w:id="1098913001">
                      <w:marLeft w:val="0"/>
                      <w:marRight w:val="0"/>
                      <w:marTop w:val="0"/>
                      <w:marBottom w:val="0"/>
                      <w:divBdr>
                        <w:top w:val="none" w:sz="0" w:space="0" w:color="auto"/>
                        <w:left w:val="none" w:sz="0" w:space="0" w:color="auto"/>
                        <w:bottom w:val="none" w:sz="0" w:space="0" w:color="auto"/>
                        <w:right w:val="none" w:sz="0" w:space="0" w:color="auto"/>
                      </w:divBdr>
                    </w:div>
                  </w:divsChild>
                </w:div>
                <w:div w:id="780760335">
                  <w:marLeft w:val="0"/>
                  <w:marRight w:val="0"/>
                  <w:marTop w:val="0"/>
                  <w:marBottom w:val="0"/>
                  <w:divBdr>
                    <w:top w:val="none" w:sz="0" w:space="0" w:color="auto"/>
                    <w:left w:val="none" w:sz="0" w:space="0" w:color="auto"/>
                    <w:bottom w:val="none" w:sz="0" w:space="0" w:color="auto"/>
                    <w:right w:val="none" w:sz="0" w:space="0" w:color="auto"/>
                  </w:divBdr>
                  <w:divsChild>
                    <w:div w:id="1705133028">
                      <w:marLeft w:val="0"/>
                      <w:marRight w:val="0"/>
                      <w:marTop w:val="0"/>
                      <w:marBottom w:val="0"/>
                      <w:divBdr>
                        <w:top w:val="none" w:sz="0" w:space="0" w:color="auto"/>
                        <w:left w:val="none" w:sz="0" w:space="0" w:color="auto"/>
                        <w:bottom w:val="none" w:sz="0" w:space="0" w:color="auto"/>
                        <w:right w:val="none" w:sz="0" w:space="0" w:color="auto"/>
                      </w:divBdr>
                    </w:div>
                  </w:divsChild>
                </w:div>
                <w:div w:id="797186450">
                  <w:marLeft w:val="0"/>
                  <w:marRight w:val="0"/>
                  <w:marTop w:val="0"/>
                  <w:marBottom w:val="0"/>
                  <w:divBdr>
                    <w:top w:val="none" w:sz="0" w:space="0" w:color="auto"/>
                    <w:left w:val="none" w:sz="0" w:space="0" w:color="auto"/>
                    <w:bottom w:val="none" w:sz="0" w:space="0" w:color="auto"/>
                    <w:right w:val="none" w:sz="0" w:space="0" w:color="auto"/>
                  </w:divBdr>
                  <w:divsChild>
                    <w:div w:id="194541531">
                      <w:marLeft w:val="0"/>
                      <w:marRight w:val="0"/>
                      <w:marTop w:val="0"/>
                      <w:marBottom w:val="0"/>
                      <w:divBdr>
                        <w:top w:val="none" w:sz="0" w:space="0" w:color="auto"/>
                        <w:left w:val="none" w:sz="0" w:space="0" w:color="auto"/>
                        <w:bottom w:val="none" w:sz="0" w:space="0" w:color="auto"/>
                        <w:right w:val="none" w:sz="0" w:space="0" w:color="auto"/>
                      </w:divBdr>
                    </w:div>
                  </w:divsChild>
                </w:div>
                <w:div w:id="851336084">
                  <w:marLeft w:val="0"/>
                  <w:marRight w:val="0"/>
                  <w:marTop w:val="0"/>
                  <w:marBottom w:val="0"/>
                  <w:divBdr>
                    <w:top w:val="none" w:sz="0" w:space="0" w:color="auto"/>
                    <w:left w:val="none" w:sz="0" w:space="0" w:color="auto"/>
                    <w:bottom w:val="none" w:sz="0" w:space="0" w:color="auto"/>
                    <w:right w:val="none" w:sz="0" w:space="0" w:color="auto"/>
                  </w:divBdr>
                  <w:divsChild>
                    <w:div w:id="2061128811">
                      <w:marLeft w:val="0"/>
                      <w:marRight w:val="0"/>
                      <w:marTop w:val="0"/>
                      <w:marBottom w:val="0"/>
                      <w:divBdr>
                        <w:top w:val="none" w:sz="0" w:space="0" w:color="auto"/>
                        <w:left w:val="none" w:sz="0" w:space="0" w:color="auto"/>
                        <w:bottom w:val="none" w:sz="0" w:space="0" w:color="auto"/>
                        <w:right w:val="none" w:sz="0" w:space="0" w:color="auto"/>
                      </w:divBdr>
                    </w:div>
                  </w:divsChild>
                </w:div>
                <w:div w:id="895552679">
                  <w:marLeft w:val="0"/>
                  <w:marRight w:val="0"/>
                  <w:marTop w:val="0"/>
                  <w:marBottom w:val="0"/>
                  <w:divBdr>
                    <w:top w:val="none" w:sz="0" w:space="0" w:color="auto"/>
                    <w:left w:val="none" w:sz="0" w:space="0" w:color="auto"/>
                    <w:bottom w:val="none" w:sz="0" w:space="0" w:color="auto"/>
                    <w:right w:val="none" w:sz="0" w:space="0" w:color="auto"/>
                  </w:divBdr>
                  <w:divsChild>
                    <w:div w:id="733235970">
                      <w:marLeft w:val="0"/>
                      <w:marRight w:val="0"/>
                      <w:marTop w:val="0"/>
                      <w:marBottom w:val="0"/>
                      <w:divBdr>
                        <w:top w:val="none" w:sz="0" w:space="0" w:color="auto"/>
                        <w:left w:val="none" w:sz="0" w:space="0" w:color="auto"/>
                        <w:bottom w:val="none" w:sz="0" w:space="0" w:color="auto"/>
                        <w:right w:val="none" w:sz="0" w:space="0" w:color="auto"/>
                      </w:divBdr>
                    </w:div>
                  </w:divsChild>
                </w:div>
                <w:div w:id="1068377497">
                  <w:marLeft w:val="0"/>
                  <w:marRight w:val="0"/>
                  <w:marTop w:val="0"/>
                  <w:marBottom w:val="0"/>
                  <w:divBdr>
                    <w:top w:val="none" w:sz="0" w:space="0" w:color="auto"/>
                    <w:left w:val="none" w:sz="0" w:space="0" w:color="auto"/>
                    <w:bottom w:val="none" w:sz="0" w:space="0" w:color="auto"/>
                    <w:right w:val="none" w:sz="0" w:space="0" w:color="auto"/>
                  </w:divBdr>
                  <w:divsChild>
                    <w:div w:id="350104961">
                      <w:marLeft w:val="0"/>
                      <w:marRight w:val="0"/>
                      <w:marTop w:val="0"/>
                      <w:marBottom w:val="0"/>
                      <w:divBdr>
                        <w:top w:val="none" w:sz="0" w:space="0" w:color="auto"/>
                        <w:left w:val="none" w:sz="0" w:space="0" w:color="auto"/>
                        <w:bottom w:val="none" w:sz="0" w:space="0" w:color="auto"/>
                        <w:right w:val="none" w:sz="0" w:space="0" w:color="auto"/>
                      </w:divBdr>
                    </w:div>
                  </w:divsChild>
                </w:div>
                <w:div w:id="1141076214">
                  <w:marLeft w:val="0"/>
                  <w:marRight w:val="0"/>
                  <w:marTop w:val="0"/>
                  <w:marBottom w:val="0"/>
                  <w:divBdr>
                    <w:top w:val="none" w:sz="0" w:space="0" w:color="auto"/>
                    <w:left w:val="none" w:sz="0" w:space="0" w:color="auto"/>
                    <w:bottom w:val="none" w:sz="0" w:space="0" w:color="auto"/>
                    <w:right w:val="none" w:sz="0" w:space="0" w:color="auto"/>
                  </w:divBdr>
                  <w:divsChild>
                    <w:div w:id="1614365839">
                      <w:marLeft w:val="0"/>
                      <w:marRight w:val="0"/>
                      <w:marTop w:val="0"/>
                      <w:marBottom w:val="0"/>
                      <w:divBdr>
                        <w:top w:val="none" w:sz="0" w:space="0" w:color="auto"/>
                        <w:left w:val="none" w:sz="0" w:space="0" w:color="auto"/>
                        <w:bottom w:val="none" w:sz="0" w:space="0" w:color="auto"/>
                        <w:right w:val="none" w:sz="0" w:space="0" w:color="auto"/>
                      </w:divBdr>
                    </w:div>
                  </w:divsChild>
                </w:div>
                <w:div w:id="1315912086">
                  <w:marLeft w:val="0"/>
                  <w:marRight w:val="0"/>
                  <w:marTop w:val="0"/>
                  <w:marBottom w:val="0"/>
                  <w:divBdr>
                    <w:top w:val="none" w:sz="0" w:space="0" w:color="auto"/>
                    <w:left w:val="none" w:sz="0" w:space="0" w:color="auto"/>
                    <w:bottom w:val="none" w:sz="0" w:space="0" w:color="auto"/>
                    <w:right w:val="none" w:sz="0" w:space="0" w:color="auto"/>
                  </w:divBdr>
                  <w:divsChild>
                    <w:div w:id="558516231">
                      <w:marLeft w:val="0"/>
                      <w:marRight w:val="0"/>
                      <w:marTop w:val="0"/>
                      <w:marBottom w:val="0"/>
                      <w:divBdr>
                        <w:top w:val="none" w:sz="0" w:space="0" w:color="auto"/>
                        <w:left w:val="none" w:sz="0" w:space="0" w:color="auto"/>
                        <w:bottom w:val="none" w:sz="0" w:space="0" w:color="auto"/>
                        <w:right w:val="none" w:sz="0" w:space="0" w:color="auto"/>
                      </w:divBdr>
                    </w:div>
                  </w:divsChild>
                </w:div>
                <w:div w:id="1367297336">
                  <w:marLeft w:val="0"/>
                  <w:marRight w:val="0"/>
                  <w:marTop w:val="0"/>
                  <w:marBottom w:val="0"/>
                  <w:divBdr>
                    <w:top w:val="none" w:sz="0" w:space="0" w:color="auto"/>
                    <w:left w:val="none" w:sz="0" w:space="0" w:color="auto"/>
                    <w:bottom w:val="none" w:sz="0" w:space="0" w:color="auto"/>
                    <w:right w:val="none" w:sz="0" w:space="0" w:color="auto"/>
                  </w:divBdr>
                  <w:divsChild>
                    <w:div w:id="1737901273">
                      <w:marLeft w:val="0"/>
                      <w:marRight w:val="0"/>
                      <w:marTop w:val="0"/>
                      <w:marBottom w:val="0"/>
                      <w:divBdr>
                        <w:top w:val="none" w:sz="0" w:space="0" w:color="auto"/>
                        <w:left w:val="none" w:sz="0" w:space="0" w:color="auto"/>
                        <w:bottom w:val="none" w:sz="0" w:space="0" w:color="auto"/>
                        <w:right w:val="none" w:sz="0" w:space="0" w:color="auto"/>
                      </w:divBdr>
                    </w:div>
                  </w:divsChild>
                </w:div>
                <w:div w:id="1414619184">
                  <w:marLeft w:val="0"/>
                  <w:marRight w:val="0"/>
                  <w:marTop w:val="0"/>
                  <w:marBottom w:val="0"/>
                  <w:divBdr>
                    <w:top w:val="none" w:sz="0" w:space="0" w:color="auto"/>
                    <w:left w:val="none" w:sz="0" w:space="0" w:color="auto"/>
                    <w:bottom w:val="none" w:sz="0" w:space="0" w:color="auto"/>
                    <w:right w:val="none" w:sz="0" w:space="0" w:color="auto"/>
                  </w:divBdr>
                  <w:divsChild>
                    <w:div w:id="458688164">
                      <w:marLeft w:val="0"/>
                      <w:marRight w:val="0"/>
                      <w:marTop w:val="0"/>
                      <w:marBottom w:val="0"/>
                      <w:divBdr>
                        <w:top w:val="none" w:sz="0" w:space="0" w:color="auto"/>
                        <w:left w:val="none" w:sz="0" w:space="0" w:color="auto"/>
                        <w:bottom w:val="none" w:sz="0" w:space="0" w:color="auto"/>
                        <w:right w:val="none" w:sz="0" w:space="0" w:color="auto"/>
                      </w:divBdr>
                    </w:div>
                  </w:divsChild>
                </w:div>
                <w:div w:id="1477994676">
                  <w:marLeft w:val="0"/>
                  <w:marRight w:val="0"/>
                  <w:marTop w:val="0"/>
                  <w:marBottom w:val="0"/>
                  <w:divBdr>
                    <w:top w:val="none" w:sz="0" w:space="0" w:color="auto"/>
                    <w:left w:val="none" w:sz="0" w:space="0" w:color="auto"/>
                    <w:bottom w:val="none" w:sz="0" w:space="0" w:color="auto"/>
                    <w:right w:val="none" w:sz="0" w:space="0" w:color="auto"/>
                  </w:divBdr>
                  <w:divsChild>
                    <w:div w:id="1917014598">
                      <w:marLeft w:val="0"/>
                      <w:marRight w:val="0"/>
                      <w:marTop w:val="0"/>
                      <w:marBottom w:val="0"/>
                      <w:divBdr>
                        <w:top w:val="none" w:sz="0" w:space="0" w:color="auto"/>
                        <w:left w:val="none" w:sz="0" w:space="0" w:color="auto"/>
                        <w:bottom w:val="none" w:sz="0" w:space="0" w:color="auto"/>
                        <w:right w:val="none" w:sz="0" w:space="0" w:color="auto"/>
                      </w:divBdr>
                    </w:div>
                  </w:divsChild>
                </w:div>
                <w:div w:id="1509910037">
                  <w:marLeft w:val="0"/>
                  <w:marRight w:val="0"/>
                  <w:marTop w:val="0"/>
                  <w:marBottom w:val="0"/>
                  <w:divBdr>
                    <w:top w:val="none" w:sz="0" w:space="0" w:color="auto"/>
                    <w:left w:val="none" w:sz="0" w:space="0" w:color="auto"/>
                    <w:bottom w:val="none" w:sz="0" w:space="0" w:color="auto"/>
                    <w:right w:val="none" w:sz="0" w:space="0" w:color="auto"/>
                  </w:divBdr>
                  <w:divsChild>
                    <w:div w:id="1332493148">
                      <w:marLeft w:val="0"/>
                      <w:marRight w:val="0"/>
                      <w:marTop w:val="0"/>
                      <w:marBottom w:val="0"/>
                      <w:divBdr>
                        <w:top w:val="none" w:sz="0" w:space="0" w:color="auto"/>
                        <w:left w:val="none" w:sz="0" w:space="0" w:color="auto"/>
                        <w:bottom w:val="none" w:sz="0" w:space="0" w:color="auto"/>
                        <w:right w:val="none" w:sz="0" w:space="0" w:color="auto"/>
                      </w:divBdr>
                    </w:div>
                  </w:divsChild>
                </w:div>
                <w:div w:id="1515529759">
                  <w:marLeft w:val="0"/>
                  <w:marRight w:val="0"/>
                  <w:marTop w:val="0"/>
                  <w:marBottom w:val="0"/>
                  <w:divBdr>
                    <w:top w:val="none" w:sz="0" w:space="0" w:color="auto"/>
                    <w:left w:val="none" w:sz="0" w:space="0" w:color="auto"/>
                    <w:bottom w:val="none" w:sz="0" w:space="0" w:color="auto"/>
                    <w:right w:val="none" w:sz="0" w:space="0" w:color="auto"/>
                  </w:divBdr>
                  <w:divsChild>
                    <w:div w:id="975724183">
                      <w:marLeft w:val="0"/>
                      <w:marRight w:val="0"/>
                      <w:marTop w:val="0"/>
                      <w:marBottom w:val="0"/>
                      <w:divBdr>
                        <w:top w:val="none" w:sz="0" w:space="0" w:color="auto"/>
                        <w:left w:val="none" w:sz="0" w:space="0" w:color="auto"/>
                        <w:bottom w:val="none" w:sz="0" w:space="0" w:color="auto"/>
                        <w:right w:val="none" w:sz="0" w:space="0" w:color="auto"/>
                      </w:divBdr>
                    </w:div>
                  </w:divsChild>
                </w:div>
                <w:div w:id="1587229333">
                  <w:marLeft w:val="0"/>
                  <w:marRight w:val="0"/>
                  <w:marTop w:val="0"/>
                  <w:marBottom w:val="0"/>
                  <w:divBdr>
                    <w:top w:val="none" w:sz="0" w:space="0" w:color="auto"/>
                    <w:left w:val="none" w:sz="0" w:space="0" w:color="auto"/>
                    <w:bottom w:val="none" w:sz="0" w:space="0" w:color="auto"/>
                    <w:right w:val="none" w:sz="0" w:space="0" w:color="auto"/>
                  </w:divBdr>
                  <w:divsChild>
                    <w:div w:id="2121146142">
                      <w:marLeft w:val="0"/>
                      <w:marRight w:val="0"/>
                      <w:marTop w:val="0"/>
                      <w:marBottom w:val="0"/>
                      <w:divBdr>
                        <w:top w:val="none" w:sz="0" w:space="0" w:color="auto"/>
                        <w:left w:val="none" w:sz="0" w:space="0" w:color="auto"/>
                        <w:bottom w:val="none" w:sz="0" w:space="0" w:color="auto"/>
                        <w:right w:val="none" w:sz="0" w:space="0" w:color="auto"/>
                      </w:divBdr>
                    </w:div>
                  </w:divsChild>
                </w:div>
                <w:div w:id="1623417608">
                  <w:marLeft w:val="0"/>
                  <w:marRight w:val="0"/>
                  <w:marTop w:val="0"/>
                  <w:marBottom w:val="0"/>
                  <w:divBdr>
                    <w:top w:val="none" w:sz="0" w:space="0" w:color="auto"/>
                    <w:left w:val="none" w:sz="0" w:space="0" w:color="auto"/>
                    <w:bottom w:val="none" w:sz="0" w:space="0" w:color="auto"/>
                    <w:right w:val="none" w:sz="0" w:space="0" w:color="auto"/>
                  </w:divBdr>
                  <w:divsChild>
                    <w:div w:id="1037513224">
                      <w:marLeft w:val="0"/>
                      <w:marRight w:val="0"/>
                      <w:marTop w:val="0"/>
                      <w:marBottom w:val="0"/>
                      <w:divBdr>
                        <w:top w:val="none" w:sz="0" w:space="0" w:color="auto"/>
                        <w:left w:val="none" w:sz="0" w:space="0" w:color="auto"/>
                        <w:bottom w:val="none" w:sz="0" w:space="0" w:color="auto"/>
                        <w:right w:val="none" w:sz="0" w:space="0" w:color="auto"/>
                      </w:divBdr>
                    </w:div>
                  </w:divsChild>
                </w:div>
                <w:div w:id="1692414287">
                  <w:marLeft w:val="0"/>
                  <w:marRight w:val="0"/>
                  <w:marTop w:val="0"/>
                  <w:marBottom w:val="0"/>
                  <w:divBdr>
                    <w:top w:val="none" w:sz="0" w:space="0" w:color="auto"/>
                    <w:left w:val="none" w:sz="0" w:space="0" w:color="auto"/>
                    <w:bottom w:val="none" w:sz="0" w:space="0" w:color="auto"/>
                    <w:right w:val="none" w:sz="0" w:space="0" w:color="auto"/>
                  </w:divBdr>
                  <w:divsChild>
                    <w:div w:id="1032222581">
                      <w:marLeft w:val="0"/>
                      <w:marRight w:val="0"/>
                      <w:marTop w:val="0"/>
                      <w:marBottom w:val="0"/>
                      <w:divBdr>
                        <w:top w:val="none" w:sz="0" w:space="0" w:color="auto"/>
                        <w:left w:val="none" w:sz="0" w:space="0" w:color="auto"/>
                        <w:bottom w:val="none" w:sz="0" w:space="0" w:color="auto"/>
                        <w:right w:val="none" w:sz="0" w:space="0" w:color="auto"/>
                      </w:divBdr>
                    </w:div>
                  </w:divsChild>
                </w:div>
                <w:div w:id="1833641304">
                  <w:marLeft w:val="0"/>
                  <w:marRight w:val="0"/>
                  <w:marTop w:val="0"/>
                  <w:marBottom w:val="0"/>
                  <w:divBdr>
                    <w:top w:val="none" w:sz="0" w:space="0" w:color="auto"/>
                    <w:left w:val="none" w:sz="0" w:space="0" w:color="auto"/>
                    <w:bottom w:val="none" w:sz="0" w:space="0" w:color="auto"/>
                    <w:right w:val="none" w:sz="0" w:space="0" w:color="auto"/>
                  </w:divBdr>
                  <w:divsChild>
                    <w:div w:id="1063480280">
                      <w:marLeft w:val="0"/>
                      <w:marRight w:val="0"/>
                      <w:marTop w:val="0"/>
                      <w:marBottom w:val="0"/>
                      <w:divBdr>
                        <w:top w:val="none" w:sz="0" w:space="0" w:color="auto"/>
                        <w:left w:val="none" w:sz="0" w:space="0" w:color="auto"/>
                        <w:bottom w:val="none" w:sz="0" w:space="0" w:color="auto"/>
                        <w:right w:val="none" w:sz="0" w:space="0" w:color="auto"/>
                      </w:divBdr>
                    </w:div>
                  </w:divsChild>
                </w:div>
                <w:div w:id="2013100345">
                  <w:marLeft w:val="0"/>
                  <w:marRight w:val="0"/>
                  <w:marTop w:val="0"/>
                  <w:marBottom w:val="0"/>
                  <w:divBdr>
                    <w:top w:val="none" w:sz="0" w:space="0" w:color="auto"/>
                    <w:left w:val="none" w:sz="0" w:space="0" w:color="auto"/>
                    <w:bottom w:val="none" w:sz="0" w:space="0" w:color="auto"/>
                    <w:right w:val="none" w:sz="0" w:space="0" w:color="auto"/>
                  </w:divBdr>
                  <w:divsChild>
                    <w:div w:id="1528256531">
                      <w:marLeft w:val="0"/>
                      <w:marRight w:val="0"/>
                      <w:marTop w:val="0"/>
                      <w:marBottom w:val="0"/>
                      <w:divBdr>
                        <w:top w:val="none" w:sz="0" w:space="0" w:color="auto"/>
                        <w:left w:val="none" w:sz="0" w:space="0" w:color="auto"/>
                        <w:bottom w:val="none" w:sz="0" w:space="0" w:color="auto"/>
                        <w:right w:val="none" w:sz="0" w:space="0" w:color="auto"/>
                      </w:divBdr>
                    </w:div>
                  </w:divsChild>
                </w:div>
                <w:div w:id="2117601940">
                  <w:marLeft w:val="0"/>
                  <w:marRight w:val="0"/>
                  <w:marTop w:val="0"/>
                  <w:marBottom w:val="0"/>
                  <w:divBdr>
                    <w:top w:val="none" w:sz="0" w:space="0" w:color="auto"/>
                    <w:left w:val="none" w:sz="0" w:space="0" w:color="auto"/>
                    <w:bottom w:val="none" w:sz="0" w:space="0" w:color="auto"/>
                    <w:right w:val="none" w:sz="0" w:space="0" w:color="auto"/>
                  </w:divBdr>
                  <w:divsChild>
                    <w:div w:id="136794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310096">
          <w:marLeft w:val="0"/>
          <w:marRight w:val="0"/>
          <w:marTop w:val="0"/>
          <w:marBottom w:val="0"/>
          <w:divBdr>
            <w:top w:val="none" w:sz="0" w:space="0" w:color="auto"/>
            <w:left w:val="none" w:sz="0" w:space="0" w:color="auto"/>
            <w:bottom w:val="none" w:sz="0" w:space="0" w:color="auto"/>
            <w:right w:val="none" w:sz="0" w:space="0" w:color="auto"/>
          </w:divBdr>
        </w:div>
        <w:div w:id="434833265">
          <w:marLeft w:val="0"/>
          <w:marRight w:val="0"/>
          <w:marTop w:val="0"/>
          <w:marBottom w:val="0"/>
          <w:divBdr>
            <w:top w:val="none" w:sz="0" w:space="0" w:color="auto"/>
            <w:left w:val="none" w:sz="0" w:space="0" w:color="auto"/>
            <w:bottom w:val="none" w:sz="0" w:space="0" w:color="auto"/>
            <w:right w:val="none" w:sz="0" w:space="0" w:color="auto"/>
          </w:divBdr>
        </w:div>
        <w:div w:id="529026160">
          <w:marLeft w:val="0"/>
          <w:marRight w:val="0"/>
          <w:marTop w:val="0"/>
          <w:marBottom w:val="0"/>
          <w:divBdr>
            <w:top w:val="none" w:sz="0" w:space="0" w:color="auto"/>
            <w:left w:val="none" w:sz="0" w:space="0" w:color="auto"/>
            <w:bottom w:val="none" w:sz="0" w:space="0" w:color="auto"/>
            <w:right w:val="none" w:sz="0" w:space="0" w:color="auto"/>
          </w:divBdr>
        </w:div>
        <w:div w:id="1027605333">
          <w:marLeft w:val="0"/>
          <w:marRight w:val="0"/>
          <w:marTop w:val="0"/>
          <w:marBottom w:val="0"/>
          <w:divBdr>
            <w:top w:val="none" w:sz="0" w:space="0" w:color="auto"/>
            <w:left w:val="none" w:sz="0" w:space="0" w:color="auto"/>
            <w:bottom w:val="none" w:sz="0" w:space="0" w:color="auto"/>
            <w:right w:val="none" w:sz="0" w:space="0" w:color="auto"/>
          </w:divBdr>
        </w:div>
        <w:div w:id="1632441486">
          <w:marLeft w:val="0"/>
          <w:marRight w:val="0"/>
          <w:marTop w:val="0"/>
          <w:marBottom w:val="0"/>
          <w:divBdr>
            <w:top w:val="none" w:sz="0" w:space="0" w:color="auto"/>
            <w:left w:val="none" w:sz="0" w:space="0" w:color="auto"/>
            <w:bottom w:val="none" w:sz="0" w:space="0" w:color="auto"/>
            <w:right w:val="none" w:sz="0" w:space="0" w:color="auto"/>
          </w:divBdr>
        </w:div>
        <w:div w:id="2027174963">
          <w:marLeft w:val="0"/>
          <w:marRight w:val="0"/>
          <w:marTop w:val="0"/>
          <w:marBottom w:val="0"/>
          <w:divBdr>
            <w:top w:val="none" w:sz="0" w:space="0" w:color="auto"/>
            <w:left w:val="none" w:sz="0" w:space="0" w:color="auto"/>
            <w:bottom w:val="none" w:sz="0" w:space="0" w:color="auto"/>
            <w:right w:val="none" w:sz="0" w:space="0" w:color="auto"/>
          </w:divBdr>
        </w:div>
        <w:div w:id="2096432399">
          <w:marLeft w:val="0"/>
          <w:marRight w:val="0"/>
          <w:marTop w:val="0"/>
          <w:marBottom w:val="0"/>
          <w:divBdr>
            <w:top w:val="none" w:sz="0" w:space="0" w:color="auto"/>
            <w:left w:val="none" w:sz="0" w:space="0" w:color="auto"/>
            <w:bottom w:val="none" w:sz="0" w:space="0" w:color="auto"/>
            <w:right w:val="none" w:sz="0" w:space="0" w:color="auto"/>
          </w:divBdr>
        </w:div>
      </w:divsChild>
    </w:div>
    <w:div w:id="1533692909">
      <w:bodyDiv w:val="1"/>
      <w:marLeft w:val="0"/>
      <w:marRight w:val="0"/>
      <w:marTop w:val="0"/>
      <w:marBottom w:val="0"/>
      <w:divBdr>
        <w:top w:val="none" w:sz="0" w:space="0" w:color="auto"/>
        <w:left w:val="none" w:sz="0" w:space="0" w:color="auto"/>
        <w:bottom w:val="none" w:sz="0" w:space="0" w:color="auto"/>
        <w:right w:val="none" w:sz="0" w:space="0" w:color="auto"/>
      </w:divBdr>
    </w:div>
    <w:div w:id="1538010732">
      <w:bodyDiv w:val="1"/>
      <w:marLeft w:val="0"/>
      <w:marRight w:val="0"/>
      <w:marTop w:val="0"/>
      <w:marBottom w:val="0"/>
      <w:divBdr>
        <w:top w:val="none" w:sz="0" w:space="0" w:color="auto"/>
        <w:left w:val="none" w:sz="0" w:space="0" w:color="auto"/>
        <w:bottom w:val="none" w:sz="0" w:space="0" w:color="auto"/>
        <w:right w:val="none" w:sz="0" w:space="0" w:color="auto"/>
      </w:divBdr>
      <w:divsChild>
        <w:div w:id="1273512737">
          <w:marLeft w:val="0"/>
          <w:marRight w:val="0"/>
          <w:marTop w:val="0"/>
          <w:marBottom w:val="0"/>
          <w:divBdr>
            <w:top w:val="none" w:sz="0" w:space="0" w:color="auto"/>
            <w:left w:val="none" w:sz="0" w:space="0" w:color="auto"/>
            <w:bottom w:val="none" w:sz="0" w:space="0" w:color="auto"/>
            <w:right w:val="none" w:sz="0" w:space="0" w:color="auto"/>
          </w:divBdr>
          <w:divsChild>
            <w:div w:id="333647621">
              <w:marLeft w:val="0"/>
              <w:marRight w:val="0"/>
              <w:marTop w:val="0"/>
              <w:marBottom w:val="0"/>
              <w:divBdr>
                <w:top w:val="none" w:sz="0" w:space="0" w:color="auto"/>
                <w:left w:val="none" w:sz="0" w:space="0" w:color="auto"/>
                <w:bottom w:val="none" w:sz="0" w:space="0" w:color="auto"/>
                <w:right w:val="none" w:sz="0" w:space="0" w:color="auto"/>
              </w:divBdr>
              <w:divsChild>
                <w:div w:id="870874218">
                  <w:marLeft w:val="0"/>
                  <w:marRight w:val="0"/>
                  <w:marTop w:val="0"/>
                  <w:marBottom w:val="0"/>
                  <w:divBdr>
                    <w:top w:val="none" w:sz="0" w:space="0" w:color="auto"/>
                    <w:left w:val="none" w:sz="0" w:space="0" w:color="auto"/>
                    <w:bottom w:val="none" w:sz="0" w:space="0" w:color="auto"/>
                    <w:right w:val="none" w:sz="0" w:space="0" w:color="auto"/>
                  </w:divBdr>
                  <w:divsChild>
                    <w:div w:id="470184">
                      <w:marLeft w:val="0"/>
                      <w:marRight w:val="0"/>
                      <w:marTop w:val="0"/>
                      <w:marBottom w:val="0"/>
                      <w:divBdr>
                        <w:top w:val="none" w:sz="0" w:space="0" w:color="auto"/>
                        <w:left w:val="none" w:sz="0" w:space="0" w:color="auto"/>
                        <w:bottom w:val="none" w:sz="0" w:space="0" w:color="auto"/>
                        <w:right w:val="none" w:sz="0" w:space="0" w:color="auto"/>
                      </w:divBdr>
                      <w:divsChild>
                        <w:div w:id="1117986147">
                          <w:marLeft w:val="0"/>
                          <w:marRight w:val="0"/>
                          <w:marTop w:val="0"/>
                          <w:marBottom w:val="0"/>
                          <w:divBdr>
                            <w:top w:val="none" w:sz="0" w:space="0" w:color="auto"/>
                            <w:left w:val="none" w:sz="0" w:space="0" w:color="auto"/>
                            <w:bottom w:val="none" w:sz="0" w:space="0" w:color="auto"/>
                            <w:right w:val="none" w:sz="0" w:space="0" w:color="auto"/>
                          </w:divBdr>
                          <w:divsChild>
                            <w:div w:id="112500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800883">
      <w:bodyDiv w:val="1"/>
      <w:marLeft w:val="0"/>
      <w:marRight w:val="0"/>
      <w:marTop w:val="0"/>
      <w:marBottom w:val="0"/>
      <w:divBdr>
        <w:top w:val="none" w:sz="0" w:space="0" w:color="auto"/>
        <w:left w:val="none" w:sz="0" w:space="0" w:color="auto"/>
        <w:bottom w:val="none" w:sz="0" w:space="0" w:color="auto"/>
        <w:right w:val="none" w:sz="0" w:space="0" w:color="auto"/>
      </w:divBdr>
      <w:divsChild>
        <w:div w:id="139736548">
          <w:marLeft w:val="0"/>
          <w:marRight w:val="0"/>
          <w:marTop w:val="0"/>
          <w:marBottom w:val="0"/>
          <w:divBdr>
            <w:top w:val="none" w:sz="0" w:space="0" w:color="auto"/>
            <w:left w:val="none" w:sz="0" w:space="0" w:color="auto"/>
            <w:bottom w:val="none" w:sz="0" w:space="0" w:color="auto"/>
            <w:right w:val="none" w:sz="0" w:space="0" w:color="auto"/>
          </w:divBdr>
        </w:div>
        <w:div w:id="360589294">
          <w:marLeft w:val="0"/>
          <w:marRight w:val="0"/>
          <w:marTop w:val="0"/>
          <w:marBottom w:val="0"/>
          <w:divBdr>
            <w:top w:val="none" w:sz="0" w:space="0" w:color="auto"/>
            <w:left w:val="none" w:sz="0" w:space="0" w:color="auto"/>
            <w:bottom w:val="none" w:sz="0" w:space="0" w:color="auto"/>
            <w:right w:val="none" w:sz="0" w:space="0" w:color="auto"/>
          </w:divBdr>
        </w:div>
        <w:div w:id="1459489371">
          <w:marLeft w:val="0"/>
          <w:marRight w:val="0"/>
          <w:marTop w:val="0"/>
          <w:marBottom w:val="0"/>
          <w:divBdr>
            <w:top w:val="none" w:sz="0" w:space="0" w:color="auto"/>
            <w:left w:val="none" w:sz="0" w:space="0" w:color="auto"/>
            <w:bottom w:val="none" w:sz="0" w:space="0" w:color="auto"/>
            <w:right w:val="none" w:sz="0" w:space="0" w:color="auto"/>
          </w:divBdr>
        </w:div>
      </w:divsChild>
    </w:div>
    <w:div w:id="1582107705">
      <w:bodyDiv w:val="1"/>
      <w:marLeft w:val="0"/>
      <w:marRight w:val="0"/>
      <w:marTop w:val="0"/>
      <w:marBottom w:val="0"/>
      <w:divBdr>
        <w:top w:val="none" w:sz="0" w:space="0" w:color="auto"/>
        <w:left w:val="none" w:sz="0" w:space="0" w:color="auto"/>
        <w:bottom w:val="none" w:sz="0" w:space="0" w:color="auto"/>
        <w:right w:val="none" w:sz="0" w:space="0" w:color="auto"/>
      </w:divBdr>
    </w:div>
    <w:div w:id="1584144142">
      <w:bodyDiv w:val="1"/>
      <w:marLeft w:val="0"/>
      <w:marRight w:val="0"/>
      <w:marTop w:val="0"/>
      <w:marBottom w:val="0"/>
      <w:divBdr>
        <w:top w:val="none" w:sz="0" w:space="0" w:color="auto"/>
        <w:left w:val="none" w:sz="0" w:space="0" w:color="auto"/>
        <w:bottom w:val="none" w:sz="0" w:space="0" w:color="auto"/>
        <w:right w:val="none" w:sz="0" w:space="0" w:color="auto"/>
      </w:divBdr>
    </w:div>
    <w:div w:id="1588342968">
      <w:bodyDiv w:val="1"/>
      <w:marLeft w:val="0"/>
      <w:marRight w:val="0"/>
      <w:marTop w:val="0"/>
      <w:marBottom w:val="0"/>
      <w:divBdr>
        <w:top w:val="none" w:sz="0" w:space="0" w:color="auto"/>
        <w:left w:val="none" w:sz="0" w:space="0" w:color="auto"/>
        <w:bottom w:val="none" w:sz="0" w:space="0" w:color="auto"/>
        <w:right w:val="none" w:sz="0" w:space="0" w:color="auto"/>
      </w:divBdr>
    </w:div>
    <w:div w:id="1592665059">
      <w:bodyDiv w:val="1"/>
      <w:marLeft w:val="0"/>
      <w:marRight w:val="0"/>
      <w:marTop w:val="0"/>
      <w:marBottom w:val="0"/>
      <w:divBdr>
        <w:top w:val="none" w:sz="0" w:space="0" w:color="auto"/>
        <w:left w:val="none" w:sz="0" w:space="0" w:color="auto"/>
        <w:bottom w:val="none" w:sz="0" w:space="0" w:color="auto"/>
        <w:right w:val="none" w:sz="0" w:space="0" w:color="auto"/>
      </w:divBdr>
      <w:divsChild>
        <w:div w:id="869299050">
          <w:marLeft w:val="0"/>
          <w:marRight w:val="0"/>
          <w:marTop w:val="0"/>
          <w:marBottom w:val="0"/>
          <w:divBdr>
            <w:top w:val="none" w:sz="0" w:space="0" w:color="auto"/>
            <w:left w:val="none" w:sz="0" w:space="0" w:color="auto"/>
            <w:bottom w:val="none" w:sz="0" w:space="0" w:color="auto"/>
            <w:right w:val="none" w:sz="0" w:space="0" w:color="auto"/>
          </w:divBdr>
          <w:divsChild>
            <w:div w:id="1470515914">
              <w:marLeft w:val="0"/>
              <w:marRight w:val="0"/>
              <w:marTop w:val="0"/>
              <w:marBottom w:val="0"/>
              <w:divBdr>
                <w:top w:val="none" w:sz="0" w:space="0" w:color="auto"/>
                <w:left w:val="none" w:sz="0" w:space="0" w:color="auto"/>
                <w:bottom w:val="none" w:sz="0" w:space="0" w:color="auto"/>
                <w:right w:val="none" w:sz="0" w:space="0" w:color="auto"/>
              </w:divBdr>
              <w:divsChild>
                <w:div w:id="1258559986">
                  <w:marLeft w:val="0"/>
                  <w:marRight w:val="0"/>
                  <w:marTop w:val="0"/>
                  <w:marBottom w:val="0"/>
                  <w:divBdr>
                    <w:top w:val="none" w:sz="0" w:space="0" w:color="auto"/>
                    <w:left w:val="none" w:sz="0" w:space="0" w:color="auto"/>
                    <w:bottom w:val="none" w:sz="0" w:space="0" w:color="auto"/>
                    <w:right w:val="none" w:sz="0" w:space="0" w:color="auto"/>
                  </w:divBdr>
                  <w:divsChild>
                    <w:div w:id="15954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190694">
          <w:marLeft w:val="0"/>
          <w:marRight w:val="0"/>
          <w:marTop w:val="0"/>
          <w:marBottom w:val="0"/>
          <w:divBdr>
            <w:top w:val="none" w:sz="0" w:space="0" w:color="auto"/>
            <w:left w:val="none" w:sz="0" w:space="0" w:color="auto"/>
            <w:bottom w:val="none" w:sz="0" w:space="0" w:color="auto"/>
            <w:right w:val="none" w:sz="0" w:space="0" w:color="auto"/>
          </w:divBdr>
          <w:divsChild>
            <w:div w:id="1086611774">
              <w:marLeft w:val="0"/>
              <w:marRight w:val="0"/>
              <w:marTop w:val="0"/>
              <w:marBottom w:val="0"/>
              <w:divBdr>
                <w:top w:val="none" w:sz="0" w:space="0" w:color="auto"/>
                <w:left w:val="none" w:sz="0" w:space="0" w:color="auto"/>
                <w:bottom w:val="none" w:sz="0" w:space="0" w:color="auto"/>
                <w:right w:val="none" w:sz="0" w:space="0" w:color="auto"/>
              </w:divBdr>
              <w:divsChild>
                <w:div w:id="230895451">
                  <w:marLeft w:val="0"/>
                  <w:marRight w:val="0"/>
                  <w:marTop w:val="0"/>
                  <w:marBottom w:val="0"/>
                  <w:divBdr>
                    <w:top w:val="none" w:sz="0" w:space="0" w:color="auto"/>
                    <w:left w:val="none" w:sz="0" w:space="0" w:color="auto"/>
                    <w:bottom w:val="none" w:sz="0" w:space="0" w:color="auto"/>
                    <w:right w:val="none" w:sz="0" w:space="0" w:color="auto"/>
                  </w:divBdr>
                  <w:divsChild>
                    <w:div w:id="52035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933219">
      <w:bodyDiv w:val="1"/>
      <w:marLeft w:val="0"/>
      <w:marRight w:val="0"/>
      <w:marTop w:val="0"/>
      <w:marBottom w:val="0"/>
      <w:divBdr>
        <w:top w:val="none" w:sz="0" w:space="0" w:color="auto"/>
        <w:left w:val="none" w:sz="0" w:space="0" w:color="auto"/>
        <w:bottom w:val="none" w:sz="0" w:space="0" w:color="auto"/>
        <w:right w:val="none" w:sz="0" w:space="0" w:color="auto"/>
      </w:divBdr>
    </w:div>
    <w:div w:id="1600988250">
      <w:bodyDiv w:val="1"/>
      <w:marLeft w:val="0"/>
      <w:marRight w:val="0"/>
      <w:marTop w:val="0"/>
      <w:marBottom w:val="0"/>
      <w:divBdr>
        <w:top w:val="none" w:sz="0" w:space="0" w:color="auto"/>
        <w:left w:val="none" w:sz="0" w:space="0" w:color="auto"/>
        <w:bottom w:val="none" w:sz="0" w:space="0" w:color="auto"/>
        <w:right w:val="none" w:sz="0" w:space="0" w:color="auto"/>
      </w:divBdr>
    </w:div>
    <w:div w:id="1610308385">
      <w:bodyDiv w:val="1"/>
      <w:marLeft w:val="0"/>
      <w:marRight w:val="0"/>
      <w:marTop w:val="0"/>
      <w:marBottom w:val="0"/>
      <w:divBdr>
        <w:top w:val="none" w:sz="0" w:space="0" w:color="auto"/>
        <w:left w:val="none" w:sz="0" w:space="0" w:color="auto"/>
        <w:bottom w:val="none" w:sz="0" w:space="0" w:color="auto"/>
        <w:right w:val="none" w:sz="0" w:space="0" w:color="auto"/>
      </w:divBdr>
      <w:divsChild>
        <w:div w:id="364797634">
          <w:marLeft w:val="0"/>
          <w:marRight w:val="0"/>
          <w:marTop w:val="0"/>
          <w:marBottom w:val="0"/>
          <w:divBdr>
            <w:top w:val="none" w:sz="0" w:space="0" w:color="auto"/>
            <w:left w:val="none" w:sz="0" w:space="0" w:color="auto"/>
            <w:bottom w:val="none" w:sz="0" w:space="0" w:color="auto"/>
            <w:right w:val="none" w:sz="0" w:space="0" w:color="auto"/>
          </w:divBdr>
          <w:divsChild>
            <w:div w:id="964312442">
              <w:marLeft w:val="0"/>
              <w:marRight w:val="0"/>
              <w:marTop w:val="0"/>
              <w:marBottom w:val="0"/>
              <w:divBdr>
                <w:top w:val="none" w:sz="0" w:space="0" w:color="auto"/>
                <w:left w:val="none" w:sz="0" w:space="0" w:color="auto"/>
                <w:bottom w:val="none" w:sz="0" w:space="0" w:color="auto"/>
                <w:right w:val="none" w:sz="0" w:space="0" w:color="auto"/>
              </w:divBdr>
              <w:divsChild>
                <w:div w:id="647175635">
                  <w:marLeft w:val="0"/>
                  <w:marRight w:val="0"/>
                  <w:marTop w:val="0"/>
                  <w:marBottom w:val="0"/>
                  <w:divBdr>
                    <w:top w:val="none" w:sz="0" w:space="0" w:color="auto"/>
                    <w:left w:val="none" w:sz="0" w:space="0" w:color="auto"/>
                    <w:bottom w:val="none" w:sz="0" w:space="0" w:color="auto"/>
                    <w:right w:val="none" w:sz="0" w:space="0" w:color="auto"/>
                  </w:divBdr>
                  <w:divsChild>
                    <w:div w:id="1924339331">
                      <w:marLeft w:val="0"/>
                      <w:marRight w:val="0"/>
                      <w:marTop w:val="0"/>
                      <w:marBottom w:val="0"/>
                      <w:divBdr>
                        <w:top w:val="none" w:sz="0" w:space="0" w:color="auto"/>
                        <w:left w:val="none" w:sz="0" w:space="0" w:color="auto"/>
                        <w:bottom w:val="none" w:sz="0" w:space="0" w:color="auto"/>
                        <w:right w:val="none" w:sz="0" w:space="0" w:color="auto"/>
                      </w:divBdr>
                      <w:divsChild>
                        <w:div w:id="1730690125">
                          <w:marLeft w:val="0"/>
                          <w:marRight w:val="0"/>
                          <w:marTop w:val="0"/>
                          <w:marBottom w:val="0"/>
                          <w:divBdr>
                            <w:top w:val="none" w:sz="0" w:space="0" w:color="auto"/>
                            <w:left w:val="none" w:sz="0" w:space="0" w:color="auto"/>
                            <w:bottom w:val="none" w:sz="0" w:space="0" w:color="auto"/>
                            <w:right w:val="none" w:sz="0" w:space="0" w:color="auto"/>
                          </w:divBdr>
                          <w:divsChild>
                            <w:div w:id="1770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859540">
      <w:bodyDiv w:val="1"/>
      <w:marLeft w:val="0"/>
      <w:marRight w:val="0"/>
      <w:marTop w:val="0"/>
      <w:marBottom w:val="0"/>
      <w:divBdr>
        <w:top w:val="none" w:sz="0" w:space="0" w:color="auto"/>
        <w:left w:val="none" w:sz="0" w:space="0" w:color="auto"/>
        <w:bottom w:val="none" w:sz="0" w:space="0" w:color="auto"/>
        <w:right w:val="none" w:sz="0" w:space="0" w:color="auto"/>
      </w:divBdr>
    </w:div>
    <w:div w:id="1623920856">
      <w:bodyDiv w:val="1"/>
      <w:marLeft w:val="0"/>
      <w:marRight w:val="0"/>
      <w:marTop w:val="0"/>
      <w:marBottom w:val="0"/>
      <w:divBdr>
        <w:top w:val="none" w:sz="0" w:space="0" w:color="auto"/>
        <w:left w:val="none" w:sz="0" w:space="0" w:color="auto"/>
        <w:bottom w:val="none" w:sz="0" w:space="0" w:color="auto"/>
        <w:right w:val="none" w:sz="0" w:space="0" w:color="auto"/>
      </w:divBdr>
    </w:div>
    <w:div w:id="1632445427">
      <w:bodyDiv w:val="1"/>
      <w:marLeft w:val="0"/>
      <w:marRight w:val="0"/>
      <w:marTop w:val="0"/>
      <w:marBottom w:val="0"/>
      <w:divBdr>
        <w:top w:val="none" w:sz="0" w:space="0" w:color="auto"/>
        <w:left w:val="none" w:sz="0" w:space="0" w:color="auto"/>
        <w:bottom w:val="none" w:sz="0" w:space="0" w:color="auto"/>
        <w:right w:val="none" w:sz="0" w:space="0" w:color="auto"/>
      </w:divBdr>
    </w:div>
    <w:div w:id="1640767508">
      <w:bodyDiv w:val="1"/>
      <w:marLeft w:val="0"/>
      <w:marRight w:val="0"/>
      <w:marTop w:val="0"/>
      <w:marBottom w:val="0"/>
      <w:divBdr>
        <w:top w:val="none" w:sz="0" w:space="0" w:color="auto"/>
        <w:left w:val="none" w:sz="0" w:space="0" w:color="auto"/>
        <w:bottom w:val="none" w:sz="0" w:space="0" w:color="auto"/>
        <w:right w:val="none" w:sz="0" w:space="0" w:color="auto"/>
      </w:divBdr>
    </w:div>
    <w:div w:id="1653481690">
      <w:bodyDiv w:val="1"/>
      <w:marLeft w:val="0"/>
      <w:marRight w:val="0"/>
      <w:marTop w:val="0"/>
      <w:marBottom w:val="0"/>
      <w:divBdr>
        <w:top w:val="none" w:sz="0" w:space="0" w:color="auto"/>
        <w:left w:val="none" w:sz="0" w:space="0" w:color="auto"/>
        <w:bottom w:val="none" w:sz="0" w:space="0" w:color="auto"/>
        <w:right w:val="none" w:sz="0" w:space="0" w:color="auto"/>
      </w:divBdr>
      <w:divsChild>
        <w:div w:id="1025249527">
          <w:marLeft w:val="0"/>
          <w:marRight w:val="0"/>
          <w:marTop w:val="0"/>
          <w:marBottom w:val="0"/>
          <w:divBdr>
            <w:top w:val="none" w:sz="0" w:space="0" w:color="auto"/>
            <w:left w:val="none" w:sz="0" w:space="0" w:color="auto"/>
            <w:bottom w:val="none" w:sz="0" w:space="0" w:color="auto"/>
            <w:right w:val="none" w:sz="0" w:space="0" w:color="auto"/>
          </w:divBdr>
          <w:divsChild>
            <w:div w:id="519510396">
              <w:marLeft w:val="0"/>
              <w:marRight w:val="0"/>
              <w:marTop w:val="0"/>
              <w:marBottom w:val="0"/>
              <w:divBdr>
                <w:top w:val="none" w:sz="0" w:space="0" w:color="auto"/>
                <w:left w:val="none" w:sz="0" w:space="0" w:color="auto"/>
                <w:bottom w:val="none" w:sz="0" w:space="0" w:color="auto"/>
                <w:right w:val="none" w:sz="0" w:space="0" w:color="auto"/>
              </w:divBdr>
              <w:divsChild>
                <w:div w:id="826945707">
                  <w:marLeft w:val="0"/>
                  <w:marRight w:val="0"/>
                  <w:marTop w:val="0"/>
                  <w:marBottom w:val="0"/>
                  <w:divBdr>
                    <w:top w:val="none" w:sz="0" w:space="0" w:color="auto"/>
                    <w:left w:val="none" w:sz="0" w:space="0" w:color="auto"/>
                    <w:bottom w:val="none" w:sz="0" w:space="0" w:color="auto"/>
                    <w:right w:val="none" w:sz="0" w:space="0" w:color="auto"/>
                  </w:divBdr>
                  <w:divsChild>
                    <w:div w:id="167826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9896">
          <w:marLeft w:val="0"/>
          <w:marRight w:val="0"/>
          <w:marTop w:val="0"/>
          <w:marBottom w:val="0"/>
          <w:divBdr>
            <w:top w:val="none" w:sz="0" w:space="0" w:color="auto"/>
            <w:left w:val="none" w:sz="0" w:space="0" w:color="auto"/>
            <w:bottom w:val="none" w:sz="0" w:space="0" w:color="auto"/>
            <w:right w:val="none" w:sz="0" w:space="0" w:color="auto"/>
          </w:divBdr>
          <w:divsChild>
            <w:div w:id="518854019">
              <w:marLeft w:val="0"/>
              <w:marRight w:val="0"/>
              <w:marTop w:val="0"/>
              <w:marBottom w:val="0"/>
              <w:divBdr>
                <w:top w:val="none" w:sz="0" w:space="0" w:color="auto"/>
                <w:left w:val="none" w:sz="0" w:space="0" w:color="auto"/>
                <w:bottom w:val="none" w:sz="0" w:space="0" w:color="auto"/>
                <w:right w:val="none" w:sz="0" w:space="0" w:color="auto"/>
              </w:divBdr>
              <w:divsChild>
                <w:div w:id="1854104617">
                  <w:marLeft w:val="0"/>
                  <w:marRight w:val="0"/>
                  <w:marTop w:val="0"/>
                  <w:marBottom w:val="0"/>
                  <w:divBdr>
                    <w:top w:val="none" w:sz="0" w:space="0" w:color="auto"/>
                    <w:left w:val="none" w:sz="0" w:space="0" w:color="auto"/>
                    <w:bottom w:val="none" w:sz="0" w:space="0" w:color="auto"/>
                    <w:right w:val="none" w:sz="0" w:space="0" w:color="auto"/>
                  </w:divBdr>
                  <w:divsChild>
                    <w:div w:id="134061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979004">
      <w:bodyDiv w:val="1"/>
      <w:marLeft w:val="0"/>
      <w:marRight w:val="0"/>
      <w:marTop w:val="0"/>
      <w:marBottom w:val="0"/>
      <w:divBdr>
        <w:top w:val="none" w:sz="0" w:space="0" w:color="auto"/>
        <w:left w:val="none" w:sz="0" w:space="0" w:color="auto"/>
        <w:bottom w:val="none" w:sz="0" w:space="0" w:color="auto"/>
        <w:right w:val="none" w:sz="0" w:space="0" w:color="auto"/>
      </w:divBdr>
    </w:div>
    <w:div w:id="1684896357">
      <w:bodyDiv w:val="1"/>
      <w:marLeft w:val="0"/>
      <w:marRight w:val="0"/>
      <w:marTop w:val="0"/>
      <w:marBottom w:val="0"/>
      <w:divBdr>
        <w:top w:val="none" w:sz="0" w:space="0" w:color="auto"/>
        <w:left w:val="none" w:sz="0" w:space="0" w:color="auto"/>
        <w:bottom w:val="none" w:sz="0" w:space="0" w:color="auto"/>
        <w:right w:val="none" w:sz="0" w:space="0" w:color="auto"/>
      </w:divBdr>
    </w:div>
    <w:div w:id="1688868890">
      <w:bodyDiv w:val="1"/>
      <w:marLeft w:val="0"/>
      <w:marRight w:val="0"/>
      <w:marTop w:val="0"/>
      <w:marBottom w:val="0"/>
      <w:divBdr>
        <w:top w:val="none" w:sz="0" w:space="0" w:color="auto"/>
        <w:left w:val="none" w:sz="0" w:space="0" w:color="auto"/>
        <w:bottom w:val="none" w:sz="0" w:space="0" w:color="auto"/>
        <w:right w:val="none" w:sz="0" w:space="0" w:color="auto"/>
      </w:divBdr>
    </w:div>
    <w:div w:id="1713844475">
      <w:bodyDiv w:val="1"/>
      <w:marLeft w:val="0"/>
      <w:marRight w:val="0"/>
      <w:marTop w:val="0"/>
      <w:marBottom w:val="0"/>
      <w:divBdr>
        <w:top w:val="none" w:sz="0" w:space="0" w:color="auto"/>
        <w:left w:val="none" w:sz="0" w:space="0" w:color="auto"/>
        <w:bottom w:val="none" w:sz="0" w:space="0" w:color="auto"/>
        <w:right w:val="none" w:sz="0" w:space="0" w:color="auto"/>
      </w:divBdr>
    </w:div>
    <w:div w:id="1714424709">
      <w:bodyDiv w:val="1"/>
      <w:marLeft w:val="0"/>
      <w:marRight w:val="0"/>
      <w:marTop w:val="0"/>
      <w:marBottom w:val="0"/>
      <w:divBdr>
        <w:top w:val="none" w:sz="0" w:space="0" w:color="auto"/>
        <w:left w:val="none" w:sz="0" w:space="0" w:color="auto"/>
        <w:bottom w:val="none" w:sz="0" w:space="0" w:color="auto"/>
        <w:right w:val="none" w:sz="0" w:space="0" w:color="auto"/>
      </w:divBdr>
    </w:div>
    <w:div w:id="1721443266">
      <w:bodyDiv w:val="1"/>
      <w:marLeft w:val="0"/>
      <w:marRight w:val="0"/>
      <w:marTop w:val="0"/>
      <w:marBottom w:val="0"/>
      <w:divBdr>
        <w:top w:val="none" w:sz="0" w:space="0" w:color="auto"/>
        <w:left w:val="none" w:sz="0" w:space="0" w:color="auto"/>
        <w:bottom w:val="none" w:sz="0" w:space="0" w:color="auto"/>
        <w:right w:val="none" w:sz="0" w:space="0" w:color="auto"/>
      </w:divBdr>
    </w:div>
    <w:div w:id="1726837306">
      <w:bodyDiv w:val="1"/>
      <w:marLeft w:val="0"/>
      <w:marRight w:val="0"/>
      <w:marTop w:val="0"/>
      <w:marBottom w:val="0"/>
      <w:divBdr>
        <w:top w:val="none" w:sz="0" w:space="0" w:color="auto"/>
        <w:left w:val="none" w:sz="0" w:space="0" w:color="auto"/>
        <w:bottom w:val="none" w:sz="0" w:space="0" w:color="auto"/>
        <w:right w:val="none" w:sz="0" w:space="0" w:color="auto"/>
      </w:divBdr>
      <w:divsChild>
        <w:div w:id="695809007">
          <w:marLeft w:val="0"/>
          <w:marRight w:val="0"/>
          <w:marTop w:val="0"/>
          <w:marBottom w:val="0"/>
          <w:divBdr>
            <w:top w:val="none" w:sz="0" w:space="0" w:color="auto"/>
            <w:left w:val="none" w:sz="0" w:space="0" w:color="auto"/>
            <w:bottom w:val="none" w:sz="0" w:space="0" w:color="auto"/>
            <w:right w:val="none" w:sz="0" w:space="0" w:color="auto"/>
          </w:divBdr>
        </w:div>
        <w:div w:id="1933706363">
          <w:marLeft w:val="0"/>
          <w:marRight w:val="0"/>
          <w:marTop w:val="0"/>
          <w:marBottom w:val="0"/>
          <w:divBdr>
            <w:top w:val="none" w:sz="0" w:space="0" w:color="auto"/>
            <w:left w:val="none" w:sz="0" w:space="0" w:color="auto"/>
            <w:bottom w:val="none" w:sz="0" w:space="0" w:color="auto"/>
            <w:right w:val="none" w:sz="0" w:space="0" w:color="auto"/>
          </w:divBdr>
        </w:div>
      </w:divsChild>
    </w:div>
    <w:div w:id="1726948609">
      <w:bodyDiv w:val="1"/>
      <w:marLeft w:val="0"/>
      <w:marRight w:val="0"/>
      <w:marTop w:val="0"/>
      <w:marBottom w:val="0"/>
      <w:divBdr>
        <w:top w:val="none" w:sz="0" w:space="0" w:color="auto"/>
        <w:left w:val="none" w:sz="0" w:space="0" w:color="auto"/>
        <w:bottom w:val="none" w:sz="0" w:space="0" w:color="auto"/>
        <w:right w:val="none" w:sz="0" w:space="0" w:color="auto"/>
      </w:divBdr>
    </w:div>
    <w:div w:id="1733891426">
      <w:bodyDiv w:val="1"/>
      <w:marLeft w:val="0"/>
      <w:marRight w:val="0"/>
      <w:marTop w:val="0"/>
      <w:marBottom w:val="0"/>
      <w:divBdr>
        <w:top w:val="none" w:sz="0" w:space="0" w:color="auto"/>
        <w:left w:val="none" w:sz="0" w:space="0" w:color="auto"/>
        <w:bottom w:val="none" w:sz="0" w:space="0" w:color="auto"/>
        <w:right w:val="none" w:sz="0" w:space="0" w:color="auto"/>
      </w:divBdr>
    </w:div>
    <w:div w:id="1758794243">
      <w:bodyDiv w:val="1"/>
      <w:marLeft w:val="0"/>
      <w:marRight w:val="0"/>
      <w:marTop w:val="0"/>
      <w:marBottom w:val="0"/>
      <w:divBdr>
        <w:top w:val="none" w:sz="0" w:space="0" w:color="auto"/>
        <w:left w:val="none" w:sz="0" w:space="0" w:color="auto"/>
        <w:bottom w:val="none" w:sz="0" w:space="0" w:color="auto"/>
        <w:right w:val="none" w:sz="0" w:space="0" w:color="auto"/>
      </w:divBdr>
    </w:div>
    <w:div w:id="1765567899">
      <w:bodyDiv w:val="1"/>
      <w:marLeft w:val="0"/>
      <w:marRight w:val="0"/>
      <w:marTop w:val="0"/>
      <w:marBottom w:val="0"/>
      <w:divBdr>
        <w:top w:val="none" w:sz="0" w:space="0" w:color="auto"/>
        <w:left w:val="none" w:sz="0" w:space="0" w:color="auto"/>
        <w:bottom w:val="none" w:sz="0" w:space="0" w:color="auto"/>
        <w:right w:val="none" w:sz="0" w:space="0" w:color="auto"/>
      </w:divBdr>
    </w:div>
    <w:div w:id="1772776645">
      <w:bodyDiv w:val="1"/>
      <w:marLeft w:val="0"/>
      <w:marRight w:val="0"/>
      <w:marTop w:val="0"/>
      <w:marBottom w:val="0"/>
      <w:divBdr>
        <w:top w:val="none" w:sz="0" w:space="0" w:color="auto"/>
        <w:left w:val="none" w:sz="0" w:space="0" w:color="auto"/>
        <w:bottom w:val="none" w:sz="0" w:space="0" w:color="auto"/>
        <w:right w:val="none" w:sz="0" w:space="0" w:color="auto"/>
      </w:divBdr>
    </w:div>
    <w:div w:id="1781290686">
      <w:bodyDiv w:val="1"/>
      <w:marLeft w:val="0"/>
      <w:marRight w:val="0"/>
      <w:marTop w:val="0"/>
      <w:marBottom w:val="0"/>
      <w:divBdr>
        <w:top w:val="none" w:sz="0" w:space="0" w:color="auto"/>
        <w:left w:val="none" w:sz="0" w:space="0" w:color="auto"/>
        <w:bottom w:val="none" w:sz="0" w:space="0" w:color="auto"/>
        <w:right w:val="none" w:sz="0" w:space="0" w:color="auto"/>
      </w:divBdr>
      <w:divsChild>
        <w:div w:id="212891883">
          <w:marLeft w:val="0"/>
          <w:marRight w:val="0"/>
          <w:marTop w:val="0"/>
          <w:marBottom w:val="0"/>
          <w:divBdr>
            <w:top w:val="none" w:sz="0" w:space="0" w:color="auto"/>
            <w:left w:val="none" w:sz="0" w:space="0" w:color="auto"/>
            <w:bottom w:val="none" w:sz="0" w:space="0" w:color="auto"/>
            <w:right w:val="none" w:sz="0" w:space="0" w:color="auto"/>
          </w:divBdr>
          <w:divsChild>
            <w:div w:id="653484526">
              <w:marLeft w:val="0"/>
              <w:marRight w:val="0"/>
              <w:marTop w:val="0"/>
              <w:marBottom w:val="0"/>
              <w:divBdr>
                <w:top w:val="none" w:sz="0" w:space="0" w:color="auto"/>
                <w:left w:val="none" w:sz="0" w:space="0" w:color="auto"/>
                <w:bottom w:val="none" w:sz="0" w:space="0" w:color="auto"/>
                <w:right w:val="none" w:sz="0" w:space="0" w:color="auto"/>
              </w:divBdr>
              <w:divsChild>
                <w:div w:id="113209656">
                  <w:marLeft w:val="0"/>
                  <w:marRight w:val="0"/>
                  <w:marTop w:val="0"/>
                  <w:marBottom w:val="0"/>
                  <w:divBdr>
                    <w:top w:val="none" w:sz="0" w:space="0" w:color="auto"/>
                    <w:left w:val="none" w:sz="0" w:space="0" w:color="auto"/>
                    <w:bottom w:val="none" w:sz="0" w:space="0" w:color="auto"/>
                    <w:right w:val="none" w:sz="0" w:space="0" w:color="auto"/>
                  </w:divBdr>
                  <w:divsChild>
                    <w:div w:id="253366387">
                      <w:marLeft w:val="0"/>
                      <w:marRight w:val="0"/>
                      <w:marTop w:val="0"/>
                      <w:marBottom w:val="0"/>
                      <w:divBdr>
                        <w:top w:val="none" w:sz="0" w:space="0" w:color="auto"/>
                        <w:left w:val="none" w:sz="0" w:space="0" w:color="auto"/>
                        <w:bottom w:val="none" w:sz="0" w:space="0" w:color="auto"/>
                        <w:right w:val="none" w:sz="0" w:space="0" w:color="auto"/>
                      </w:divBdr>
                      <w:divsChild>
                        <w:div w:id="660357302">
                          <w:marLeft w:val="0"/>
                          <w:marRight w:val="0"/>
                          <w:marTop w:val="0"/>
                          <w:marBottom w:val="0"/>
                          <w:divBdr>
                            <w:top w:val="none" w:sz="0" w:space="0" w:color="auto"/>
                            <w:left w:val="none" w:sz="0" w:space="0" w:color="auto"/>
                            <w:bottom w:val="none" w:sz="0" w:space="0" w:color="auto"/>
                            <w:right w:val="none" w:sz="0" w:space="0" w:color="auto"/>
                          </w:divBdr>
                          <w:divsChild>
                            <w:div w:id="24465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987203">
      <w:bodyDiv w:val="1"/>
      <w:marLeft w:val="0"/>
      <w:marRight w:val="0"/>
      <w:marTop w:val="0"/>
      <w:marBottom w:val="0"/>
      <w:divBdr>
        <w:top w:val="none" w:sz="0" w:space="0" w:color="auto"/>
        <w:left w:val="none" w:sz="0" w:space="0" w:color="auto"/>
        <w:bottom w:val="none" w:sz="0" w:space="0" w:color="auto"/>
        <w:right w:val="none" w:sz="0" w:space="0" w:color="auto"/>
      </w:divBdr>
    </w:div>
    <w:div w:id="1798334171">
      <w:bodyDiv w:val="1"/>
      <w:marLeft w:val="0"/>
      <w:marRight w:val="0"/>
      <w:marTop w:val="0"/>
      <w:marBottom w:val="0"/>
      <w:divBdr>
        <w:top w:val="none" w:sz="0" w:space="0" w:color="auto"/>
        <w:left w:val="none" w:sz="0" w:space="0" w:color="auto"/>
        <w:bottom w:val="none" w:sz="0" w:space="0" w:color="auto"/>
        <w:right w:val="none" w:sz="0" w:space="0" w:color="auto"/>
      </w:divBdr>
    </w:div>
    <w:div w:id="1824423691">
      <w:bodyDiv w:val="1"/>
      <w:marLeft w:val="0"/>
      <w:marRight w:val="0"/>
      <w:marTop w:val="0"/>
      <w:marBottom w:val="0"/>
      <w:divBdr>
        <w:top w:val="none" w:sz="0" w:space="0" w:color="auto"/>
        <w:left w:val="none" w:sz="0" w:space="0" w:color="auto"/>
        <w:bottom w:val="none" w:sz="0" w:space="0" w:color="auto"/>
        <w:right w:val="none" w:sz="0" w:space="0" w:color="auto"/>
      </w:divBdr>
    </w:div>
    <w:div w:id="1839803040">
      <w:bodyDiv w:val="1"/>
      <w:marLeft w:val="0"/>
      <w:marRight w:val="0"/>
      <w:marTop w:val="0"/>
      <w:marBottom w:val="0"/>
      <w:divBdr>
        <w:top w:val="none" w:sz="0" w:space="0" w:color="auto"/>
        <w:left w:val="none" w:sz="0" w:space="0" w:color="auto"/>
        <w:bottom w:val="none" w:sz="0" w:space="0" w:color="auto"/>
        <w:right w:val="none" w:sz="0" w:space="0" w:color="auto"/>
      </w:divBdr>
    </w:div>
    <w:div w:id="1855412491">
      <w:bodyDiv w:val="1"/>
      <w:marLeft w:val="0"/>
      <w:marRight w:val="0"/>
      <w:marTop w:val="0"/>
      <w:marBottom w:val="0"/>
      <w:divBdr>
        <w:top w:val="none" w:sz="0" w:space="0" w:color="auto"/>
        <w:left w:val="none" w:sz="0" w:space="0" w:color="auto"/>
        <w:bottom w:val="none" w:sz="0" w:space="0" w:color="auto"/>
        <w:right w:val="none" w:sz="0" w:space="0" w:color="auto"/>
      </w:divBdr>
    </w:div>
    <w:div w:id="1855723901">
      <w:bodyDiv w:val="1"/>
      <w:marLeft w:val="0"/>
      <w:marRight w:val="0"/>
      <w:marTop w:val="0"/>
      <w:marBottom w:val="0"/>
      <w:divBdr>
        <w:top w:val="none" w:sz="0" w:space="0" w:color="auto"/>
        <w:left w:val="none" w:sz="0" w:space="0" w:color="auto"/>
        <w:bottom w:val="none" w:sz="0" w:space="0" w:color="auto"/>
        <w:right w:val="none" w:sz="0" w:space="0" w:color="auto"/>
      </w:divBdr>
    </w:div>
    <w:div w:id="1867982486">
      <w:bodyDiv w:val="1"/>
      <w:marLeft w:val="0"/>
      <w:marRight w:val="0"/>
      <w:marTop w:val="0"/>
      <w:marBottom w:val="0"/>
      <w:divBdr>
        <w:top w:val="none" w:sz="0" w:space="0" w:color="auto"/>
        <w:left w:val="none" w:sz="0" w:space="0" w:color="auto"/>
        <w:bottom w:val="none" w:sz="0" w:space="0" w:color="auto"/>
        <w:right w:val="none" w:sz="0" w:space="0" w:color="auto"/>
      </w:divBdr>
    </w:div>
    <w:div w:id="1877934314">
      <w:bodyDiv w:val="1"/>
      <w:marLeft w:val="0"/>
      <w:marRight w:val="0"/>
      <w:marTop w:val="0"/>
      <w:marBottom w:val="0"/>
      <w:divBdr>
        <w:top w:val="none" w:sz="0" w:space="0" w:color="auto"/>
        <w:left w:val="none" w:sz="0" w:space="0" w:color="auto"/>
        <w:bottom w:val="none" w:sz="0" w:space="0" w:color="auto"/>
        <w:right w:val="none" w:sz="0" w:space="0" w:color="auto"/>
      </w:divBdr>
    </w:div>
    <w:div w:id="1882858845">
      <w:bodyDiv w:val="1"/>
      <w:marLeft w:val="0"/>
      <w:marRight w:val="0"/>
      <w:marTop w:val="0"/>
      <w:marBottom w:val="0"/>
      <w:divBdr>
        <w:top w:val="none" w:sz="0" w:space="0" w:color="auto"/>
        <w:left w:val="none" w:sz="0" w:space="0" w:color="auto"/>
        <w:bottom w:val="none" w:sz="0" w:space="0" w:color="auto"/>
        <w:right w:val="none" w:sz="0" w:space="0" w:color="auto"/>
      </w:divBdr>
    </w:div>
    <w:div w:id="1887329801">
      <w:bodyDiv w:val="1"/>
      <w:marLeft w:val="0"/>
      <w:marRight w:val="0"/>
      <w:marTop w:val="0"/>
      <w:marBottom w:val="0"/>
      <w:divBdr>
        <w:top w:val="none" w:sz="0" w:space="0" w:color="auto"/>
        <w:left w:val="none" w:sz="0" w:space="0" w:color="auto"/>
        <w:bottom w:val="none" w:sz="0" w:space="0" w:color="auto"/>
        <w:right w:val="none" w:sz="0" w:space="0" w:color="auto"/>
      </w:divBdr>
    </w:div>
    <w:div w:id="1901362733">
      <w:bodyDiv w:val="1"/>
      <w:marLeft w:val="0"/>
      <w:marRight w:val="0"/>
      <w:marTop w:val="0"/>
      <w:marBottom w:val="0"/>
      <w:divBdr>
        <w:top w:val="none" w:sz="0" w:space="0" w:color="auto"/>
        <w:left w:val="none" w:sz="0" w:space="0" w:color="auto"/>
        <w:bottom w:val="none" w:sz="0" w:space="0" w:color="auto"/>
        <w:right w:val="none" w:sz="0" w:space="0" w:color="auto"/>
      </w:divBdr>
    </w:div>
    <w:div w:id="1903563416">
      <w:bodyDiv w:val="1"/>
      <w:marLeft w:val="0"/>
      <w:marRight w:val="0"/>
      <w:marTop w:val="0"/>
      <w:marBottom w:val="0"/>
      <w:divBdr>
        <w:top w:val="none" w:sz="0" w:space="0" w:color="auto"/>
        <w:left w:val="none" w:sz="0" w:space="0" w:color="auto"/>
        <w:bottom w:val="none" w:sz="0" w:space="0" w:color="auto"/>
        <w:right w:val="none" w:sz="0" w:space="0" w:color="auto"/>
      </w:divBdr>
    </w:div>
    <w:div w:id="1914464298">
      <w:bodyDiv w:val="1"/>
      <w:marLeft w:val="0"/>
      <w:marRight w:val="0"/>
      <w:marTop w:val="0"/>
      <w:marBottom w:val="0"/>
      <w:divBdr>
        <w:top w:val="none" w:sz="0" w:space="0" w:color="auto"/>
        <w:left w:val="none" w:sz="0" w:space="0" w:color="auto"/>
        <w:bottom w:val="none" w:sz="0" w:space="0" w:color="auto"/>
        <w:right w:val="none" w:sz="0" w:space="0" w:color="auto"/>
      </w:divBdr>
    </w:div>
    <w:div w:id="1932006193">
      <w:bodyDiv w:val="1"/>
      <w:marLeft w:val="0"/>
      <w:marRight w:val="0"/>
      <w:marTop w:val="0"/>
      <w:marBottom w:val="0"/>
      <w:divBdr>
        <w:top w:val="none" w:sz="0" w:space="0" w:color="auto"/>
        <w:left w:val="none" w:sz="0" w:space="0" w:color="auto"/>
        <w:bottom w:val="none" w:sz="0" w:space="0" w:color="auto"/>
        <w:right w:val="none" w:sz="0" w:space="0" w:color="auto"/>
      </w:divBdr>
    </w:div>
    <w:div w:id="1935163445">
      <w:bodyDiv w:val="1"/>
      <w:marLeft w:val="0"/>
      <w:marRight w:val="0"/>
      <w:marTop w:val="0"/>
      <w:marBottom w:val="0"/>
      <w:divBdr>
        <w:top w:val="none" w:sz="0" w:space="0" w:color="auto"/>
        <w:left w:val="none" w:sz="0" w:space="0" w:color="auto"/>
        <w:bottom w:val="none" w:sz="0" w:space="0" w:color="auto"/>
        <w:right w:val="none" w:sz="0" w:space="0" w:color="auto"/>
      </w:divBdr>
    </w:div>
    <w:div w:id="1939018301">
      <w:bodyDiv w:val="1"/>
      <w:marLeft w:val="0"/>
      <w:marRight w:val="0"/>
      <w:marTop w:val="0"/>
      <w:marBottom w:val="0"/>
      <w:divBdr>
        <w:top w:val="none" w:sz="0" w:space="0" w:color="auto"/>
        <w:left w:val="none" w:sz="0" w:space="0" w:color="auto"/>
        <w:bottom w:val="none" w:sz="0" w:space="0" w:color="auto"/>
        <w:right w:val="none" w:sz="0" w:space="0" w:color="auto"/>
      </w:divBdr>
    </w:div>
    <w:div w:id="1953853890">
      <w:bodyDiv w:val="1"/>
      <w:marLeft w:val="0"/>
      <w:marRight w:val="0"/>
      <w:marTop w:val="0"/>
      <w:marBottom w:val="0"/>
      <w:divBdr>
        <w:top w:val="none" w:sz="0" w:space="0" w:color="auto"/>
        <w:left w:val="none" w:sz="0" w:space="0" w:color="auto"/>
        <w:bottom w:val="none" w:sz="0" w:space="0" w:color="auto"/>
        <w:right w:val="none" w:sz="0" w:space="0" w:color="auto"/>
      </w:divBdr>
    </w:div>
    <w:div w:id="1955400900">
      <w:bodyDiv w:val="1"/>
      <w:marLeft w:val="0"/>
      <w:marRight w:val="0"/>
      <w:marTop w:val="0"/>
      <w:marBottom w:val="0"/>
      <w:divBdr>
        <w:top w:val="none" w:sz="0" w:space="0" w:color="auto"/>
        <w:left w:val="none" w:sz="0" w:space="0" w:color="auto"/>
        <w:bottom w:val="none" w:sz="0" w:space="0" w:color="auto"/>
        <w:right w:val="none" w:sz="0" w:space="0" w:color="auto"/>
      </w:divBdr>
    </w:div>
    <w:div w:id="1956709762">
      <w:bodyDiv w:val="1"/>
      <w:marLeft w:val="0"/>
      <w:marRight w:val="0"/>
      <w:marTop w:val="0"/>
      <w:marBottom w:val="0"/>
      <w:divBdr>
        <w:top w:val="none" w:sz="0" w:space="0" w:color="auto"/>
        <w:left w:val="none" w:sz="0" w:space="0" w:color="auto"/>
        <w:bottom w:val="none" w:sz="0" w:space="0" w:color="auto"/>
        <w:right w:val="none" w:sz="0" w:space="0" w:color="auto"/>
      </w:divBdr>
    </w:div>
    <w:div w:id="1959799350">
      <w:bodyDiv w:val="1"/>
      <w:marLeft w:val="0"/>
      <w:marRight w:val="0"/>
      <w:marTop w:val="0"/>
      <w:marBottom w:val="0"/>
      <w:divBdr>
        <w:top w:val="none" w:sz="0" w:space="0" w:color="auto"/>
        <w:left w:val="none" w:sz="0" w:space="0" w:color="auto"/>
        <w:bottom w:val="none" w:sz="0" w:space="0" w:color="auto"/>
        <w:right w:val="none" w:sz="0" w:space="0" w:color="auto"/>
      </w:divBdr>
    </w:div>
    <w:div w:id="1972396697">
      <w:bodyDiv w:val="1"/>
      <w:marLeft w:val="0"/>
      <w:marRight w:val="0"/>
      <w:marTop w:val="0"/>
      <w:marBottom w:val="0"/>
      <w:divBdr>
        <w:top w:val="none" w:sz="0" w:space="0" w:color="auto"/>
        <w:left w:val="none" w:sz="0" w:space="0" w:color="auto"/>
        <w:bottom w:val="none" w:sz="0" w:space="0" w:color="auto"/>
        <w:right w:val="none" w:sz="0" w:space="0" w:color="auto"/>
      </w:divBdr>
    </w:div>
    <w:div w:id="2002537646">
      <w:bodyDiv w:val="1"/>
      <w:marLeft w:val="0"/>
      <w:marRight w:val="0"/>
      <w:marTop w:val="0"/>
      <w:marBottom w:val="0"/>
      <w:divBdr>
        <w:top w:val="none" w:sz="0" w:space="0" w:color="auto"/>
        <w:left w:val="none" w:sz="0" w:space="0" w:color="auto"/>
        <w:bottom w:val="none" w:sz="0" w:space="0" w:color="auto"/>
        <w:right w:val="none" w:sz="0" w:space="0" w:color="auto"/>
      </w:divBdr>
    </w:div>
    <w:div w:id="2005012726">
      <w:bodyDiv w:val="1"/>
      <w:marLeft w:val="0"/>
      <w:marRight w:val="0"/>
      <w:marTop w:val="0"/>
      <w:marBottom w:val="0"/>
      <w:divBdr>
        <w:top w:val="none" w:sz="0" w:space="0" w:color="auto"/>
        <w:left w:val="none" w:sz="0" w:space="0" w:color="auto"/>
        <w:bottom w:val="none" w:sz="0" w:space="0" w:color="auto"/>
        <w:right w:val="none" w:sz="0" w:space="0" w:color="auto"/>
      </w:divBdr>
    </w:div>
    <w:div w:id="2043699530">
      <w:bodyDiv w:val="1"/>
      <w:marLeft w:val="0"/>
      <w:marRight w:val="0"/>
      <w:marTop w:val="0"/>
      <w:marBottom w:val="0"/>
      <w:divBdr>
        <w:top w:val="none" w:sz="0" w:space="0" w:color="auto"/>
        <w:left w:val="none" w:sz="0" w:space="0" w:color="auto"/>
        <w:bottom w:val="none" w:sz="0" w:space="0" w:color="auto"/>
        <w:right w:val="none" w:sz="0" w:space="0" w:color="auto"/>
      </w:divBdr>
    </w:div>
    <w:div w:id="2044400645">
      <w:bodyDiv w:val="1"/>
      <w:marLeft w:val="0"/>
      <w:marRight w:val="0"/>
      <w:marTop w:val="0"/>
      <w:marBottom w:val="0"/>
      <w:divBdr>
        <w:top w:val="none" w:sz="0" w:space="0" w:color="auto"/>
        <w:left w:val="none" w:sz="0" w:space="0" w:color="auto"/>
        <w:bottom w:val="none" w:sz="0" w:space="0" w:color="auto"/>
        <w:right w:val="none" w:sz="0" w:space="0" w:color="auto"/>
      </w:divBdr>
    </w:div>
    <w:div w:id="2049140200">
      <w:bodyDiv w:val="1"/>
      <w:marLeft w:val="0"/>
      <w:marRight w:val="0"/>
      <w:marTop w:val="0"/>
      <w:marBottom w:val="0"/>
      <w:divBdr>
        <w:top w:val="none" w:sz="0" w:space="0" w:color="auto"/>
        <w:left w:val="none" w:sz="0" w:space="0" w:color="auto"/>
        <w:bottom w:val="none" w:sz="0" w:space="0" w:color="auto"/>
        <w:right w:val="none" w:sz="0" w:space="0" w:color="auto"/>
      </w:divBdr>
    </w:div>
    <w:div w:id="2068215893">
      <w:bodyDiv w:val="1"/>
      <w:marLeft w:val="0"/>
      <w:marRight w:val="0"/>
      <w:marTop w:val="0"/>
      <w:marBottom w:val="0"/>
      <w:divBdr>
        <w:top w:val="none" w:sz="0" w:space="0" w:color="auto"/>
        <w:left w:val="none" w:sz="0" w:space="0" w:color="auto"/>
        <w:bottom w:val="none" w:sz="0" w:space="0" w:color="auto"/>
        <w:right w:val="none" w:sz="0" w:space="0" w:color="auto"/>
      </w:divBdr>
    </w:div>
    <w:div w:id="2076123372">
      <w:bodyDiv w:val="1"/>
      <w:marLeft w:val="0"/>
      <w:marRight w:val="0"/>
      <w:marTop w:val="0"/>
      <w:marBottom w:val="0"/>
      <w:divBdr>
        <w:top w:val="none" w:sz="0" w:space="0" w:color="auto"/>
        <w:left w:val="none" w:sz="0" w:space="0" w:color="auto"/>
        <w:bottom w:val="none" w:sz="0" w:space="0" w:color="auto"/>
        <w:right w:val="none" w:sz="0" w:space="0" w:color="auto"/>
      </w:divBdr>
      <w:divsChild>
        <w:div w:id="947157283">
          <w:marLeft w:val="0"/>
          <w:marRight w:val="0"/>
          <w:marTop w:val="0"/>
          <w:marBottom w:val="0"/>
          <w:divBdr>
            <w:top w:val="none" w:sz="0" w:space="0" w:color="auto"/>
            <w:left w:val="none" w:sz="0" w:space="0" w:color="auto"/>
            <w:bottom w:val="none" w:sz="0" w:space="0" w:color="auto"/>
            <w:right w:val="none" w:sz="0" w:space="0" w:color="auto"/>
          </w:divBdr>
        </w:div>
        <w:div w:id="1841770719">
          <w:marLeft w:val="0"/>
          <w:marRight w:val="0"/>
          <w:marTop w:val="0"/>
          <w:marBottom w:val="0"/>
          <w:divBdr>
            <w:top w:val="none" w:sz="0" w:space="0" w:color="auto"/>
            <w:left w:val="none" w:sz="0" w:space="0" w:color="auto"/>
            <w:bottom w:val="none" w:sz="0" w:space="0" w:color="auto"/>
            <w:right w:val="none" w:sz="0" w:space="0" w:color="auto"/>
          </w:divBdr>
        </w:div>
      </w:divsChild>
    </w:div>
    <w:div w:id="2080903605">
      <w:bodyDiv w:val="1"/>
      <w:marLeft w:val="0"/>
      <w:marRight w:val="0"/>
      <w:marTop w:val="0"/>
      <w:marBottom w:val="0"/>
      <w:divBdr>
        <w:top w:val="none" w:sz="0" w:space="0" w:color="auto"/>
        <w:left w:val="none" w:sz="0" w:space="0" w:color="auto"/>
        <w:bottom w:val="none" w:sz="0" w:space="0" w:color="auto"/>
        <w:right w:val="none" w:sz="0" w:space="0" w:color="auto"/>
      </w:divBdr>
    </w:div>
    <w:div w:id="2082485574">
      <w:bodyDiv w:val="1"/>
      <w:marLeft w:val="0"/>
      <w:marRight w:val="0"/>
      <w:marTop w:val="0"/>
      <w:marBottom w:val="0"/>
      <w:divBdr>
        <w:top w:val="none" w:sz="0" w:space="0" w:color="auto"/>
        <w:left w:val="none" w:sz="0" w:space="0" w:color="auto"/>
        <w:bottom w:val="none" w:sz="0" w:space="0" w:color="auto"/>
        <w:right w:val="none" w:sz="0" w:space="0" w:color="auto"/>
      </w:divBdr>
    </w:div>
    <w:div w:id="2087729989">
      <w:bodyDiv w:val="1"/>
      <w:marLeft w:val="0"/>
      <w:marRight w:val="0"/>
      <w:marTop w:val="0"/>
      <w:marBottom w:val="0"/>
      <w:divBdr>
        <w:top w:val="none" w:sz="0" w:space="0" w:color="auto"/>
        <w:left w:val="none" w:sz="0" w:space="0" w:color="auto"/>
        <w:bottom w:val="none" w:sz="0" w:space="0" w:color="auto"/>
        <w:right w:val="none" w:sz="0" w:space="0" w:color="auto"/>
      </w:divBdr>
    </w:div>
    <w:div w:id="2089113404">
      <w:bodyDiv w:val="1"/>
      <w:marLeft w:val="0"/>
      <w:marRight w:val="0"/>
      <w:marTop w:val="0"/>
      <w:marBottom w:val="0"/>
      <w:divBdr>
        <w:top w:val="none" w:sz="0" w:space="0" w:color="auto"/>
        <w:left w:val="none" w:sz="0" w:space="0" w:color="auto"/>
        <w:bottom w:val="none" w:sz="0" w:space="0" w:color="auto"/>
        <w:right w:val="none" w:sz="0" w:space="0" w:color="auto"/>
      </w:divBdr>
    </w:div>
    <w:div w:id="2098166831">
      <w:bodyDiv w:val="1"/>
      <w:marLeft w:val="0"/>
      <w:marRight w:val="0"/>
      <w:marTop w:val="0"/>
      <w:marBottom w:val="0"/>
      <w:divBdr>
        <w:top w:val="none" w:sz="0" w:space="0" w:color="auto"/>
        <w:left w:val="none" w:sz="0" w:space="0" w:color="auto"/>
        <w:bottom w:val="none" w:sz="0" w:space="0" w:color="auto"/>
        <w:right w:val="none" w:sz="0" w:space="0" w:color="auto"/>
      </w:divBdr>
    </w:div>
    <w:div w:id="2113503138">
      <w:bodyDiv w:val="1"/>
      <w:marLeft w:val="0"/>
      <w:marRight w:val="0"/>
      <w:marTop w:val="0"/>
      <w:marBottom w:val="0"/>
      <w:divBdr>
        <w:top w:val="none" w:sz="0" w:space="0" w:color="auto"/>
        <w:left w:val="none" w:sz="0" w:space="0" w:color="auto"/>
        <w:bottom w:val="none" w:sz="0" w:space="0" w:color="auto"/>
        <w:right w:val="none" w:sz="0" w:space="0" w:color="auto"/>
      </w:divBdr>
    </w:div>
    <w:div w:id="2119250601">
      <w:bodyDiv w:val="1"/>
      <w:marLeft w:val="0"/>
      <w:marRight w:val="0"/>
      <w:marTop w:val="0"/>
      <w:marBottom w:val="0"/>
      <w:divBdr>
        <w:top w:val="none" w:sz="0" w:space="0" w:color="auto"/>
        <w:left w:val="none" w:sz="0" w:space="0" w:color="auto"/>
        <w:bottom w:val="none" w:sz="0" w:space="0" w:color="auto"/>
        <w:right w:val="none" w:sz="0" w:space="0" w:color="auto"/>
      </w:divBdr>
    </w:div>
    <w:div w:id="2124808693">
      <w:bodyDiv w:val="1"/>
      <w:marLeft w:val="0"/>
      <w:marRight w:val="0"/>
      <w:marTop w:val="0"/>
      <w:marBottom w:val="0"/>
      <w:divBdr>
        <w:top w:val="none" w:sz="0" w:space="0" w:color="auto"/>
        <w:left w:val="none" w:sz="0" w:space="0" w:color="auto"/>
        <w:bottom w:val="none" w:sz="0" w:space="0" w:color="auto"/>
        <w:right w:val="none" w:sz="0" w:space="0" w:color="auto"/>
      </w:divBdr>
    </w:div>
    <w:div w:id="2131628855">
      <w:bodyDiv w:val="1"/>
      <w:marLeft w:val="0"/>
      <w:marRight w:val="0"/>
      <w:marTop w:val="0"/>
      <w:marBottom w:val="0"/>
      <w:divBdr>
        <w:top w:val="none" w:sz="0" w:space="0" w:color="auto"/>
        <w:left w:val="none" w:sz="0" w:space="0" w:color="auto"/>
        <w:bottom w:val="none" w:sz="0" w:space="0" w:color="auto"/>
        <w:right w:val="none" w:sz="0" w:space="0" w:color="auto"/>
      </w:divBdr>
      <w:divsChild>
        <w:div w:id="1346858615">
          <w:marLeft w:val="0"/>
          <w:marRight w:val="0"/>
          <w:marTop w:val="0"/>
          <w:marBottom w:val="0"/>
          <w:divBdr>
            <w:top w:val="none" w:sz="0" w:space="0" w:color="auto"/>
            <w:left w:val="none" w:sz="0" w:space="0" w:color="auto"/>
            <w:bottom w:val="none" w:sz="0" w:space="0" w:color="auto"/>
            <w:right w:val="none" w:sz="0" w:space="0" w:color="auto"/>
          </w:divBdr>
        </w:div>
        <w:div w:id="1456757511">
          <w:marLeft w:val="0"/>
          <w:marRight w:val="0"/>
          <w:marTop w:val="0"/>
          <w:marBottom w:val="0"/>
          <w:divBdr>
            <w:top w:val="none" w:sz="0" w:space="0" w:color="auto"/>
            <w:left w:val="none" w:sz="0" w:space="0" w:color="auto"/>
            <w:bottom w:val="none" w:sz="0" w:space="0" w:color="auto"/>
            <w:right w:val="none" w:sz="0" w:space="0" w:color="auto"/>
          </w:divBdr>
        </w:div>
      </w:divsChild>
    </w:div>
    <w:div w:id="2140027179">
      <w:bodyDiv w:val="1"/>
      <w:marLeft w:val="0"/>
      <w:marRight w:val="0"/>
      <w:marTop w:val="0"/>
      <w:marBottom w:val="0"/>
      <w:divBdr>
        <w:top w:val="none" w:sz="0" w:space="0" w:color="auto"/>
        <w:left w:val="none" w:sz="0" w:space="0" w:color="auto"/>
        <w:bottom w:val="none" w:sz="0" w:space="0" w:color="auto"/>
        <w:right w:val="none" w:sz="0" w:space="0" w:color="auto"/>
      </w:divBdr>
    </w:div>
    <w:div w:id="2143036401">
      <w:bodyDiv w:val="1"/>
      <w:marLeft w:val="0"/>
      <w:marRight w:val="0"/>
      <w:marTop w:val="0"/>
      <w:marBottom w:val="0"/>
      <w:divBdr>
        <w:top w:val="none" w:sz="0" w:space="0" w:color="auto"/>
        <w:left w:val="none" w:sz="0" w:space="0" w:color="auto"/>
        <w:bottom w:val="none" w:sz="0" w:space="0" w:color="auto"/>
        <w:right w:val="none" w:sz="0" w:space="0" w:color="auto"/>
      </w:divBdr>
    </w:div>
    <w:div w:id="2145271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asean.org/wp-content/uploads/2022/02/02-Final-_-Report-Blockchain-for-digital-government.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unctad.org/system/files/official-document/gds2016d3_en.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gleif.org/en/lei-data/global-lei-index/lei-statistic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gleif.org/en/lei-data/global-lei-index/lei-statistic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sciencedirect.com/science/article/pii/S266711152200024X"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www.eu-asean.eu/wp-content/uploads/2022/02/63371b_c07c932e824d43c5b4589754ffd80a89.pdf" TargetMode="External"/><Relationship Id="rId299" Type="http://schemas.openxmlformats.org/officeDocument/2006/relationships/hyperlink" Target="https://afcwp.asean.org/wp-content/uploads/2020/07/Annex-E.-ASEAN-Payments-Policy-Framework.pdf" TargetMode="External"/><Relationship Id="rId21" Type="http://schemas.openxmlformats.org/officeDocument/2006/relationships/hyperlink" Target="https://asean.org/book/asean-digital-masterplan-2025/" TargetMode="External"/><Relationship Id="rId63" Type="http://schemas.openxmlformats.org/officeDocument/2006/relationships/hyperlink" Target="https://www.mckinsey.com/spContent/digital_archipelago/index.html" TargetMode="External"/><Relationship Id="rId159" Type="http://schemas.openxmlformats.org/officeDocument/2006/relationships/hyperlink" Target="https://www.gleif.org/en/lei-solutions/featuring-the-lei/cross-border-payments" TargetMode="External"/><Relationship Id="rId170" Type="http://schemas.openxmlformats.org/officeDocument/2006/relationships/hyperlink" Target="https://fidoalliance.org/members/" TargetMode="External"/><Relationship Id="rId226" Type="http://schemas.openxmlformats.org/officeDocument/2006/relationships/hyperlink" Target="https://www.idc.com/getdoc.jsp?containerId=prAP49852022" TargetMode="External"/><Relationship Id="rId268" Type="http://schemas.openxmlformats.org/officeDocument/2006/relationships/hyperlink" Target="https://www.businesstimes.com.sg/international/asean/asean-blockchain-consortium-formed-drive-cross-border-collaboration" TargetMode="External"/><Relationship Id="rId32" Type="http://schemas.openxmlformats.org/officeDocument/2006/relationships/hyperlink" Target="https://asean.org/wp-content/uploads/2021/08/AECBP_2025r_FINAL.pdf" TargetMode="External"/><Relationship Id="rId74" Type="http://schemas.openxmlformats.org/officeDocument/2006/relationships/hyperlink" Target="https://gs1.eu/activities/last-mile-delivery/" TargetMode="External"/><Relationship Id="rId128" Type="http://schemas.openxmlformats.org/officeDocument/2006/relationships/hyperlink" Target="https://www.singaporestandardseshop.sg/Product/SSPdtDetail/d7aeb163-96d6-1c70-e302-39fc432119e0" TargetMode="External"/><Relationship Id="rId5" Type="http://schemas.openxmlformats.org/officeDocument/2006/relationships/hyperlink" Target="https://asean.org/wp-content/uploads/2021/09/ASEAN-Digital-Masterplan-EDITED.pdf" TargetMode="External"/><Relationship Id="rId181" Type="http://schemas.openxmlformats.org/officeDocument/2006/relationships/hyperlink" Target="https://aicasia.org/wp-content/uploads/2020/07/Asia-Internet-Coalition-AIC-Comments-on-the-Guide-to-Managing-Data-Intermediaries-DIs-under-the-Singapore-Personal-Data-Protection-Act-%E2%80%9CPDPA%E2%80%9D_29062020.pdf" TargetMode="External"/><Relationship Id="rId237" Type="http://schemas.openxmlformats.org/officeDocument/2006/relationships/hyperlink" Target="https://www.iso.org/standard/77607.html" TargetMode="External"/><Relationship Id="rId279" Type="http://schemas.openxmlformats.org/officeDocument/2006/relationships/hyperlink" Target="https://nvlpubs.nist.gov/nistpubs/Legacy/SP/nistspecialpublication500-292.pdf" TargetMode="External"/><Relationship Id="rId43" Type="http://schemas.openxmlformats.org/officeDocument/2006/relationships/hyperlink" Target="https://asean-au-dts.org/wp-content/uploads/2023/03/DTS_Australia-Singapore-Joint-Report.pdf" TargetMode="External"/><Relationship Id="rId139" Type="http://schemas.openxmlformats.org/officeDocument/2006/relationships/hyperlink" Target="https://www.bsp.gov.ph/SitePages/MediaAndResearch/MediaDisp.aspx?ItemId=7051" TargetMode="External"/><Relationship Id="rId290" Type="http://schemas.openxmlformats.org/officeDocument/2006/relationships/hyperlink" Target="https://asean.org/wp-content/uploads/2024/04/TOR_UBIN-Implementation-Roadmap_final-1.pdf" TargetMode="External"/><Relationship Id="rId304" Type="http://schemas.openxmlformats.org/officeDocument/2006/relationships/hyperlink" Target="https://asean.org/wp-content/uploads/2023/03/ASEAN-Guidelines-on-Consumer-Impact-E-COMMERCE_V2-1.pdf" TargetMode="External"/><Relationship Id="rId85" Type="http://schemas.openxmlformats.org/officeDocument/2006/relationships/hyperlink" Target="https://asean.org/our-communities/economic-community/asean-single-window/" TargetMode="External"/><Relationship Id="rId150" Type="http://schemas.openxmlformats.org/officeDocument/2006/relationships/hyperlink" Target="https://asean.org/wp-content/uploads/2022/02/01-ASEAN-Cybersecurity-Cooperation-Paper-2021-2025_final-23-0122.pdf" TargetMode="External"/><Relationship Id="rId192" Type="http://schemas.openxmlformats.org/officeDocument/2006/relationships/hyperlink" Target="https://downloads.ctfassets.net/corl1354p0t3/750MZKJ7tfh9NSwTdPviqG/9dec46e2d311f2f8b130c28600a55fba/CyberAsean_Report.pdf" TargetMode="External"/><Relationship Id="rId206" Type="http://schemas.openxmlformats.org/officeDocument/2006/relationships/hyperlink" Target="https://asean.org/wp-content/uploads/2022/11/Feasibility-Study-of-ASEAN-Trust-Mark-Scheme-Final-Report.pdf" TargetMode="External"/><Relationship Id="rId248" Type="http://schemas.openxmlformats.org/officeDocument/2006/relationships/hyperlink" Target="http://www.iso.org/committee/6794475/x/catalogue/p/1/u/1/w/0/d/0" TargetMode="External"/><Relationship Id="rId12" Type="http://schemas.openxmlformats.org/officeDocument/2006/relationships/hyperlink" Target="https://asean.org/book/asean-guide-on-ai-governance-and-ethics/" TargetMode="External"/><Relationship Id="rId108" Type="http://schemas.openxmlformats.org/officeDocument/2006/relationships/hyperlink" Target="https://unece.org/sites/default/files/2023-09/WhitePaper_Transfer-MLETR.pdf" TargetMode="External"/><Relationship Id="rId54" Type="http://schemas.openxmlformats.org/officeDocument/2006/relationships/hyperlink" Target="https://www.oecd.org/en/publications/of-bytes-and-trade-quantifying-the-impact-of-digitalisation-on-trade_11889f2a-en.html" TargetMode="External"/><Relationship Id="rId96" Type="http://schemas.openxmlformats.org/officeDocument/2006/relationships/hyperlink" Target="https://eur-lex.europa.eu/legal-content/EN/TXT/?uri=CELEX%3A02014R0910-20240520" TargetMode="External"/><Relationship Id="rId161" Type="http://schemas.openxmlformats.org/officeDocument/2006/relationships/hyperlink" Target="https://www.gleif.org/en/lei-solutions/featuring-the-lei/cross-border-payments" TargetMode="External"/><Relationship Id="rId217" Type="http://schemas.openxmlformats.org/officeDocument/2006/relationships/hyperlink" Target="https://goingdigital.oecd.org/data/notes/No21_ToolkitNote_PrivacyDataInteroperability.pdf" TargetMode="External"/><Relationship Id="rId259" Type="http://schemas.openxmlformats.org/officeDocument/2006/relationships/hyperlink" Target="ISO%2023257:2022%20Blockchain%20v&#224;%20T&#7915;%20v&#7921;ng%20c&#244;ng%20ngh&#7879;%20&#8212;%20Ki&#7871;n%20tr&#250;c%20tham%20kh&#7843;o" TargetMode="External"/><Relationship Id="rId23" Type="http://schemas.openxmlformats.org/officeDocument/2006/relationships/hyperlink" Target="https://asean.org/wp-content/uploads/2021/12/DTSCWG-Infographic-final.pdf" TargetMode="External"/><Relationship Id="rId119" Type="http://schemas.openxmlformats.org/officeDocument/2006/relationships/hyperlink" Target="https://www.gleif.org/en/lei-solutions/featuring-the-lei/cross-border-payments" TargetMode="External"/><Relationship Id="rId270" Type="http://schemas.openxmlformats.org/officeDocument/2006/relationships/hyperlink" Target="https://digital-strategy.ec.europa.eu/en/policies/blockchain-strategy" TargetMode="External"/><Relationship Id="rId44" Type="http://schemas.openxmlformats.org/officeDocument/2006/relationships/hyperlink" Target="https://www.apec.org/docs/default-source/publications/2023/3/economic-impact-of-adopting-digital-trade-rules-evidence-from-apec-member-economies/223_cti_economic-impact-of-adopting-digital-trade-rules.pdf" TargetMode="External"/><Relationship Id="rId65" Type="http://schemas.openxmlformats.org/officeDocument/2006/relationships/hyperlink" Target="https://ycpsolidiance.com/white-paper/logistics-last-mile-southeast-asia" TargetMode="External"/><Relationship Id="rId86" Type="http://schemas.openxmlformats.org/officeDocument/2006/relationships/hyperlink" Target="https://wiki.datamodel.wcoomd.org/en/technical-guide/building-blocks" TargetMode="External"/><Relationship Id="rId130" Type="http://schemas.openxmlformats.org/officeDocument/2006/relationships/hyperlink" Target="https://www.thejakartapost.com/news/2019/05/27/bank-indonesia-launches-national-standard-qr-code.html" TargetMode="External"/><Relationship Id="rId151" Type="http://schemas.openxmlformats.org/officeDocument/2006/relationships/hyperlink" Target="https://asean.org/book/asean-digital-masterplan-2025/" TargetMode="External"/><Relationship Id="rId172" Type="http://schemas.openxmlformats.org/officeDocument/2006/relationships/hyperlink" Target="https://engagemedia.org/wp-content/uploads/2023/07/Report-on-the-State-of-Digital-Identification-in-South-and-Southeast-Asia-2023.pdf" TargetMode="External"/><Relationship Id="rId193" Type="http://schemas.openxmlformats.org/officeDocument/2006/relationships/hyperlink" Target="https://asean.org/wp-content/uploads/2022/02/01-ASEAN-Cybersecurity-Cooperation-Paper-2021-2025_final-23-0122.pdf" TargetMode="External"/><Relationship Id="rId207" Type="http://schemas.openxmlformats.org/officeDocument/2006/relationships/hyperlink" Target="https://aseanconsumer.org/file/post_image/2020-02-26%20ASEAN%20COC%20(fin).pdf" TargetMode="External"/><Relationship Id="rId228" Type="http://schemas.openxmlformats.org/officeDocument/2006/relationships/hyperlink" Target="https://asean.org/wp-content/uploads/2022/02/02-Final-_-Report-Blockchain-for-digital-government.pdf" TargetMode="External"/><Relationship Id="rId249" Type="http://schemas.openxmlformats.org/officeDocument/2006/relationships/hyperlink" Target="https://aiverifyfoundation.sg/what-is-ai-verify/" TargetMode="External"/><Relationship Id="rId13" Type="http://schemas.openxmlformats.org/officeDocument/2006/relationships/hyperlink" Target="https://www.idc.com/getdoc.jsp?containerId=prAP49852022" TargetMode="External"/><Relationship Id="rId109" Type="http://schemas.openxmlformats.org/officeDocument/2006/relationships/hyperlink" Target="https://www.imda.gov.sg/-/media/imda/files/industry-development/infrastructure/technology/peppol-factsheet--website-final.pdf" TargetMode="External"/><Relationship Id="rId260" Type="http://schemas.openxmlformats.org/officeDocument/2006/relationships/hyperlink" Target="https://www.iso.org/standard/82098.html" TargetMode="External"/><Relationship Id="rId281" Type="http://schemas.openxmlformats.org/officeDocument/2006/relationships/hyperlink" Target="https://www.iso.org/committee/45306.html" TargetMode="External"/><Relationship Id="rId34" Type="http://schemas.openxmlformats.org/officeDocument/2006/relationships/hyperlink" Target="https://asean.org/wp-content/uploads/2017/09/ASEAN-Guidelines-on-Standards-Technical-Regulations-and-Conformity-Assessment-Procedures.pdf" TargetMode="External"/><Relationship Id="rId55" Type="http://schemas.openxmlformats.org/officeDocument/2006/relationships/hyperlink" Target="https://www.sciencedirect.com/science/article/abs/pii/S0305750X11001434" TargetMode="External"/><Relationship Id="rId76" Type="http://schemas.openxmlformats.org/officeDocument/2006/relationships/hyperlink" Target="https://www.gs1.org/sites/default/files/04_-_last_mile_delivery_standardisation_101017_wct.pdf" TargetMode="External"/><Relationship Id="rId97" Type="http://schemas.openxmlformats.org/officeDocument/2006/relationships/hyperlink" Target="https://x9.org/wp-content/uploads/2019/11/X9-TAG-for-ISO-TC-321-FINAL.pdf" TargetMode="External"/><Relationship Id="rId120" Type="http://schemas.openxmlformats.org/officeDocument/2006/relationships/hyperlink" Target="https://www.swift.com/standards/data-standards/iban-international-bank-account-number" TargetMode="External"/><Relationship Id="rId141" Type="http://schemas.openxmlformats.org/officeDocument/2006/relationships/hyperlink" Target="https://fulcrum.sg/strengthening-cyber-resilience-in-southeast-asia/" TargetMode="External"/><Relationship Id="rId7" Type="http://schemas.openxmlformats.org/officeDocument/2006/relationships/hyperlink" Target="https://www.brookings.edu/articles/cybersecurity-and-digital-trade-getting-it-right/" TargetMode="External"/><Relationship Id="rId162" Type="http://schemas.openxmlformats.org/officeDocument/2006/relationships/hyperlink" Target="https://thedocs.worldbank.org/en/doc/579151515518705630-0190022018/original/ID4DTechnicalStandardsforDigitalIdentity.pdf" TargetMode="External"/><Relationship Id="rId183" Type="http://schemas.openxmlformats.org/officeDocument/2006/relationships/hyperlink" Target="https://resourcecentre.asean.org/Book_Detail/?ID=2760" TargetMode="External"/><Relationship Id="rId218" Type="http://schemas.openxmlformats.org/officeDocument/2006/relationships/hyperlink" Target="https://www.imda.gov.sg/how-we-can-help/cross-border-privacy-rules-certification" TargetMode="External"/><Relationship Id="rId239" Type="http://schemas.openxmlformats.org/officeDocument/2006/relationships/hyperlink" Target="http://www.iso.org/committee/6794475/x/catalogue" TargetMode="External"/><Relationship Id="rId250" Type="http://schemas.openxmlformats.org/officeDocument/2006/relationships/hyperlink" Target="https://www.imda.gov.sg/resources/press-releases-factsheets-and-speeches/press-releases/2023/nist-imda-joint-mapping-exercise" TargetMode="External"/><Relationship Id="rId271" Type="http://schemas.openxmlformats.org/officeDocument/2006/relationships/hyperlink" Target="https://digital-strategy.ec.europa.eu/en/policies/blockchain-strategy" TargetMode="External"/><Relationship Id="rId292" Type="http://schemas.openxmlformats.org/officeDocument/2006/relationships/hyperlink" Target="https://www.iso.org/obp/ui/en/" TargetMode="External"/><Relationship Id="rId306" Type="http://schemas.openxmlformats.org/officeDocument/2006/relationships/hyperlink" Target="https://asean.org/book/asean-guidelines-on-online-dispute-resolution-odr/" TargetMode="External"/><Relationship Id="rId24" Type="http://schemas.openxmlformats.org/officeDocument/2006/relationships/hyperlink" Target="https://asean.org/book/asean-digital-masterplan-2025/" TargetMode="External"/><Relationship Id="rId45" Type="http://schemas.openxmlformats.org/officeDocument/2006/relationships/hyperlink" Target="https://www.unescap.org/sites/default/d8files/Part%20II_Chapter%20V_Estimating%20the%20benefits%20of%20cross-border%20paperless%20trade_0.pdf" TargetMode="External"/><Relationship Id="rId66" Type="http://schemas.openxmlformats.org/officeDocument/2006/relationships/hyperlink" Target="https://ycpsolidiance.com/white-paper/logistics-last-mile-southeast-asia" TargetMode="External"/><Relationship Id="rId87" Type="http://schemas.openxmlformats.org/officeDocument/2006/relationships/hyperlink" Target="https://iccwbo.org/news-publications/policies-reports/standards-toolkit-for-cross-border-paperless-trade/" TargetMode="External"/><Relationship Id="rId110" Type="http://schemas.openxmlformats.org/officeDocument/2006/relationships/hyperlink" Target="https://unece.org/fileadmin/DAM/cefact/GuidanceMaterials/ExecutiveGuides/eInvoicing-ExecGuide_Eng.pdf" TargetMode="External"/><Relationship Id="rId131" Type="http://schemas.openxmlformats.org/officeDocument/2006/relationships/hyperlink" Target="https://www.linkedin.com/pulse/tap-future-exploring-apple-pay-google-indonesias-favian-d-a--wdolc" TargetMode="External"/><Relationship Id="rId152" Type="http://schemas.openxmlformats.org/officeDocument/2006/relationships/hyperlink" Target="https://asean.org/wp-content/uploads/2012/05/6B-ASEAN-Framework-on-Digital-Data-Governance_Endorsedv1.pdf" TargetMode="External"/><Relationship Id="rId173" Type="http://schemas.openxmlformats.org/officeDocument/2006/relationships/hyperlink" Target="https://www.visa.co.th/dam/VCOM/regional/ap/documents/visa-cpa-report-smt-2022.pdf" TargetMode="External"/><Relationship Id="rId194" Type="http://schemas.openxmlformats.org/officeDocument/2006/relationships/hyperlink" Target="https://www.iso.org/standard/84834.html" TargetMode="External"/><Relationship Id="rId208" Type="http://schemas.openxmlformats.org/officeDocument/2006/relationships/hyperlink" Target="https://aciperspectives.com/2024/04/17/aseans-fragmenting-data-regulatory-framework-whats-the-way-forward/" TargetMode="External"/><Relationship Id="rId229" Type="http://schemas.openxmlformats.org/officeDocument/2006/relationships/hyperlink" Target="https://asean.org/wp-content/uploads/2015/12/Edited-ICT-3.pdf" TargetMode="External"/><Relationship Id="rId240" Type="http://schemas.openxmlformats.org/officeDocument/2006/relationships/hyperlink" Target="http://www.iso.org/committee/6794475/x/catalogue/p/0/u/1/w/0/d/0" TargetMode="External"/><Relationship Id="rId261" Type="http://schemas.openxmlformats.org/officeDocument/2006/relationships/hyperlink" Target="https://standards.ieee.org/ieee/3205/10237/" TargetMode="External"/><Relationship Id="rId14" Type="http://schemas.openxmlformats.org/officeDocument/2006/relationships/hyperlink" Target="https://www.iso.org/committee/6266604.html?view=participation" TargetMode="External"/><Relationship Id="rId35" Type="http://schemas.openxmlformats.org/officeDocument/2006/relationships/hyperlink" Target="https://asean.org/wp-content/uploads/images/2015/July/ASEAN_Guidelines_for_Accreditation_and_Conformity_Assessment/ASEAN_Guidelines_for_Accreditation_and_Conformity_Final.pdf" TargetMode="External"/><Relationship Id="rId56" Type="http://schemas.openxmlformats.org/officeDocument/2006/relationships/hyperlink" Target="https://asean.org/our-communities/economic-community/asean-single-window/" TargetMode="External"/><Relationship Id="rId77" Type="http://schemas.openxmlformats.org/officeDocument/2006/relationships/hyperlink" Target="https://ec.europa.eu/programmes/erasmus-plus/project-result-content/c8fc35d1-3645-4318-b606-58488688cb99/LAST_MILE_IO4_Regulatory_Recommendations_Report_EN.pdf" TargetMode="External"/><Relationship Id="rId100" Type="http://schemas.openxmlformats.org/officeDocument/2006/relationships/hyperlink" Target="https://asean.org/asean-defa-study-projects-digital-economy-leap-to-us2tn-by-2030/" TargetMode="External"/><Relationship Id="rId282" Type="http://schemas.openxmlformats.org/officeDocument/2006/relationships/hyperlink" Target="https://www.iso.org/committee/45306.html" TargetMode="External"/><Relationship Id="rId8" Type="http://schemas.openxmlformats.org/officeDocument/2006/relationships/hyperlink" Target="https://www.imda.gov.sg/-/media/imda/files/regulations-and-licensing/licensing/ict-standards-and-quality-of-service/industry-committees-and-working-groups/it-standards-committee/singapore-it-standards.pdf" TargetMode="External"/><Relationship Id="rId98" Type="http://schemas.openxmlformats.org/officeDocument/2006/relationships/hyperlink" Target="https://www.weforum.org/agenda/2023/11/asean-instant-cross-border-payments-paynow-promptpay/" TargetMode="External"/><Relationship Id="rId121" Type="http://schemas.openxmlformats.org/officeDocument/2006/relationships/hyperlink" Target="https://www.gleif.org/en/lei-solutions/featuring-the-lei/cross-border-payments" TargetMode="External"/><Relationship Id="rId142" Type="http://schemas.openxmlformats.org/officeDocument/2006/relationships/hyperlink" Target="https://www.cyfirma.com/research/singapore-and-southeast-asia-threat-landscape/" TargetMode="External"/><Relationship Id="rId163" Type="http://schemas.openxmlformats.org/officeDocument/2006/relationships/hyperlink" Target="https://www.iso.org/standard/75302.html" TargetMode="External"/><Relationship Id="rId184" Type="http://schemas.openxmlformats.org/officeDocument/2006/relationships/hyperlink" Target="https://nvlpubs.nist.gov/nistpubs/CSWP/NIST.CSWP.29.pdf" TargetMode="External"/><Relationship Id="rId219" Type="http://schemas.openxmlformats.org/officeDocument/2006/relationships/hyperlink" Target="https://www.pdpc.gov.sg/the-distinction-between-organisations-and-data-intermediaries-and-why-it-matters" TargetMode="External"/><Relationship Id="rId230" Type="http://schemas.openxmlformats.org/officeDocument/2006/relationships/hyperlink" Target="https://asean.org/wp-content/uploads/images/2015/November/ICT/15b%20--%20AIM%202020_Publication_Final.pdf" TargetMode="External"/><Relationship Id="rId251" Type="http://schemas.openxmlformats.org/officeDocument/2006/relationships/hyperlink" Target="https://aiverifyfoundation.sg/resources/" TargetMode="External"/><Relationship Id="rId25" Type="http://schemas.openxmlformats.org/officeDocument/2006/relationships/hyperlink" Target="https://asean.org/book/asean-digital-masterplan-2025/" TargetMode="External"/><Relationship Id="rId46" Type="http://schemas.openxmlformats.org/officeDocument/2006/relationships/hyperlink" Target="https://asean-au-dts.org/importance-of-international-standards/" TargetMode="External"/><Relationship Id="rId67" Type="http://schemas.openxmlformats.org/officeDocument/2006/relationships/hyperlink" Target="https://www.aseanbriefing.com/news/wp-content/uploads/2023/10/ASEAN_Indonesia_Master-Plan-Acceleration-and-Expansion-of-Indonesia-Economic-Development-2011-2025.pdf" TargetMode="External"/><Relationship Id="rId272" Type="http://schemas.openxmlformats.org/officeDocument/2006/relationships/hyperlink" Target="https://digital-finance-platform.ec.europa.eu/cross-border-services/ebsi" TargetMode="External"/><Relationship Id="rId293" Type="http://schemas.openxmlformats.org/officeDocument/2006/relationships/hyperlink" Target="https://asean.org/book/asean-digital-masterplan-2025/" TargetMode="External"/><Relationship Id="rId307" Type="http://schemas.openxmlformats.org/officeDocument/2006/relationships/hyperlink" Target="https://asean.org/wp-content/uploads/2012/05/10-ASEAN-Framework-on-PDP.pdf" TargetMode="External"/><Relationship Id="rId88" Type="http://schemas.openxmlformats.org/officeDocument/2006/relationships/hyperlink" Target="https://iccwbo.org/news-publications/policies-reports/standards-toolkit-for-cross-border-paperless-trade/" TargetMode="External"/><Relationship Id="rId111" Type="http://schemas.openxmlformats.org/officeDocument/2006/relationships/hyperlink" Target="https://peppol.eu/what-is-peppol/peppol-country-profiles/singapore-country-profile" TargetMode="External"/><Relationship Id="rId132" Type="http://schemas.openxmlformats.org/officeDocument/2006/relationships/hyperlink" Target="https://ieeexplore.ieee.org/document/5947888" TargetMode="External"/><Relationship Id="rId153" Type="http://schemas.openxmlformats.org/officeDocument/2006/relationships/hyperlink" Target="https://www.usasean.org/article/digital-identity-asean" TargetMode="External"/><Relationship Id="rId174" Type="http://schemas.openxmlformats.org/officeDocument/2006/relationships/hyperlink" Target="https://asean.org/wp-content/uploads/2021/09/ASEAN-Digital-Masterplan-EDITED.pdf" TargetMode="External"/><Relationship Id="rId195" Type="http://schemas.openxmlformats.org/officeDocument/2006/relationships/hyperlink" Target="https://asean.org/book/asean-guidelines-on-online-dispute-resolution-odr/" TargetMode="External"/><Relationship Id="rId209" Type="http://schemas.openxmlformats.org/officeDocument/2006/relationships/hyperlink" Target="https://aciperspectives.com/2024/04/17/aseans-fragmenting-data-regulatory-framework-whats-the-way-forward/" TargetMode="External"/><Relationship Id="rId220" Type="http://schemas.openxmlformats.org/officeDocument/2006/relationships/hyperlink" Target="https://asean.org/wp-content/uploads/2021/08/Implementing-Guidelines-for-ASEAN-Data-Management-Framework-and-Cross-Border-Data-Flows.pdf" TargetMode="External"/><Relationship Id="rId241" Type="http://schemas.openxmlformats.org/officeDocument/2006/relationships/hyperlink" Target="https://www.iso.org/standard/81230.html" TargetMode="External"/><Relationship Id="rId15" Type="http://schemas.openxmlformats.org/officeDocument/2006/relationships/hyperlink" Target="https://insights.sei.cmu.edu/documents/2235/2012_004_001_28143.pdf" TargetMode="External"/><Relationship Id="rId36" Type="http://schemas.openxmlformats.org/officeDocument/2006/relationships/hyperlink" Target="https://asean.org/wp-content/uploads/2021/10/Guidelines-for-the-Development-of-MRAs-Second-Edition-September-2018.pdf" TargetMode="External"/><Relationship Id="rId57" Type="http://schemas.openxmlformats.org/officeDocument/2006/relationships/hyperlink" Target="https://asean.org/wp-content/uploads/2022/03/Work-Plan-E-commerce-Agreement_endorsed_logo.pdf" TargetMode="External"/><Relationship Id="rId262" Type="http://schemas.openxmlformats.org/officeDocument/2006/relationships/hyperlink" Target="https://www.gs1.org/node/4261" TargetMode="External"/><Relationship Id="rId283" Type="http://schemas.openxmlformats.org/officeDocument/2006/relationships/hyperlink" Target="https://www.malaysia.gov.my/portal/content/31183" TargetMode="External"/><Relationship Id="rId78" Type="http://schemas.openxmlformats.org/officeDocument/2006/relationships/hyperlink" Target="https://ec.europa.eu/programmes/erasmus-plus/project-result-content/c8fc35d1-3645-4318-b606-58488688cb99/LAST_MILE_IO4_Regulatory_Recommendations_Report_EN.pdf" TargetMode="External"/><Relationship Id="rId99" Type="http://schemas.openxmlformats.org/officeDocument/2006/relationships/hyperlink" Target="https://asean.org/asean-defa-study-projects-digital-economy-leap-to-us2tn-by-2030/" TargetMode="External"/><Relationship Id="rId101" Type="http://schemas.openxmlformats.org/officeDocument/2006/relationships/hyperlink" Target="https://asean.org/wp-content/uploads/2021/12/DTSCWG-Infographic-final.pdf" TargetMode="External"/><Relationship Id="rId122" Type="http://schemas.openxmlformats.org/officeDocument/2006/relationships/hyperlink" Target="https://asean.org/wp-content/uploads/2021/09/ADII-Report-2021.pdf" TargetMode="External"/><Relationship Id="rId143" Type="http://schemas.openxmlformats.org/officeDocument/2006/relationships/hyperlink" Target="https://www.usasean.org/article/digital-identity-asean" TargetMode="External"/><Relationship Id="rId164" Type="http://schemas.openxmlformats.org/officeDocument/2006/relationships/hyperlink" Target="https://www.dfat.gov.au/sites/default/files/australia-singapore-digital-trade-standards-research-report.pdf" TargetMode="External"/><Relationship Id="rId185" Type="http://schemas.openxmlformats.org/officeDocument/2006/relationships/hyperlink" Target="https://csrc.nist.gov/projects/risk-management" TargetMode="External"/><Relationship Id="rId9" Type="http://schemas.openxmlformats.org/officeDocument/2006/relationships/hyperlink" Target="https://downloads.ctfassets.net/corl1354p0t3/750MZKJ7tfh9NSwTdPviqG/9dec46e2d311f2f8b130c28600a55fba/CyberAsean_Report.pdf" TargetMode="External"/><Relationship Id="rId210" Type="http://schemas.openxmlformats.org/officeDocument/2006/relationships/hyperlink" Target="https://www.rsis.edu.sg/rsis-publication/rsis/global-data-governance-asean-pathways-to-regional-and-international-leadership/" TargetMode="External"/><Relationship Id="rId26" Type="http://schemas.openxmlformats.org/officeDocument/2006/relationships/hyperlink" Target="https://www.wto.org/english/tratop_e/tbt_e/tbt_info_e.htm" TargetMode="External"/><Relationship Id="rId231" Type="http://schemas.openxmlformats.org/officeDocument/2006/relationships/hyperlink" Target="https://digital-strategy.ec.europa.eu/en/policies/blockchain-standards" TargetMode="External"/><Relationship Id="rId252" Type="http://schemas.openxmlformats.org/officeDocument/2006/relationships/hyperlink" Target="https://asean.org/book/asean-guide-on-ai-governance-and-ethics/" TargetMode="External"/><Relationship Id="rId273" Type="http://schemas.openxmlformats.org/officeDocument/2006/relationships/hyperlink" Target="https://insights.sei.cmu.edu/documents/2235/2012_004_001_28143.pdf" TargetMode="External"/><Relationship Id="rId294" Type="http://schemas.openxmlformats.org/officeDocument/2006/relationships/hyperlink" Target="https://asean.org/wp-content/uploads/images/2015/November/ICT/15b%20--%20AIM%202020_Publication_Final.pdf" TargetMode="External"/><Relationship Id="rId308" Type="http://schemas.openxmlformats.org/officeDocument/2006/relationships/hyperlink" Target="https://asean.org/wp-content/uploads/2021/08/ASEAN-Data-Management-Framework.pdf" TargetMode="External"/><Relationship Id="rId47" Type="http://schemas.openxmlformats.org/officeDocument/2006/relationships/hyperlink" Target="https://www.unilu.ch/en/faculties/faculty-of-law/professorships/burri-mira/research/taped/" TargetMode="External"/><Relationship Id="rId68" Type="http://schemas.openxmlformats.org/officeDocument/2006/relationships/hyperlink" Target="https://aws.amazon.com/blogs/supply-chain/aws-last-mile-solution-for-faster-delivery-lower-costs-and-a-better-customer-experience/" TargetMode="External"/><Relationship Id="rId89" Type="http://schemas.openxmlformats.org/officeDocument/2006/relationships/hyperlink" Target="https://asw.asean.org/" TargetMode="External"/><Relationship Id="rId112" Type="http://schemas.openxmlformats.org/officeDocument/2006/relationships/hyperlink" Target="https://mdec.my/national-einvoicing" TargetMode="External"/><Relationship Id="rId133" Type="http://schemas.openxmlformats.org/officeDocument/2006/relationships/hyperlink" Target="https://english.luatvietnam.vn/legal-updates/application-of-qr-codes-in-receiving-and-handling-administrative-procedures-892-93763-article.html" TargetMode="External"/><Relationship Id="rId154" Type="http://schemas.openxmlformats.org/officeDocument/2006/relationships/hyperlink" Target="https://data.gsmaintelligence.com/api-web/v2/research-file%20download?id=30933435&amp;file=Digital%20identities%20advancing%20digital%20societies%20in%20Asia%20Pacific.pdf" TargetMode="External"/><Relationship Id="rId175" Type="http://schemas.openxmlformats.org/officeDocument/2006/relationships/hyperlink" Target="https://thailand.go.th/issue-focus-detail/001_05_005-2" TargetMode="External"/><Relationship Id="rId196" Type="http://schemas.openxmlformats.org/officeDocument/2006/relationships/hyperlink" Target="https://www.mofa.go.jp/mofaj/files/100251122.pdf" TargetMode="External"/><Relationship Id="rId200" Type="http://schemas.openxmlformats.org/officeDocument/2006/relationships/hyperlink" Target="https://downloads.ctfassets.net/corl1354p0t3/750MZKJ7tfh9NSwTdPviqG/9dec46e2d311f2f8b130c28600a55fba/CyberAsean_Report.pdf" TargetMode="External"/><Relationship Id="rId16" Type="http://schemas.openxmlformats.org/officeDocument/2006/relationships/hyperlink" Target="https://impact.economist.com/perspectives/sites/default/files/eiu_vmware_up_in_the_air_infographic.pdf" TargetMode="External"/><Relationship Id="rId221" Type="http://schemas.openxmlformats.org/officeDocument/2006/relationships/hyperlink" Target="https://asean.org/wp-content/uploads/2021/08/Implementing-Guidelines-for-ASEAN-Data-Management-Framework-and-Cross-Border-Data-Flows.pdf" TargetMode="External"/><Relationship Id="rId242" Type="http://schemas.openxmlformats.org/officeDocument/2006/relationships/hyperlink" Target="https://www.nist.gov/itl/ai-risk-management-framework/ai-rmf-development" TargetMode="External"/><Relationship Id="rId263" Type="http://schemas.openxmlformats.org/officeDocument/2006/relationships/hyperlink" Target="https://www.iso.org/committee/6266604.html?view=participation" TargetMode="External"/><Relationship Id="rId284" Type="http://schemas.openxmlformats.org/officeDocument/2006/relationships/hyperlink" Target="https://asean.org/book/asean-digital-masterplan-2025/" TargetMode="External"/><Relationship Id="rId37" Type="http://schemas.openxmlformats.org/officeDocument/2006/relationships/hyperlink" Target="https://www.interamericancoalition-medtech.org/regulatory-convergence/wp-content/uploads/sites/4/2021/06/iso_iec_guide_21_regional_national_adoption_international_standards_part_1.pdf" TargetMode="External"/><Relationship Id="rId58" Type="http://schemas.openxmlformats.org/officeDocument/2006/relationships/hyperlink" Target="https://asean.org/wp-content/uploads/2022/03/Work-Plan-E-commerce-Agreement_endorsed_logo.pdf" TargetMode="External"/><Relationship Id="rId79" Type="http://schemas.openxmlformats.org/officeDocument/2006/relationships/hyperlink" Target="https://asean.org/wp-content/uploads/2020/12/ASEAN-Agreement-on-Customs-2.pdf" TargetMode="External"/><Relationship Id="rId102" Type="http://schemas.openxmlformats.org/officeDocument/2006/relationships/hyperlink" Target="https://www.imda.gov.sg/-/media/imda/files/programme/nationwide-e-invoicing-framework/engage-newsletter-issue-7-jul--dec-2022.pdf" TargetMode="External"/><Relationship Id="rId123" Type="http://schemas.openxmlformats.org/officeDocument/2006/relationships/hyperlink" Target="https://www.pcisecuritystandards.org/about_us/" TargetMode="External"/><Relationship Id="rId144" Type="http://schemas.openxmlformats.org/officeDocument/2006/relationships/hyperlink" Target="https://www.mckinsey.com/~/media/McKinsey/Business%20Functions/McKinsey%20Digital/Our%20Insights/Digital%20identification%20A%20key%20to%20inclusive%20growth/MGI-Digital-identification-Report.ashx" TargetMode="External"/><Relationship Id="rId90" Type="http://schemas.openxmlformats.org/officeDocument/2006/relationships/hyperlink" Target="https://www.customs.gov.sg/businesses/international-connectivity/acdd/" TargetMode="External"/><Relationship Id="rId165" Type="http://schemas.openxmlformats.org/officeDocument/2006/relationships/hyperlink" Target="https://www.dfat.gov.au/sites/default/files/australia-singapore-digital-trade-standards-research-report.pdf" TargetMode="External"/><Relationship Id="rId186" Type="http://schemas.openxmlformats.org/officeDocument/2006/relationships/hyperlink" Target="https://www.cisecurity.org/cis-benchmarks" TargetMode="External"/><Relationship Id="rId211" Type="http://schemas.openxmlformats.org/officeDocument/2006/relationships/hyperlink" Target="https://www.iso.org/standard/71670.html" TargetMode="External"/><Relationship Id="rId232" Type="http://schemas.openxmlformats.org/officeDocument/2006/relationships/hyperlink" Target="https://bowergroupasia.com/asean-announces-much-anticipated-guide-on-ai-governance-and-ethics/" TargetMode="External"/><Relationship Id="rId253" Type="http://schemas.openxmlformats.org/officeDocument/2006/relationships/hyperlink" Target="https://asean.org/book/asean-guide-on-ai-governance-and-ethics/" TargetMode="External"/><Relationship Id="rId274" Type="http://schemas.openxmlformats.org/officeDocument/2006/relationships/hyperlink" Target="https://impact.economist.com/perspectives/sites/default/files/eiu_vmware_up_in_the_air_infographic.pdf" TargetMode="External"/><Relationship Id="rId295" Type="http://schemas.openxmlformats.org/officeDocument/2006/relationships/hyperlink" Target="https://asean.org/our-communities/economic-community/asean-single-window/" TargetMode="External"/><Relationship Id="rId309" Type="http://schemas.openxmlformats.org/officeDocument/2006/relationships/hyperlink" Target="https://asean.org/wp-content/uploads/3-ASEAN-Model-Contractual-Clauses-for-Cross-Border-Data-Flows_Final.pdf" TargetMode="External"/><Relationship Id="rId27" Type="http://schemas.openxmlformats.org/officeDocument/2006/relationships/hyperlink" Target="https://www.wto.org/english/tratop_e/tbt_e/tbt_info_e.htm" TargetMode="External"/><Relationship Id="rId48" Type="http://schemas.openxmlformats.org/officeDocument/2006/relationships/hyperlink" Target="https://www.unescap.org/kp/2022/trade-agreements-asia-and-pacific-bigger-deeper-digital-and-more-supportive-sustainable-20222023" TargetMode="External"/><Relationship Id="rId69" Type="http://schemas.openxmlformats.org/officeDocument/2006/relationships/hyperlink" Target="http://norden.diva-portal.org/smash/get/diva2:1825831/FULLTEXT01.pdf" TargetMode="External"/><Relationship Id="rId113" Type="http://schemas.openxmlformats.org/officeDocument/2006/relationships/hyperlink" Target="http://www.theglobaltreasurer.com/2019/12/13/the-peppol-network-on-the-highway-to-asian-and-trans-tasman-markets" TargetMode="External"/><Relationship Id="rId134" Type="http://schemas.openxmlformats.org/officeDocument/2006/relationships/hyperlink" Target="https://www.bsp.gov.ph/Media_and_Research/Primers%20Faqs/QR_Ph_P2P_FAQs.pdf" TargetMode="External"/><Relationship Id="rId80" Type="http://schemas.openxmlformats.org/officeDocument/2006/relationships/hyperlink" Target="https://www.enterprisesg.gov.sg/grow-your-business/go-global/international-agreements/free-trade-agreements/find-an-fta/rcep" TargetMode="External"/><Relationship Id="rId155" Type="http://schemas.openxmlformats.org/officeDocument/2006/relationships/hyperlink" Target="https://www.wto.org/english/res_e/publications_e/tradtechpolicyharddigit0422_e.htm" TargetMode="External"/><Relationship Id="rId176" Type="http://schemas.openxmlformats.org/officeDocument/2006/relationships/hyperlink" Target="https://ec.europa.eu/digital-building-blocks/sites/display/EUDIGITALIDENTITYWALLET/The+Digital+Identity+Regulation+Enters+into+Force" TargetMode="External"/><Relationship Id="rId197" Type="http://schemas.openxmlformats.org/officeDocument/2006/relationships/hyperlink" Target="https://www.mofa.go.jp/mofaj/files/100251122.pdf" TargetMode="External"/><Relationship Id="rId201" Type="http://schemas.openxmlformats.org/officeDocument/2006/relationships/hyperlink" Target="https://asean.org/wp-content/uploads/2021/10/Bandar-Seri-Begawan-Roadmap-on-ASEAN-Digital-Transformation-Agenda_Endorsed.pdf" TargetMode="External"/><Relationship Id="rId222" Type="http://schemas.openxmlformats.org/officeDocument/2006/relationships/hyperlink" Target="https://www.pdpc.gov.sg/-/media/files/pdpc/pdf-files/practical-guidance-provided-by-pdpc/singapore-guidance-for-use-of-asean-mccs---010921.pdf" TargetMode="External"/><Relationship Id="rId243" Type="http://schemas.openxmlformats.org/officeDocument/2006/relationships/hyperlink" Target="https://standards.ieee.org/industry-connections/ec/autonomous-systems.html" TargetMode="External"/><Relationship Id="rId264" Type="http://schemas.openxmlformats.org/officeDocument/2006/relationships/hyperlink" Target="https://asean.org/wp-content/uploads/2022/02/02-Final-_-Report-Blockchain-for-digital-government.pdf" TargetMode="External"/><Relationship Id="rId285" Type="http://schemas.openxmlformats.org/officeDocument/2006/relationships/hyperlink" Target="https://impact.economist.com/perspectives/sites/default/files/eiu_vmware_up_in_the_air_infographic.pdf" TargetMode="External"/><Relationship Id="rId17" Type="http://schemas.openxmlformats.org/officeDocument/2006/relationships/hyperlink" Target="https://www.kloud9it.com/2024/03/the-evolution-and-impact-of-cloud-computing-in-the-digital-age/" TargetMode="External"/><Relationship Id="rId38" Type="http://schemas.openxmlformats.org/officeDocument/2006/relationships/hyperlink" Target="https://asean.org/wp-content/uploads/2023/05/ASEAN-Guidelines-for-Harmonisation-of-Standards-2022-Version.pdf" TargetMode="External"/><Relationship Id="rId59" Type="http://schemas.openxmlformats.org/officeDocument/2006/relationships/hyperlink" Target="https://www.mckinsey.com/industries/travel-logistics-and-infrastructure/our-insights/e-commerce-is-entering-a-new-phase-in-southeast-asia-are-logistics-players-prepared" TargetMode="External"/><Relationship Id="rId103" Type="http://schemas.openxmlformats.org/officeDocument/2006/relationships/hyperlink" Target="https://seads.adb.org/solutions/unlocking-aseans-digital-economy-entails-embracing-trustworthy-and-inclusive-payments" TargetMode="External"/><Relationship Id="rId124" Type="http://schemas.openxmlformats.org/officeDocument/2006/relationships/hyperlink" Target="https://www.pcisecuritystandards.org/standards/pci-dss/" TargetMode="External"/><Relationship Id="rId310" Type="http://schemas.openxmlformats.org/officeDocument/2006/relationships/hyperlink" Target="https://asean.org/book/asean-guide-on-ai-governance-and-ethics/" TargetMode="External"/><Relationship Id="rId70" Type="http://schemas.openxmlformats.org/officeDocument/2006/relationships/hyperlink" Target="https://www.singaporestandardseshop.sg/Product/GetPdf?fileName=220610150929TR%20105-2022%20Preview.pdf&amp;pdtid=f8064951-7c48-416d-9e45-44bc44e29421" TargetMode="External"/><Relationship Id="rId91" Type="http://schemas.openxmlformats.org/officeDocument/2006/relationships/hyperlink" Target="https://asw.asean.org/" TargetMode="External"/><Relationship Id="rId145" Type="http://schemas.openxmlformats.org/officeDocument/2006/relationships/hyperlink" Target="https://asean.org/wp-content/uploads/2021/12/DTSCWG-Infographic-final.pdf" TargetMode="External"/><Relationship Id="rId166" Type="http://schemas.openxmlformats.org/officeDocument/2006/relationships/hyperlink" Target="https://km.fti.or.th/wp-content/uploads/2023/06/ABAC-Digital-Identity-Report.pdf" TargetMode="External"/><Relationship Id="rId187" Type="http://schemas.openxmlformats.org/officeDocument/2006/relationships/hyperlink" Target="https://www.cisecurity.org/controls" TargetMode="External"/><Relationship Id="rId1" Type="http://schemas.openxmlformats.org/officeDocument/2006/relationships/hyperlink" Target="https://asean.org/our-communities/economic-community/asean-e-commerce/" TargetMode="External"/><Relationship Id="rId212" Type="http://schemas.openxmlformats.org/officeDocument/2006/relationships/hyperlink" Target="https://asean.org/wp-content/uploads/2021/08/ASEAN-Data-Management-Framework.pdf" TargetMode="External"/><Relationship Id="rId233" Type="http://schemas.openxmlformats.org/officeDocument/2006/relationships/hyperlink" Target="https://www.unesco.org/en/articles/enabling-ai-governance-and-innovation-through-standards" TargetMode="External"/><Relationship Id="rId254" Type="http://schemas.openxmlformats.org/officeDocument/2006/relationships/hyperlink" Target="https://www.iso.org/committee/6794475.html;?view=participation" TargetMode="External"/><Relationship Id="rId28" Type="http://schemas.openxmlformats.org/officeDocument/2006/relationships/hyperlink" Target="https://www.iec.ch/publications/international-standards" TargetMode="External"/><Relationship Id="rId49" Type="http://schemas.openxmlformats.org/officeDocument/2006/relationships/hyperlink" Target="https://www.compact.nl/pdf/C-2020-2-Ommen.pdf" TargetMode="External"/><Relationship Id="rId114" Type="http://schemas.openxmlformats.org/officeDocument/2006/relationships/hyperlink" Target="https://snitechnology.net/mandatory-e-invoicing-in-south-korea-in-2022/" TargetMode="External"/><Relationship Id="rId275" Type="http://schemas.openxmlformats.org/officeDocument/2006/relationships/hyperlink" Target="https://www.kloud9it.com/2024/03/the-evolution-and-impact-of-cloud-computing-in-the-digital-age/" TargetMode="External"/><Relationship Id="rId296" Type="http://schemas.openxmlformats.org/officeDocument/2006/relationships/hyperlink" Target="https://acts.asean.org/" TargetMode="External"/><Relationship Id="rId300" Type="http://schemas.openxmlformats.org/officeDocument/2006/relationships/hyperlink" Target="https://asean-competition.org/read-news-handbook-on-competition-e-commerce-in-asean" TargetMode="External"/><Relationship Id="rId60" Type="http://schemas.openxmlformats.org/officeDocument/2006/relationships/hyperlink" Target="https://www.pwc.com/sg/en/publications/assets/future-of-the-logistics-industry.pdf" TargetMode="External"/><Relationship Id="rId81" Type="http://schemas.openxmlformats.org/officeDocument/2006/relationships/hyperlink" Target="https://www.wcoomd.org/-/media/wco/public/global/pdf/topics/facilitation/instruments-and-tools/tools/safe-package/safe-framework-of-standards.pdf" TargetMode="External"/><Relationship Id="rId135" Type="http://schemas.openxmlformats.org/officeDocument/2006/relationships/hyperlink" Target="https://docs.developer.paynet.my/docs/duitnowqr/testdata/domesticissuer" TargetMode="External"/><Relationship Id="rId156" Type="http://schemas.openxmlformats.org/officeDocument/2006/relationships/hyperlink" Target="https://iccwbo.org/news-publications/policies-reports/msme-digital-exports-in-southeast-asia-a-study-of-msme-digital-exports-in-10-asean-markets/" TargetMode="External"/><Relationship Id="rId177" Type="http://schemas.openxmlformats.org/officeDocument/2006/relationships/hyperlink" Target="https://ec.europa.eu/digital-building-blocks/sites/display/EUDIGITALIDENTITYWALLET/The+Digital+Identity+Regulation+Enters+into+Force" TargetMode="External"/><Relationship Id="rId198" Type="http://schemas.openxmlformats.org/officeDocument/2006/relationships/hyperlink" Target="https://commission.europa.eu/document/8d85b491-81d4-487e-9de9-cb071c8dba41_en" TargetMode="External"/><Relationship Id="rId202" Type="http://schemas.openxmlformats.org/officeDocument/2006/relationships/hyperlink" Target="https://asean.org/shaping-a-safer-digital-world-for-children-together/" TargetMode="External"/><Relationship Id="rId223" Type="http://schemas.openxmlformats.org/officeDocument/2006/relationships/hyperlink" Target="https://www.imda.gov.sg/how-we-can-help/data-innovation/privacy-enhancing-technology-sandboxes" TargetMode="External"/><Relationship Id="rId244" Type="http://schemas.openxmlformats.org/officeDocument/2006/relationships/hyperlink" Target="https://standards.ieee.org/ieee/7000/6781/" TargetMode="External"/><Relationship Id="rId18" Type="http://schemas.openxmlformats.org/officeDocument/2006/relationships/hyperlink" Target="https://www.iso.org/committee/45306.html" TargetMode="External"/><Relationship Id="rId39" Type="http://schemas.openxmlformats.org/officeDocument/2006/relationships/hyperlink" Target="https://asean.org/wp-content/uploads/2021/08/What-is-MRAs.pdf" TargetMode="External"/><Relationship Id="rId265" Type="http://schemas.openxmlformats.org/officeDocument/2006/relationships/hyperlink" Target="https://asean.org/wp-content/uploads/2022/02/02-Final-_-Report-Blockchain-for-digital-government.pdf" TargetMode="External"/><Relationship Id="rId286" Type="http://schemas.openxmlformats.org/officeDocument/2006/relationships/hyperlink" Target="https://www.imf.org/en/Publications/WP/Issues/2020/07/03/Determinants-of-Inclusive-Growth-in-ASEAN-49547" TargetMode="External"/><Relationship Id="rId50" Type="http://schemas.openxmlformats.org/officeDocument/2006/relationships/hyperlink" Target="https://unctad.org/system/files/official-document/gds2016d3_en.pdf" TargetMode="External"/><Relationship Id="rId104" Type="http://schemas.openxmlformats.org/officeDocument/2006/relationships/hyperlink" Target="https://uncitral.un.org/en/texts/ecommerce/modellaw/electronic_commerce" TargetMode="External"/><Relationship Id="rId125" Type="http://schemas.openxmlformats.org/officeDocument/2006/relationships/hyperlink" Target="https://www.fsb.org/wp-content/uploads/P070722.pdf" TargetMode="External"/><Relationship Id="rId146" Type="http://schemas.openxmlformats.org/officeDocument/2006/relationships/hyperlink" Target="https://asean.org/wp-content/uploads/2021/12/DTSCWG-Infographic-final.pdf" TargetMode="External"/><Relationship Id="rId167" Type="http://schemas.openxmlformats.org/officeDocument/2006/relationships/hyperlink" Target="https://documents1.worldbank.org/curated/en/099300010212228518/pdf/P171592079b3e50d70a1630d5663205bf94.pdf" TargetMode="External"/><Relationship Id="rId188" Type="http://schemas.openxmlformats.org/officeDocument/2006/relationships/hyperlink" Target="https://www.cisecurity.org/controls/cis-controls-faq" TargetMode="External"/><Relationship Id="rId71" Type="http://schemas.openxmlformats.org/officeDocument/2006/relationships/hyperlink" Target="https://asean.org/wp-content/uploads/2022/03/Work-Plan-E-commerce-Agreement_endorsed_logo.pdf" TargetMode="External"/><Relationship Id="rId92" Type="http://schemas.openxmlformats.org/officeDocument/2006/relationships/hyperlink" Target="https://www.eu-asean.eu/wp-content/uploads/2022/02/E-Commerce-Paper_22-Feb.pdf" TargetMode="External"/><Relationship Id="rId213" Type="http://schemas.openxmlformats.org/officeDocument/2006/relationships/hyperlink" Target="https://www2.deloitte.com/content/dam/Deloitte/sg/Documents/risk/sea-risk-data-privacy-in-asean.pdf" TargetMode="External"/><Relationship Id="rId234" Type="http://schemas.openxmlformats.org/officeDocument/2006/relationships/hyperlink" Target="http://www.iso.org/committee/6794475/x/catalogue/p/1/u/1/w/0/d/0" TargetMode="External"/><Relationship Id="rId2" Type="http://schemas.openxmlformats.org/officeDocument/2006/relationships/hyperlink" Target="https://asean.org/wp-content/uploads/2020/12/ASEAN-Agreement-on-Customs-2.pdf" TargetMode="External"/><Relationship Id="rId29" Type="http://schemas.openxmlformats.org/officeDocument/2006/relationships/hyperlink" Target="https://www.wto.org/english/tratop_e/tbt_e/tbt_info_e.htm" TargetMode="External"/><Relationship Id="rId255" Type="http://schemas.openxmlformats.org/officeDocument/2006/relationships/hyperlink" Target="https://www.iso.org/committee/6794475.html;?view=participation" TargetMode="External"/><Relationship Id="rId276" Type="http://schemas.openxmlformats.org/officeDocument/2006/relationships/hyperlink" Target="https://www.iso.org/standard/43757.html" TargetMode="External"/><Relationship Id="rId297" Type="http://schemas.openxmlformats.org/officeDocument/2006/relationships/hyperlink" Target="https://agreement.asean.org/media/download/20190306035048.pdf" TargetMode="External"/><Relationship Id="rId40" Type="http://schemas.openxmlformats.org/officeDocument/2006/relationships/hyperlink" Target="https://www.aseanstats.org/wp-content/uploads/2024/05/ASB-202405-03.pdf" TargetMode="External"/><Relationship Id="rId115" Type="http://schemas.openxmlformats.org/officeDocument/2006/relationships/hyperlink" Target="http://www.pagero.com/blog/e-invoicing-ctc-models/" TargetMode="External"/><Relationship Id="rId136" Type="http://schemas.openxmlformats.org/officeDocument/2006/relationships/hyperlink" Target="https://myanmar.gov.mm/news-media/news/latest-news/-/asset_publisher/idasset354/content/cbm-to-launch-digital-payment-switch" TargetMode="External"/><Relationship Id="rId157" Type="http://schemas.openxmlformats.org/officeDocument/2006/relationships/hyperlink" Target="https://asean.org/wp-content/uploads/2023/08/AEM-55-JMS_19-Aug.pdf" TargetMode="External"/><Relationship Id="rId178" Type="http://schemas.openxmlformats.org/officeDocument/2006/relationships/hyperlink" Target="https://www.mas.gov.sg/news/media-releases/2022/central-banks-of-indonesia-malaysia-philippines-singapore-and-thailand-seal-cooperation-in-regional-payment-connectivity" TargetMode="External"/><Relationship Id="rId301" Type="http://schemas.openxmlformats.org/officeDocument/2006/relationships/hyperlink" Target="https://asean.org/wp-content/uploads/2024/04/TOR_UBIN-Implementation-Roadmap_final-1.pdf" TargetMode="External"/><Relationship Id="rId61" Type="http://schemas.openxmlformats.org/officeDocument/2006/relationships/hyperlink" Target="https://asean.org/our-communities/economic-community/asean-single-window/" TargetMode="External"/><Relationship Id="rId82" Type="http://schemas.openxmlformats.org/officeDocument/2006/relationships/hyperlink" Target="https://www.wcoomd.org/-/media/wco/public/global/pdf/topics/facilitation/instruments-and-tools/tools/safe-package/safe-framework-of-standards.pdf" TargetMode="External"/><Relationship Id="rId199" Type="http://schemas.openxmlformats.org/officeDocument/2006/relationships/hyperlink" Target="https://www.imda.gov.sg/-/media/imda/files/regulations-and-licensing/licensing/ict-standards-and-quality-of-service/industry-committees-and-working-groups/it-standards-committee/singapore-it-standards.pdf" TargetMode="External"/><Relationship Id="rId203" Type="http://schemas.openxmlformats.org/officeDocument/2006/relationships/hyperlink" Target="https://asean.org/wp-content/uploads/2023/03/ASEAN-Guidelines-on-Consumer-Impact-E-COMMERCE_V2-1.pdf" TargetMode="External"/><Relationship Id="rId19" Type="http://schemas.openxmlformats.org/officeDocument/2006/relationships/hyperlink" Target="https://www.iso.org/committee/45306.html" TargetMode="External"/><Relationship Id="rId224" Type="http://schemas.openxmlformats.org/officeDocument/2006/relationships/hyperlink" Target="https://www2.deloitte.com/id/en/pages/risk/articles/data-privacy-in-asean.html" TargetMode="External"/><Relationship Id="rId245" Type="http://schemas.openxmlformats.org/officeDocument/2006/relationships/hyperlink" Target="https://standards.ieee.org/initiatives/artificial-intelligence-systems/standards.html" TargetMode="External"/><Relationship Id="rId266" Type="http://schemas.openxmlformats.org/officeDocument/2006/relationships/hyperlink" Target="https://asean.org/wp-content/uploads/2022/02/02-Final-_-Report-Blockchain-for-digital-government.pdf" TargetMode="External"/><Relationship Id="rId287" Type="http://schemas.openxmlformats.org/officeDocument/2006/relationships/hyperlink" Target="https://asean.org/wp-content/uploads/2022/11/FINAL-Policy-Toolkit-Strengthening-Womens-Entrepreneurship-in-MSME.pdf" TargetMode="External"/><Relationship Id="rId30" Type="http://schemas.openxmlformats.org/officeDocument/2006/relationships/hyperlink" Target="https://asean.org/wp-content/uploads/2021/01/ASEAN-Guideline-on-Standards-Technical-Regulations-and-Conformity-Assessment-Procedures-1.pdf" TargetMode="External"/><Relationship Id="rId105" Type="http://schemas.openxmlformats.org/officeDocument/2006/relationships/hyperlink" Target="https://uncitral.un.org/en/texts/ecommerce/modellaw/electronic_transferable_records" TargetMode="External"/><Relationship Id="rId126" Type="http://schemas.openxmlformats.org/officeDocument/2006/relationships/hyperlink" Target="https://web-assets.bcg.com/9c/ac/72af6ed244c39123f679ffc899ee/bcg-asean-interoperable-qr-code-payment-ecosystem-in-asean.pdf" TargetMode="External"/><Relationship Id="rId147" Type="http://schemas.openxmlformats.org/officeDocument/2006/relationships/hyperlink" Target="https://uncitral.un.org/en/texts/ecommerce/modellaw/electronic_commerce" TargetMode="External"/><Relationship Id="rId168" Type="http://schemas.openxmlformats.org/officeDocument/2006/relationships/hyperlink" Target="https://asean.org/wp-content/uploads/2023/08/AEM-55-JMS_19-Aug.pdf" TargetMode="External"/><Relationship Id="rId51" Type="http://schemas.openxmlformats.org/officeDocument/2006/relationships/hyperlink" Target="https://unctad.org/system/files/official-document/gds2016d3_en.pdf" TargetMode="External"/><Relationship Id="rId72" Type="http://schemas.openxmlformats.org/officeDocument/2006/relationships/hyperlink" Target="https://www.gs1au.org/standards" TargetMode="External"/><Relationship Id="rId93" Type="http://schemas.openxmlformats.org/officeDocument/2006/relationships/hyperlink" Target="https://www.iso.org/committee/7145156.html" TargetMode="External"/><Relationship Id="rId189" Type="http://schemas.openxmlformats.org/officeDocument/2006/relationships/hyperlink" Target="https://www.imda.gov.sg/-/media/imda/files/regulations-and-licensing/licensing/ict-standards-and-quality-of-service/industry-committees-and-working-groups/it-standards-committee/singapore-it-standards.pdf" TargetMode="External"/><Relationship Id="rId3" Type="http://schemas.openxmlformats.org/officeDocument/2006/relationships/hyperlink" Target="https://asean.org/wp-content/uploads/2024/06/Final-Joint-Media-Statement-of-the-33rd-ASEAN-DGs-of-Customs-Meeting.pdf" TargetMode="External"/><Relationship Id="rId214" Type="http://schemas.openxmlformats.org/officeDocument/2006/relationships/hyperlink" Target="https://asean.org/wp-content/uploads/2012/05/10-ASEAN-Framework-on-PDP.pdf" TargetMode="External"/><Relationship Id="rId235" Type="http://schemas.openxmlformats.org/officeDocument/2006/relationships/hyperlink" Target="https://www.iso.org/standard/77608.html" TargetMode="External"/><Relationship Id="rId256" Type="http://schemas.openxmlformats.org/officeDocument/2006/relationships/hyperlink" Target="https://digital-strategy.ec.europa.eu/en/policies/blockchain-standards" TargetMode="External"/><Relationship Id="rId277" Type="http://schemas.openxmlformats.org/officeDocument/2006/relationships/hyperlink" Target="https://www.iso.org/standard/76559.html" TargetMode="External"/><Relationship Id="rId298" Type="http://schemas.openxmlformats.org/officeDocument/2006/relationships/hyperlink" Target="https://asean.org/wp-content/uploads/2022/03/Work-Plan-E-commerce-Agreement_endorsed_logo.pdf" TargetMode="External"/><Relationship Id="rId116" Type="http://schemas.openxmlformats.org/officeDocument/2006/relationships/hyperlink" Target="https://www.swift.com/standards/iso-20022/supercharge-your-payments-business/chapter-2" TargetMode="External"/><Relationship Id="rId137" Type="http://schemas.openxmlformats.org/officeDocument/2006/relationships/hyperlink" Target="https://digitalvn.vn/vietqr-launched-to-promote-digital-transformation-in-banking-sector/" TargetMode="External"/><Relationship Id="rId158" Type="http://schemas.openxmlformats.org/officeDocument/2006/relationships/hyperlink" Target="https://www.gleif.org/en/about-lei/introducing-the-legal-entity-identifier-lei" TargetMode="External"/><Relationship Id="rId302" Type="http://schemas.openxmlformats.org/officeDocument/2006/relationships/hyperlink" Target="https://trustgrid.com/the-asean-digital-credentials-platform-akredi/" TargetMode="External"/><Relationship Id="rId20" Type="http://schemas.openxmlformats.org/officeDocument/2006/relationships/hyperlink" Target="https://asean.org/wp-content/uploads/2021/10/Bandar-Seri-Begawan-Roadmap-on-ASEAN-Digital-Transformation-Agenda_Endorsed.pdf" TargetMode="External"/><Relationship Id="rId41" Type="http://schemas.openxmlformats.org/officeDocument/2006/relationships/hyperlink" Target="https://theaseanmagazine.asean.org/article/asean-comprehensive-recovery-framework/" TargetMode="External"/><Relationship Id="rId62" Type="http://schemas.openxmlformats.org/officeDocument/2006/relationships/hyperlink" Target="https://asean.org/wp-content/uploads/2022/04/ASEAN-ODR-Guidelines-FINAL.pdf" TargetMode="External"/><Relationship Id="rId83" Type="http://schemas.openxmlformats.org/officeDocument/2006/relationships/hyperlink" Target="https://www.wcoomd.org/-/media/wco/public/global/pdf/topics/facilitation/instruments-and-tools/tools/safe-package/safe-framework-of-standards.pdf" TargetMode="External"/><Relationship Id="rId179" Type="http://schemas.openxmlformats.org/officeDocument/2006/relationships/hyperlink" Target="https://papers.ssrn.com/sol3/papers.cfm?abstract_id=4292444" TargetMode="External"/><Relationship Id="rId190" Type="http://schemas.openxmlformats.org/officeDocument/2006/relationships/hyperlink" Target="https://downloads.ctfassets.net/corl1354p0t3/750MZKJ7tfh9NSwTdPviqG/9dec46e2d311f2f8b130c28600a55fba/CyberAsean_Report.pdf" TargetMode="External"/><Relationship Id="rId204" Type="http://schemas.openxmlformats.org/officeDocument/2006/relationships/hyperlink" Target="https://asean.org/wp-content/uploads/2021/01/ASEAN-Strategic-Action-Plan-for-Consumer-Protection-2016-2025-ASAPCP-2025.pdf" TargetMode="External"/><Relationship Id="rId225" Type="http://schemas.openxmlformats.org/officeDocument/2006/relationships/hyperlink" Target="https://www.middle-east.kearney.com/service/digital-analytics/article/-/insights/racing-toward-the-future-artificial-intelligence-in-southeast-asia" TargetMode="External"/><Relationship Id="rId246" Type="http://schemas.openxmlformats.org/officeDocument/2006/relationships/hyperlink" Target="https://www.unesco.org/en/artificial-intelligence/recommendation-ethics" TargetMode="External"/><Relationship Id="rId267" Type="http://schemas.openxmlformats.org/officeDocument/2006/relationships/hyperlink" Target="https://asean.org/wp-content/uploads/2022/02/02-Final-_-Report-Blockchain-for-digital-government.pdf" TargetMode="External"/><Relationship Id="rId288" Type="http://schemas.openxmlformats.org/officeDocument/2006/relationships/hyperlink" Target="https://asean.org/wp-content/uploads/2023/05/ASEAN-Guidelines-for-Harmonisation-of-Standards-2022-Version.pdf" TargetMode="External"/><Relationship Id="rId106" Type="http://schemas.openxmlformats.org/officeDocument/2006/relationships/hyperlink" Target="https://myanmar-law-library.org/law-library/laws-and-regulations/laws/myanmar-laws-1988-until-now/state-administration-council-2021/myanmar-laws-2021/state-administration-council-law-no-07-2021-law-amending-the-electronic.html" TargetMode="External"/><Relationship Id="rId127" Type="http://schemas.openxmlformats.org/officeDocument/2006/relationships/hyperlink" Target="https://www.mas.gov.sg/news/media-releases/2023/mas-to-launch-sgqrplus-proof-of-concept-to-enhance-interoperability-for-qr-payments" TargetMode="External"/><Relationship Id="rId10" Type="http://schemas.openxmlformats.org/officeDocument/2006/relationships/hyperlink" Target="https://aciperspectives.com/2024/04/17/aseans-fragmenting-data-regulatory-framework-whats-the-way-forward/" TargetMode="External"/><Relationship Id="rId31" Type="http://schemas.openxmlformats.org/officeDocument/2006/relationships/hyperlink" Target="https://asean.org/wp-content/uploads/2020/12/ASEAN-Trade-in-Goods-Agreement-Cha-am-Thailand-26-February-2009.pdf" TargetMode="External"/><Relationship Id="rId52" Type="http://schemas.openxmlformats.org/officeDocument/2006/relationships/hyperlink" Target="https://www.unescap.org/sites/default/d8files/4%20-%20Part%20I_An%20Overview%20Of%20Trade%20Facilitation.pdf" TargetMode="External"/><Relationship Id="rId73" Type="http://schemas.openxmlformats.org/officeDocument/2006/relationships/hyperlink" Target="https://unece.org/sites/default/files/2023-10/03Oct_PM_T%2BL_Parcel-goods-traceability.pdf" TargetMode="External"/><Relationship Id="rId94" Type="http://schemas.openxmlformats.org/officeDocument/2006/relationships/hyperlink" Target="https://www.iso.org/committee/7145156.html?view=participation" TargetMode="External"/><Relationship Id="rId148" Type="http://schemas.openxmlformats.org/officeDocument/2006/relationships/hyperlink" Target="https://asean.org/wp-content/uploads/images/2012/Economic/TELMIN/e-Asean%20Reference%20Framework.pdf" TargetMode="External"/><Relationship Id="rId169" Type="http://schemas.openxmlformats.org/officeDocument/2006/relationships/hyperlink" Target="https://trustgrid.com/the-asean-digital-credentials-platform-akredi/" TargetMode="External"/><Relationship Id="rId4" Type="http://schemas.openxmlformats.org/officeDocument/2006/relationships/hyperlink" Target="https://www.weforum.org/agenda/2023/11/asean-instant-cross-border-payments-paynow-promptpay/" TargetMode="External"/><Relationship Id="rId180" Type="http://schemas.openxmlformats.org/officeDocument/2006/relationships/hyperlink" Target="https://www.brookings.edu/articles/cybersecurity-and-digital-trade-getting-it-right/" TargetMode="External"/><Relationship Id="rId215" Type="http://schemas.openxmlformats.org/officeDocument/2006/relationships/hyperlink" Target="https://asean.org/wp-content/uploads/2021/08/ASEAN-Data-Management-Framework.pdf" TargetMode="External"/><Relationship Id="rId236" Type="http://schemas.openxmlformats.org/officeDocument/2006/relationships/hyperlink" Target="http://www.iso.org/standard/77608.html" TargetMode="External"/><Relationship Id="rId257" Type="http://schemas.openxmlformats.org/officeDocument/2006/relationships/hyperlink" Target="https://digital-strategy.ec.europa.eu/en/policies/blockchain-standards" TargetMode="External"/><Relationship Id="rId278" Type="http://schemas.openxmlformats.org/officeDocument/2006/relationships/hyperlink" Target="https://cloudsecurityalliance.org/research/cloud-controls-matrix" TargetMode="External"/><Relationship Id="rId303" Type="http://schemas.openxmlformats.org/officeDocument/2006/relationships/hyperlink" Target="https://asean.org/wp-content/uploads/2022/02/01-ASEAN-Cybersecurity-Cooperation-Paper-2021-2025_final-23-0122.pdf" TargetMode="External"/><Relationship Id="rId42" Type="http://schemas.openxmlformats.org/officeDocument/2006/relationships/hyperlink" Target="https://www.bsigroup.com/LocalFiles/en-GB/standards/BSI-The-Economic-Contribution-of-Standards-to-the-UK-Economy-UK-EN.pdf" TargetMode="External"/><Relationship Id="rId84" Type="http://schemas.openxmlformats.org/officeDocument/2006/relationships/hyperlink" Target="https://www.wcoomd.org/-/media/wco/public/global/pdf/topics/facilitation/instruments-and-tools/tools/safe-package/safe-framework-of-standards.pdf" TargetMode="External"/><Relationship Id="rId138" Type="http://schemas.openxmlformats.org/officeDocument/2006/relationships/hyperlink" Target="https://www.bsp.gov.ph/SitePages/MediaAndResearch/MediaDisp.aspx?ItemId=7051" TargetMode="External"/><Relationship Id="rId191" Type="http://schemas.openxmlformats.org/officeDocument/2006/relationships/hyperlink" Target="https://www.csa.gov.sg/our-programmes/support-for-enterprises/sg-cyber-safe-programme/cybersecurity-certification-scheme-for-organisation/cyber-essentials" TargetMode="External"/><Relationship Id="rId205" Type="http://schemas.openxmlformats.org/officeDocument/2006/relationships/hyperlink" Target="https://aseanconsumer.org/cterms-regional-cooperation-in-asean/asean-high-level-principles-on-consumer-protection" TargetMode="External"/><Relationship Id="rId247" Type="http://schemas.openxmlformats.org/officeDocument/2006/relationships/hyperlink" Target="https://news.un.org/en/story/2024/03/1147831" TargetMode="External"/><Relationship Id="rId107" Type="http://schemas.openxmlformats.org/officeDocument/2006/relationships/hyperlink" Target="https://www.tradefinanceglobal.com/posts/status-update-mletr-adoption-in-the-g7-and-emerging-markets/" TargetMode="External"/><Relationship Id="rId289" Type="http://schemas.openxmlformats.org/officeDocument/2006/relationships/hyperlink" Target="https://asean.org/wp-content/uploads/2021/08/What-is-MRAs.pdf" TargetMode="External"/><Relationship Id="rId11" Type="http://schemas.openxmlformats.org/officeDocument/2006/relationships/hyperlink" Target="https://www.middle-east.kearney.com/service/digital-analytics/article/-/insights/racing-toward-the-future-artificial-intelligence-in-southeast-asia" TargetMode="External"/><Relationship Id="rId53" Type="http://schemas.openxmlformats.org/officeDocument/2006/relationships/hyperlink" Target="https://www.unescap.org/sites/default/d8files/Part%20II_Chapter%20V_Estimating%20the%20benefits%20of%20cross-border%20paperless%20trade_0.pdf" TargetMode="External"/><Relationship Id="rId149" Type="http://schemas.openxmlformats.org/officeDocument/2006/relationships/hyperlink" Target="https://asean.org/wp-content/uploads/2021/12/DTSCWG-Infographic-final.pdf" TargetMode="External"/><Relationship Id="rId95" Type="http://schemas.openxmlformats.org/officeDocument/2006/relationships/hyperlink" Target="https://asean.org/wp-content/uploads/2022/03/Work-Plan-E-commerce-Agreement_endorsed_logo.pdf" TargetMode="External"/><Relationship Id="rId160" Type="http://schemas.openxmlformats.org/officeDocument/2006/relationships/hyperlink" Target="https://www.adb.org/sites/default/files/publication/505076/adb-brief-109-legal-entity-identifier-tfp-survey.pdf" TargetMode="External"/><Relationship Id="rId216" Type="http://schemas.openxmlformats.org/officeDocument/2006/relationships/hyperlink" Target="https://asean.org/wp-content/uploads/2021/08/ASEAN-Data-Management-Framework.pdf" TargetMode="External"/><Relationship Id="rId258" Type="http://schemas.openxmlformats.org/officeDocument/2006/relationships/hyperlink" Target="https://www.iso.org/standard/82208.html" TargetMode="External"/><Relationship Id="rId22" Type="http://schemas.openxmlformats.org/officeDocument/2006/relationships/hyperlink" Target="https://asean.org/wp-content/uploads/2022/02/01-ASEAN-Cybersecurity-Cooperation-Paper-2021-2025_final-23-0122.pdf" TargetMode="External"/><Relationship Id="rId64" Type="http://schemas.openxmlformats.org/officeDocument/2006/relationships/hyperlink" Target="https://asean.org/our-communities/economic-community/asean-e-commerce/" TargetMode="External"/><Relationship Id="rId118" Type="http://schemas.openxmlformats.org/officeDocument/2006/relationships/hyperlink" Target="https://www.gleif.org/en/about-lei/introducing-the-legal-entity-identifier-lei" TargetMode="External"/><Relationship Id="rId171" Type="http://schemas.openxmlformats.org/officeDocument/2006/relationships/hyperlink" Target="https://asean.org/wp-content/uploads/2021/09/ASEAN-Digital-Masterplan-EDITED.pdf" TargetMode="External"/><Relationship Id="rId227" Type="http://schemas.openxmlformats.org/officeDocument/2006/relationships/hyperlink" Target="https://asean.org/book/asean-guide-on-ai-governance-and-ethics/" TargetMode="External"/><Relationship Id="rId269" Type="http://schemas.openxmlformats.org/officeDocument/2006/relationships/hyperlink" Target="https://digital-strategy.ec.europa.eu/en/policies/blockchain-strategy" TargetMode="External"/><Relationship Id="rId33" Type="http://schemas.openxmlformats.org/officeDocument/2006/relationships/hyperlink" Target="https://asean.org/wp-content/uploads/2021/08/AECBP_2025r_FINAL.pdf" TargetMode="External"/><Relationship Id="rId129" Type="http://schemas.openxmlformats.org/officeDocument/2006/relationships/hyperlink" Target="https://bakong.nbc.gov.kh/en/download/KHQR/integration/KHQR%20Content%20Guideline%20v.1.3.pdf" TargetMode="External"/><Relationship Id="rId280" Type="http://schemas.openxmlformats.org/officeDocument/2006/relationships/hyperlink" Target="https://nvlpubs.nist.gov/nistpubs/Legacy/SP/nistspecialpublication800-145.pdf" TargetMode="External"/><Relationship Id="rId75" Type="http://schemas.openxmlformats.org/officeDocument/2006/relationships/hyperlink" Target="https://www.singpost.com/about-us/news-releases/singapore-introduces-new-industry-standard-ecommerce-and-logistics-players" TargetMode="External"/><Relationship Id="rId140" Type="http://schemas.openxmlformats.org/officeDocument/2006/relationships/hyperlink" Target="https://www.interpol.int/en/News-and-Events/News/2021/INTERPOL-report-charts-top-cyberthreats-in-Southeast-Asia" TargetMode="External"/><Relationship Id="rId182" Type="http://schemas.openxmlformats.org/officeDocument/2006/relationships/hyperlink" Target="https://resourcecentre.asean.org/Book_Detail/?ID=2761" TargetMode="External"/><Relationship Id="rId6" Type="http://schemas.openxmlformats.org/officeDocument/2006/relationships/hyperlink" Target="https://www.cyfirma.com/research/singapore-and-southeast-asia-threat-landscape/" TargetMode="External"/><Relationship Id="rId238" Type="http://schemas.openxmlformats.org/officeDocument/2006/relationships/hyperlink" Target="http://www.iso.org/standard/77607.html" TargetMode="External"/><Relationship Id="rId291" Type="http://schemas.openxmlformats.org/officeDocument/2006/relationships/hyperlink" Target="https://www.usasean.org/article/digital-identity-asean" TargetMode="External"/><Relationship Id="rId305" Type="http://schemas.openxmlformats.org/officeDocument/2006/relationships/hyperlink" Target="https://aseanconsumer.org/file/post_image/2020-02-26%20ASEAN%20COC%20(fi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9D098B557E754EA6781F1201E9F545" ma:contentTypeVersion="18" ma:contentTypeDescription="Create a new document." ma:contentTypeScope="" ma:versionID="10cce8ce0466b95849da71dc3dcecb00">
  <xsd:schema xmlns:xsd="http://www.w3.org/2001/XMLSchema" xmlns:xs="http://www.w3.org/2001/XMLSchema" xmlns:p="http://schemas.microsoft.com/office/2006/metadata/properties" xmlns:ns2="5266a196-0b3c-4cb4-9759-eb2d2949b4e5" xmlns:ns3="6992071c-2495-4c69-8e56-b037618c9d59" targetNamespace="http://schemas.microsoft.com/office/2006/metadata/properties" ma:root="true" ma:fieldsID="3f8d58d4d7c1c760bbb40d1e98e1fe62" ns2:_="" ns3:_="">
    <xsd:import namespace="5266a196-0b3c-4cb4-9759-eb2d2949b4e5"/>
    <xsd:import namespace="6992071c-2495-4c69-8e56-b037618c9d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66a196-0b3c-4cb4-9759-eb2d2949b4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2095094-7cb6-4bf4-aa52-87758b1da3e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92071c-2495-4c69-8e56-b037618c9d5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6867b66-d3c2-4dd1-926b-6b53fa00e66c}" ma:internalName="TaxCatchAll" ma:showField="CatchAllData" ma:web="6992071c-2495-4c69-8e56-b037618c9d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992071c-2495-4c69-8e56-b037618c9d59" xsi:nil="true"/>
    <lcf76f155ced4ddcb4097134ff3c332f xmlns="5266a196-0b3c-4cb4-9759-eb2d2949b4e5">
      <Terms xmlns="http://schemas.microsoft.com/office/infopath/2007/PartnerControls"/>
    </lcf76f155ced4ddcb4097134ff3c332f>
    <SharedWithUsers xmlns="6992071c-2495-4c69-8e56-b037618c9d59">
      <UserInfo>
        <DisplayName>Christy Tsang</DisplayName>
        <AccountId>1240</AccountId>
        <AccountType/>
      </UserInfo>
      <UserInfo>
        <DisplayName>Li Xing</DisplayName>
        <AccountId>663</AccountId>
        <AccountType/>
      </UserInfo>
      <UserInfo>
        <DisplayName>Hui Yi Lim</DisplayName>
        <AccountId>672</AccountId>
        <AccountType/>
      </UserInfo>
      <UserInfo>
        <DisplayName>Lennon Goh</DisplayName>
        <AccountId>1097</AccountId>
        <AccountType/>
      </UserInfo>
      <UserInfo>
        <DisplayName>Dana Poponete</DisplayName>
        <AccountId>705</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EC66E-C361-42E5-B23D-8D78E6DCE0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66a196-0b3c-4cb4-9759-eb2d2949b4e5"/>
    <ds:schemaRef ds:uri="6992071c-2495-4c69-8e56-b037618c9d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D0B7CA-08BD-4D71-8D09-C400D0E4EA85}">
  <ds:schemaRefs>
    <ds:schemaRef ds:uri="http://schemas.microsoft.com/office/2006/metadata/properties"/>
    <ds:schemaRef ds:uri="http://schemas.microsoft.com/office/infopath/2007/PartnerControls"/>
    <ds:schemaRef ds:uri="6992071c-2495-4c69-8e56-b037618c9d59"/>
    <ds:schemaRef ds:uri="5266a196-0b3c-4cb4-9759-eb2d2949b4e5"/>
  </ds:schemaRefs>
</ds:datastoreItem>
</file>

<file path=customXml/itemProps3.xml><?xml version="1.0" encoding="utf-8"?>
<ds:datastoreItem xmlns:ds="http://schemas.openxmlformats.org/officeDocument/2006/customXml" ds:itemID="{08BC8A5C-B50D-4081-9314-729BB040B053}">
  <ds:schemaRefs>
    <ds:schemaRef ds:uri="http://schemas.microsoft.com/sharepoint/v3/contenttype/forms"/>
  </ds:schemaRefs>
</ds:datastoreItem>
</file>

<file path=customXml/itemProps4.xml><?xml version="1.0" encoding="utf-8"?>
<ds:datastoreItem xmlns:ds="http://schemas.openxmlformats.org/officeDocument/2006/customXml" ds:itemID="{6049D054-836B-46B4-AE95-D8B494B0C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5684</TotalTime>
  <Pages>219</Pages>
  <Words>64008</Words>
  <Characters>364848</Characters>
  <Application>Microsoft Office Word</Application>
  <DocSecurity>0</DocSecurity>
  <Lines>3040</Lines>
  <Paragraphs>855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428001</CharactersWithSpaces>
  <SharedDoc>false</SharedDoc>
  <HLinks>
    <vt:vector size="2202" baseType="variant">
      <vt:variant>
        <vt:i4>6291578</vt:i4>
      </vt:variant>
      <vt:variant>
        <vt:i4>239</vt:i4>
      </vt:variant>
      <vt:variant>
        <vt:i4>0</vt:i4>
      </vt:variant>
      <vt:variant>
        <vt:i4>5</vt:i4>
      </vt:variant>
      <vt:variant>
        <vt:lpwstr>https://www.sciencedirect.com/science/article/pii/S266711152200024X</vt:lpwstr>
      </vt:variant>
      <vt:variant>
        <vt:lpwstr/>
      </vt:variant>
      <vt:variant>
        <vt:i4>4587641</vt:i4>
      </vt:variant>
      <vt:variant>
        <vt:i4>236</vt:i4>
      </vt:variant>
      <vt:variant>
        <vt:i4>0</vt:i4>
      </vt:variant>
      <vt:variant>
        <vt:i4>5</vt:i4>
      </vt:variant>
      <vt:variant>
        <vt:lpwstr>https://asean.org/wp-content/uploads/2022/02/02-Final-_-Report-Blockchain-for-digital-government.pdf</vt:lpwstr>
      </vt:variant>
      <vt:variant>
        <vt:lpwstr/>
      </vt:variant>
      <vt:variant>
        <vt:i4>1114196</vt:i4>
      </vt:variant>
      <vt:variant>
        <vt:i4>231</vt:i4>
      </vt:variant>
      <vt:variant>
        <vt:i4>0</vt:i4>
      </vt:variant>
      <vt:variant>
        <vt:i4>5</vt:i4>
      </vt:variant>
      <vt:variant>
        <vt:lpwstr>https://www.gleif.org/en/lei-data/global-lei-index/lei-statistics</vt:lpwstr>
      </vt:variant>
      <vt:variant>
        <vt:lpwstr/>
      </vt:variant>
      <vt:variant>
        <vt:i4>1114196</vt:i4>
      </vt:variant>
      <vt:variant>
        <vt:i4>225</vt:i4>
      </vt:variant>
      <vt:variant>
        <vt:i4>0</vt:i4>
      </vt:variant>
      <vt:variant>
        <vt:i4>5</vt:i4>
      </vt:variant>
      <vt:variant>
        <vt:lpwstr>https://www.gleif.org/en/lei-data/global-lei-index/lei-statistics</vt:lpwstr>
      </vt:variant>
      <vt:variant>
        <vt:lpwstr/>
      </vt:variant>
      <vt:variant>
        <vt:i4>721022</vt:i4>
      </vt:variant>
      <vt:variant>
        <vt:i4>219</vt:i4>
      </vt:variant>
      <vt:variant>
        <vt:i4>0</vt:i4>
      </vt:variant>
      <vt:variant>
        <vt:i4>5</vt:i4>
      </vt:variant>
      <vt:variant>
        <vt:lpwstr>https://unctad.org/system/files/official-document/gds2016d3_en.pdf</vt:lpwstr>
      </vt:variant>
      <vt:variant>
        <vt:lpwstr/>
      </vt:variant>
      <vt:variant>
        <vt:i4>1179708</vt:i4>
      </vt:variant>
      <vt:variant>
        <vt:i4>212</vt:i4>
      </vt:variant>
      <vt:variant>
        <vt:i4>0</vt:i4>
      </vt:variant>
      <vt:variant>
        <vt:i4>5</vt:i4>
      </vt:variant>
      <vt:variant>
        <vt:lpwstr/>
      </vt:variant>
      <vt:variant>
        <vt:lpwstr>_Toc180743990</vt:lpwstr>
      </vt:variant>
      <vt:variant>
        <vt:i4>1245244</vt:i4>
      </vt:variant>
      <vt:variant>
        <vt:i4>206</vt:i4>
      </vt:variant>
      <vt:variant>
        <vt:i4>0</vt:i4>
      </vt:variant>
      <vt:variant>
        <vt:i4>5</vt:i4>
      </vt:variant>
      <vt:variant>
        <vt:lpwstr/>
      </vt:variant>
      <vt:variant>
        <vt:lpwstr>_Toc180743989</vt:lpwstr>
      </vt:variant>
      <vt:variant>
        <vt:i4>1245244</vt:i4>
      </vt:variant>
      <vt:variant>
        <vt:i4>200</vt:i4>
      </vt:variant>
      <vt:variant>
        <vt:i4>0</vt:i4>
      </vt:variant>
      <vt:variant>
        <vt:i4>5</vt:i4>
      </vt:variant>
      <vt:variant>
        <vt:lpwstr/>
      </vt:variant>
      <vt:variant>
        <vt:lpwstr>_Toc180743988</vt:lpwstr>
      </vt:variant>
      <vt:variant>
        <vt:i4>1245244</vt:i4>
      </vt:variant>
      <vt:variant>
        <vt:i4>194</vt:i4>
      </vt:variant>
      <vt:variant>
        <vt:i4>0</vt:i4>
      </vt:variant>
      <vt:variant>
        <vt:i4>5</vt:i4>
      </vt:variant>
      <vt:variant>
        <vt:lpwstr/>
      </vt:variant>
      <vt:variant>
        <vt:lpwstr>_Toc180743987</vt:lpwstr>
      </vt:variant>
      <vt:variant>
        <vt:i4>1245244</vt:i4>
      </vt:variant>
      <vt:variant>
        <vt:i4>188</vt:i4>
      </vt:variant>
      <vt:variant>
        <vt:i4>0</vt:i4>
      </vt:variant>
      <vt:variant>
        <vt:i4>5</vt:i4>
      </vt:variant>
      <vt:variant>
        <vt:lpwstr/>
      </vt:variant>
      <vt:variant>
        <vt:lpwstr>_Toc180743986</vt:lpwstr>
      </vt:variant>
      <vt:variant>
        <vt:i4>1245244</vt:i4>
      </vt:variant>
      <vt:variant>
        <vt:i4>182</vt:i4>
      </vt:variant>
      <vt:variant>
        <vt:i4>0</vt:i4>
      </vt:variant>
      <vt:variant>
        <vt:i4>5</vt:i4>
      </vt:variant>
      <vt:variant>
        <vt:lpwstr/>
      </vt:variant>
      <vt:variant>
        <vt:lpwstr>_Toc180743985</vt:lpwstr>
      </vt:variant>
      <vt:variant>
        <vt:i4>1245244</vt:i4>
      </vt:variant>
      <vt:variant>
        <vt:i4>176</vt:i4>
      </vt:variant>
      <vt:variant>
        <vt:i4>0</vt:i4>
      </vt:variant>
      <vt:variant>
        <vt:i4>5</vt:i4>
      </vt:variant>
      <vt:variant>
        <vt:lpwstr/>
      </vt:variant>
      <vt:variant>
        <vt:lpwstr>_Toc180743984</vt:lpwstr>
      </vt:variant>
      <vt:variant>
        <vt:i4>1245244</vt:i4>
      </vt:variant>
      <vt:variant>
        <vt:i4>170</vt:i4>
      </vt:variant>
      <vt:variant>
        <vt:i4>0</vt:i4>
      </vt:variant>
      <vt:variant>
        <vt:i4>5</vt:i4>
      </vt:variant>
      <vt:variant>
        <vt:lpwstr/>
      </vt:variant>
      <vt:variant>
        <vt:lpwstr>_Toc180743983</vt:lpwstr>
      </vt:variant>
      <vt:variant>
        <vt:i4>1245244</vt:i4>
      </vt:variant>
      <vt:variant>
        <vt:i4>164</vt:i4>
      </vt:variant>
      <vt:variant>
        <vt:i4>0</vt:i4>
      </vt:variant>
      <vt:variant>
        <vt:i4>5</vt:i4>
      </vt:variant>
      <vt:variant>
        <vt:lpwstr/>
      </vt:variant>
      <vt:variant>
        <vt:lpwstr>_Toc180743982</vt:lpwstr>
      </vt:variant>
      <vt:variant>
        <vt:i4>1245244</vt:i4>
      </vt:variant>
      <vt:variant>
        <vt:i4>158</vt:i4>
      </vt:variant>
      <vt:variant>
        <vt:i4>0</vt:i4>
      </vt:variant>
      <vt:variant>
        <vt:i4>5</vt:i4>
      </vt:variant>
      <vt:variant>
        <vt:lpwstr/>
      </vt:variant>
      <vt:variant>
        <vt:lpwstr>_Toc180743981</vt:lpwstr>
      </vt:variant>
      <vt:variant>
        <vt:i4>1245244</vt:i4>
      </vt:variant>
      <vt:variant>
        <vt:i4>152</vt:i4>
      </vt:variant>
      <vt:variant>
        <vt:i4>0</vt:i4>
      </vt:variant>
      <vt:variant>
        <vt:i4>5</vt:i4>
      </vt:variant>
      <vt:variant>
        <vt:lpwstr/>
      </vt:variant>
      <vt:variant>
        <vt:lpwstr>_Toc180743980</vt:lpwstr>
      </vt:variant>
      <vt:variant>
        <vt:i4>1835068</vt:i4>
      </vt:variant>
      <vt:variant>
        <vt:i4>146</vt:i4>
      </vt:variant>
      <vt:variant>
        <vt:i4>0</vt:i4>
      </vt:variant>
      <vt:variant>
        <vt:i4>5</vt:i4>
      </vt:variant>
      <vt:variant>
        <vt:lpwstr/>
      </vt:variant>
      <vt:variant>
        <vt:lpwstr>_Toc180743979</vt:lpwstr>
      </vt:variant>
      <vt:variant>
        <vt:i4>1835068</vt:i4>
      </vt:variant>
      <vt:variant>
        <vt:i4>140</vt:i4>
      </vt:variant>
      <vt:variant>
        <vt:i4>0</vt:i4>
      </vt:variant>
      <vt:variant>
        <vt:i4>5</vt:i4>
      </vt:variant>
      <vt:variant>
        <vt:lpwstr/>
      </vt:variant>
      <vt:variant>
        <vt:lpwstr>_Toc180743978</vt:lpwstr>
      </vt:variant>
      <vt:variant>
        <vt:i4>1835068</vt:i4>
      </vt:variant>
      <vt:variant>
        <vt:i4>134</vt:i4>
      </vt:variant>
      <vt:variant>
        <vt:i4>0</vt:i4>
      </vt:variant>
      <vt:variant>
        <vt:i4>5</vt:i4>
      </vt:variant>
      <vt:variant>
        <vt:lpwstr/>
      </vt:variant>
      <vt:variant>
        <vt:lpwstr>_Toc180743977</vt:lpwstr>
      </vt:variant>
      <vt:variant>
        <vt:i4>1835068</vt:i4>
      </vt:variant>
      <vt:variant>
        <vt:i4>128</vt:i4>
      </vt:variant>
      <vt:variant>
        <vt:i4>0</vt:i4>
      </vt:variant>
      <vt:variant>
        <vt:i4>5</vt:i4>
      </vt:variant>
      <vt:variant>
        <vt:lpwstr/>
      </vt:variant>
      <vt:variant>
        <vt:lpwstr>_Toc180743976</vt:lpwstr>
      </vt:variant>
      <vt:variant>
        <vt:i4>1835068</vt:i4>
      </vt:variant>
      <vt:variant>
        <vt:i4>122</vt:i4>
      </vt:variant>
      <vt:variant>
        <vt:i4>0</vt:i4>
      </vt:variant>
      <vt:variant>
        <vt:i4>5</vt:i4>
      </vt:variant>
      <vt:variant>
        <vt:lpwstr/>
      </vt:variant>
      <vt:variant>
        <vt:lpwstr>_Toc180743975</vt:lpwstr>
      </vt:variant>
      <vt:variant>
        <vt:i4>1835068</vt:i4>
      </vt:variant>
      <vt:variant>
        <vt:i4>116</vt:i4>
      </vt:variant>
      <vt:variant>
        <vt:i4>0</vt:i4>
      </vt:variant>
      <vt:variant>
        <vt:i4>5</vt:i4>
      </vt:variant>
      <vt:variant>
        <vt:lpwstr/>
      </vt:variant>
      <vt:variant>
        <vt:lpwstr>_Toc180743974</vt:lpwstr>
      </vt:variant>
      <vt:variant>
        <vt:i4>1835068</vt:i4>
      </vt:variant>
      <vt:variant>
        <vt:i4>110</vt:i4>
      </vt:variant>
      <vt:variant>
        <vt:i4>0</vt:i4>
      </vt:variant>
      <vt:variant>
        <vt:i4>5</vt:i4>
      </vt:variant>
      <vt:variant>
        <vt:lpwstr/>
      </vt:variant>
      <vt:variant>
        <vt:lpwstr>_Toc180743973</vt:lpwstr>
      </vt:variant>
      <vt:variant>
        <vt:i4>1835068</vt:i4>
      </vt:variant>
      <vt:variant>
        <vt:i4>104</vt:i4>
      </vt:variant>
      <vt:variant>
        <vt:i4>0</vt:i4>
      </vt:variant>
      <vt:variant>
        <vt:i4>5</vt:i4>
      </vt:variant>
      <vt:variant>
        <vt:lpwstr/>
      </vt:variant>
      <vt:variant>
        <vt:lpwstr>_Toc180743972</vt:lpwstr>
      </vt:variant>
      <vt:variant>
        <vt:i4>1835068</vt:i4>
      </vt:variant>
      <vt:variant>
        <vt:i4>98</vt:i4>
      </vt:variant>
      <vt:variant>
        <vt:i4>0</vt:i4>
      </vt:variant>
      <vt:variant>
        <vt:i4>5</vt:i4>
      </vt:variant>
      <vt:variant>
        <vt:lpwstr/>
      </vt:variant>
      <vt:variant>
        <vt:lpwstr>_Toc180743971</vt:lpwstr>
      </vt:variant>
      <vt:variant>
        <vt:i4>1835068</vt:i4>
      </vt:variant>
      <vt:variant>
        <vt:i4>92</vt:i4>
      </vt:variant>
      <vt:variant>
        <vt:i4>0</vt:i4>
      </vt:variant>
      <vt:variant>
        <vt:i4>5</vt:i4>
      </vt:variant>
      <vt:variant>
        <vt:lpwstr/>
      </vt:variant>
      <vt:variant>
        <vt:lpwstr>_Toc180743970</vt:lpwstr>
      </vt:variant>
      <vt:variant>
        <vt:i4>1900604</vt:i4>
      </vt:variant>
      <vt:variant>
        <vt:i4>86</vt:i4>
      </vt:variant>
      <vt:variant>
        <vt:i4>0</vt:i4>
      </vt:variant>
      <vt:variant>
        <vt:i4>5</vt:i4>
      </vt:variant>
      <vt:variant>
        <vt:lpwstr/>
      </vt:variant>
      <vt:variant>
        <vt:lpwstr>_Toc180743969</vt:lpwstr>
      </vt:variant>
      <vt:variant>
        <vt:i4>1900604</vt:i4>
      </vt:variant>
      <vt:variant>
        <vt:i4>80</vt:i4>
      </vt:variant>
      <vt:variant>
        <vt:i4>0</vt:i4>
      </vt:variant>
      <vt:variant>
        <vt:i4>5</vt:i4>
      </vt:variant>
      <vt:variant>
        <vt:lpwstr/>
      </vt:variant>
      <vt:variant>
        <vt:lpwstr>_Toc180743968</vt:lpwstr>
      </vt:variant>
      <vt:variant>
        <vt:i4>1900604</vt:i4>
      </vt:variant>
      <vt:variant>
        <vt:i4>74</vt:i4>
      </vt:variant>
      <vt:variant>
        <vt:i4>0</vt:i4>
      </vt:variant>
      <vt:variant>
        <vt:i4>5</vt:i4>
      </vt:variant>
      <vt:variant>
        <vt:lpwstr/>
      </vt:variant>
      <vt:variant>
        <vt:lpwstr>_Toc180743967</vt:lpwstr>
      </vt:variant>
      <vt:variant>
        <vt:i4>1900604</vt:i4>
      </vt:variant>
      <vt:variant>
        <vt:i4>68</vt:i4>
      </vt:variant>
      <vt:variant>
        <vt:i4>0</vt:i4>
      </vt:variant>
      <vt:variant>
        <vt:i4>5</vt:i4>
      </vt:variant>
      <vt:variant>
        <vt:lpwstr/>
      </vt:variant>
      <vt:variant>
        <vt:lpwstr>_Toc180743966</vt:lpwstr>
      </vt:variant>
      <vt:variant>
        <vt:i4>1900604</vt:i4>
      </vt:variant>
      <vt:variant>
        <vt:i4>62</vt:i4>
      </vt:variant>
      <vt:variant>
        <vt:i4>0</vt:i4>
      </vt:variant>
      <vt:variant>
        <vt:i4>5</vt:i4>
      </vt:variant>
      <vt:variant>
        <vt:lpwstr/>
      </vt:variant>
      <vt:variant>
        <vt:lpwstr>_Toc180743965</vt:lpwstr>
      </vt:variant>
      <vt:variant>
        <vt:i4>1900604</vt:i4>
      </vt:variant>
      <vt:variant>
        <vt:i4>56</vt:i4>
      </vt:variant>
      <vt:variant>
        <vt:i4>0</vt:i4>
      </vt:variant>
      <vt:variant>
        <vt:i4>5</vt:i4>
      </vt:variant>
      <vt:variant>
        <vt:lpwstr/>
      </vt:variant>
      <vt:variant>
        <vt:lpwstr>_Toc180743964</vt:lpwstr>
      </vt:variant>
      <vt:variant>
        <vt:i4>1900604</vt:i4>
      </vt:variant>
      <vt:variant>
        <vt:i4>50</vt:i4>
      </vt:variant>
      <vt:variant>
        <vt:i4>0</vt:i4>
      </vt:variant>
      <vt:variant>
        <vt:i4>5</vt:i4>
      </vt:variant>
      <vt:variant>
        <vt:lpwstr/>
      </vt:variant>
      <vt:variant>
        <vt:lpwstr>_Toc180743963</vt:lpwstr>
      </vt:variant>
      <vt:variant>
        <vt:i4>1900604</vt:i4>
      </vt:variant>
      <vt:variant>
        <vt:i4>44</vt:i4>
      </vt:variant>
      <vt:variant>
        <vt:i4>0</vt:i4>
      </vt:variant>
      <vt:variant>
        <vt:i4>5</vt:i4>
      </vt:variant>
      <vt:variant>
        <vt:lpwstr/>
      </vt:variant>
      <vt:variant>
        <vt:lpwstr>_Toc180743962</vt:lpwstr>
      </vt:variant>
      <vt:variant>
        <vt:i4>1900604</vt:i4>
      </vt:variant>
      <vt:variant>
        <vt:i4>38</vt:i4>
      </vt:variant>
      <vt:variant>
        <vt:i4>0</vt:i4>
      </vt:variant>
      <vt:variant>
        <vt:i4>5</vt:i4>
      </vt:variant>
      <vt:variant>
        <vt:lpwstr/>
      </vt:variant>
      <vt:variant>
        <vt:lpwstr>_Toc180743961</vt:lpwstr>
      </vt:variant>
      <vt:variant>
        <vt:i4>1900604</vt:i4>
      </vt:variant>
      <vt:variant>
        <vt:i4>32</vt:i4>
      </vt:variant>
      <vt:variant>
        <vt:i4>0</vt:i4>
      </vt:variant>
      <vt:variant>
        <vt:i4>5</vt:i4>
      </vt:variant>
      <vt:variant>
        <vt:lpwstr/>
      </vt:variant>
      <vt:variant>
        <vt:lpwstr>_Toc180743960</vt:lpwstr>
      </vt:variant>
      <vt:variant>
        <vt:i4>1966140</vt:i4>
      </vt:variant>
      <vt:variant>
        <vt:i4>26</vt:i4>
      </vt:variant>
      <vt:variant>
        <vt:i4>0</vt:i4>
      </vt:variant>
      <vt:variant>
        <vt:i4>5</vt:i4>
      </vt:variant>
      <vt:variant>
        <vt:lpwstr/>
      </vt:variant>
      <vt:variant>
        <vt:lpwstr>_Toc180743959</vt:lpwstr>
      </vt:variant>
      <vt:variant>
        <vt:i4>1966140</vt:i4>
      </vt:variant>
      <vt:variant>
        <vt:i4>20</vt:i4>
      </vt:variant>
      <vt:variant>
        <vt:i4>0</vt:i4>
      </vt:variant>
      <vt:variant>
        <vt:i4>5</vt:i4>
      </vt:variant>
      <vt:variant>
        <vt:lpwstr/>
      </vt:variant>
      <vt:variant>
        <vt:lpwstr>_Toc180743958</vt:lpwstr>
      </vt:variant>
      <vt:variant>
        <vt:i4>1966140</vt:i4>
      </vt:variant>
      <vt:variant>
        <vt:i4>14</vt:i4>
      </vt:variant>
      <vt:variant>
        <vt:i4>0</vt:i4>
      </vt:variant>
      <vt:variant>
        <vt:i4>5</vt:i4>
      </vt:variant>
      <vt:variant>
        <vt:lpwstr/>
      </vt:variant>
      <vt:variant>
        <vt:lpwstr>_Toc180743957</vt:lpwstr>
      </vt:variant>
      <vt:variant>
        <vt:i4>1966140</vt:i4>
      </vt:variant>
      <vt:variant>
        <vt:i4>8</vt:i4>
      </vt:variant>
      <vt:variant>
        <vt:i4>0</vt:i4>
      </vt:variant>
      <vt:variant>
        <vt:i4>5</vt:i4>
      </vt:variant>
      <vt:variant>
        <vt:lpwstr/>
      </vt:variant>
      <vt:variant>
        <vt:lpwstr>_Toc180743956</vt:lpwstr>
      </vt:variant>
      <vt:variant>
        <vt:i4>1966140</vt:i4>
      </vt:variant>
      <vt:variant>
        <vt:i4>2</vt:i4>
      </vt:variant>
      <vt:variant>
        <vt:i4>0</vt:i4>
      </vt:variant>
      <vt:variant>
        <vt:i4>5</vt:i4>
      </vt:variant>
      <vt:variant>
        <vt:lpwstr/>
      </vt:variant>
      <vt:variant>
        <vt:lpwstr>_Toc180743955</vt:lpwstr>
      </vt:variant>
      <vt:variant>
        <vt:i4>4128805</vt:i4>
      </vt:variant>
      <vt:variant>
        <vt:i4>975</vt:i4>
      </vt:variant>
      <vt:variant>
        <vt:i4>0</vt:i4>
      </vt:variant>
      <vt:variant>
        <vt:i4>5</vt:i4>
      </vt:variant>
      <vt:variant>
        <vt:lpwstr>https://asean.org/book/asean-guide-on-ai-governance-and-ethics/</vt:lpwstr>
      </vt:variant>
      <vt:variant>
        <vt:lpwstr/>
      </vt:variant>
      <vt:variant>
        <vt:i4>1507452</vt:i4>
      </vt:variant>
      <vt:variant>
        <vt:i4>972</vt:i4>
      </vt:variant>
      <vt:variant>
        <vt:i4>0</vt:i4>
      </vt:variant>
      <vt:variant>
        <vt:i4>5</vt:i4>
      </vt:variant>
      <vt:variant>
        <vt:lpwstr>https://asean.org/wp-content/uploads/3-ASEAN-Model-Contractual-Clauses-for-Cross-Border-Data-Flows_Final.pdf</vt:lpwstr>
      </vt:variant>
      <vt:variant>
        <vt:lpwstr/>
      </vt:variant>
      <vt:variant>
        <vt:i4>5439565</vt:i4>
      </vt:variant>
      <vt:variant>
        <vt:i4>969</vt:i4>
      </vt:variant>
      <vt:variant>
        <vt:i4>0</vt:i4>
      </vt:variant>
      <vt:variant>
        <vt:i4>5</vt:i4>
      </vt:variant>
      <vt:variant>
        <vt:lpwstr>https://asean.org/wp-content/uploads/2021/08/ASEAN-Data-Management-Framework.pdf</vt:lpwstr>
      </vt:variant>
      <vt:variant>
        <vt:lpwstr/>
      </vt:variant>
      <vt:variant>
        <vt:i4>6422587</vt:i4>
      </vt:variant>
      <vt:variant>
        <vt:i4>966</vt:i4>
      </vt:variant>
      <vt:variant>
        <vt:i4>0</vt:i4>
      </vt:variant>
      <vt:variant>
        <vt:i4>5</vt:i4>
      </vt:variant>
      <vt:variant>
        <vt:lpwstr>https://asean.org/wp-content/uploads/2012/05/10-ASEAN-Framework-on-PDP.pdf</vt:lpwstr>
      </vt:variant>
      <vt:variant>
        <vt:lpwstr/>
      </vt:variant>
      <vt:variant>
        <vt:i4>6225991</vt:i4>
      </vt:variant>
      <vt:variant>
        <vt:i4>963</vt:i4>
      </vt:variant>
      <vt:variant>
        <vt:i4>0</vt:i4>
      </vt:variant>
      <vt:variant>
        <vt:i4>5</vt:i4>
      </vt:variant>
      <vt:variant>
        <vt:lpwstr>https://asean.org/book/asean-guidelines-on-online-dispute-resolution-odr/</vt:lpwstr>
      </vt:variant>
      <vt:variant>
        <vt:lpwstr/>
      </vt:variant>
      <vt:variant>
        <vt:i4>2555968</vt:i4>
      </vt:variant>
      <vt:variant>
        <vt:i4>960</vt:i4>
      </vt:variant>
      <vt:variant>
        <vt:i4>0</vt:i4>
      </vt:variant>
      <vt:variant>
        <vt:i4>5</vt:i4>
      </vt:variant>
      <vt:variant>
        <vt:lpwstr>https://aseanconsumer.org/file/post_image/2020-02-26 ASEAN COC (fin).pdf</vt:lpwstr>
      </vt:variant>
      <vt:variant>
        <vt:lpwstr/>
      </vt:variant>
      <vt:variant>
        <vt:i4>2752522</vt:i4>
      </vt:variant>
      <vt:variant>
        <vt:i4>957</vt:i4>
      </vt:variant>
      <vt:variant>
        <vt:i4>0</vt:i4>
      </vt:variant>
      <vt:variant>
        <vt:i4>5</vt:i4>
      </vt:variant>
      <vt:variant>
        <vt:lpwstr>https://asean.org/wp-content/uploads/2023/03/ASEAN-Guidelines-on-Consumer-Impact-E-COMMERCE_V2-1.pdf</vt:lpwstr>
      </vt:variant>
      <vt:variant>
        <vt:lpwstr/>
      </vt:variant>
      <vt:variant>
        <vt:i4>8192030</vt:i4>
      </vt:variant>
      <vt:variant>
        <vt:i4>954</vt:i4>
      </vt:variant>
      <vt:variant>
        <vt:i4>0</vt:i4>
      </vt:variant>
      <vt:variant>
        <vt:i4>5</vt:i4>
      </vt:variant>
      <vt:variant>
        <vt:lpwstr>https://asean.org/wp-content/uploads/2022/02/01-ASEAN-Cybersecurity-Cooperation-Paper-2021-2025_final-23-0122.pdf</vt:lpwstr>
      </vt:variant>
      <vt:variant>
        <vt:lpwstr/>
      </vt:variant>
      <vt:variant>
        <vt:i4>5505031</vt:i4>
      </vt:variant>
      <vt:variant>
        <vt:i4>951</vt:i4>
      </vt:variant>
      <vt:variant>
        <vt:i4>0</vt:i4>
      </vt:variant>
      <vt:variant>
        <vt:i4>5</vt:i4>
      </vt:variant>
      <vt:variant>
        <vt:lpwstr>https://trustgrid.com/the-asean-digital-credentials-platform-akredi/</vt:lpwstr>
      </vt:variant>
      <vt:variant>
        <vt:lpwstr/>
      </vt:variant>
      <vt:variant>
        <vt:i4>1179728</vt:i4>
      </vt:variant>
      <vt:variant>
        <vt:i4>948</vt:i4>
      </vt:variant>
      <vt:variant>
        <vt:i4>0</vt:i4>
      </vt:variant>
      <vt:variant>
        <vt:i4>5</vt:i4>
      </vt:variant>
      <vt:variant>
        <vt:lpwstr>https://asean.org/wp-content/uploads/2024/04/TOR_UBIN-Implementation-Roadmap_final-1.pdf</vt:lpwstr>
      </vt:variant>
      <vt:variant>
        <vt:lpwstr/>
      </vt:variant>
      <vt:variant>
        <vt:i4>6815848</vt:i4>
      </vt:variant>
      <vt:variant>
        <vt:i4>945</vt:i4>
      </vt:variant>
      <vt:variant>
        <vt:i4>0</vt:i4>
      </vt:variant>
      <vt:variant>
        <vt:i4>5</vt:i4>
      </vt:variant>
      <vt:variant>
        <vt:lpwstr>https://asean-competition.org/read-news-handbook-on-competition-e-commerce-in-asean</vt:lpwstr>
      </vt:variant>
      <vt:variant>
        <vt:lpwstr/>
      </vt:variant>
      <vt:variant>
        <vt:i4>2293797</vt:i4>
      </vt:variant>
      <vt:variant>
        <vt:i4>942</vt:i4>
      </vt:variant>
      <vt:variant>
        <vt:i4>0</vt:i4>
      </vt:variant>
      <vt:variant>
        <vt:i4>5</vt:i4>
      </vt:variant>
      <vt:variant>
        <vt:lpwstr>https://afcwp.asean.org/wp-content/uploads/2020/07/Annex-E.-ASEAN-Payments-Policy-Framework.pdf</vt:lpwstr>
      </vt:variant>
      <vt:variant>
        <vt:lpwstr/>
      </vt:variant>
      <vt:variant>
        <vt:i4>6815797</vt:i4>
      </vt:variant>
      <vt:variant>
        <vt:i4>939</vt:i4>
      </vt:variant>
      <vt:variant>
        <vt:i4>0</vt:i4>
      </vt:variant>
      <vt:variant>
        <vt:i4>5</vt:i4>
      </vt:variant>
      <vt:variant>
        <vt:lpwstr>https://asean.org/wp-content/uploads/2022/03/Work-Plan-E-commerce-Agreement_endorsed_logo.pdf</vt:lpwstr>
      </vt:variant>
      <vt:variant>
        <vt:lpwstr/>
      </vt:variant>
      <vt:variant>
        <vt:i4>917595</vt:i4>
      </vt:variant>
      <vt:variant>
        <vt:i4>936</vt:i4>
      </vt:variant>
      <vt:variant>
        <vt:i4>0</vt:i4>
      </vt:variant>
      <vt:variant>
        <vt:i4>5</vt:i4>
      </vt:variant>
      <vt:variant>
        <vt:lpwstr>https://agreement.asean.org/media/download/20190306035048.pdf</vt:lpwstr>
      </vt:variant>
      <vt:variant>
        <vt:lpwstr/>
      </vt:variant>
      <vt:variant>
        <vt:i4>6488117</vt:i4>
      </vt:variant>
      <vt:variant>
        <vt:i4>933</vt:i4>
      </vt:variant>
      <vt:variant>
        <vt:i4>0</vt:i4>
      </vt:variant>
      <vt:variant>
        <vt:i4>5</vt:i4>
      </vt:variant>
      <vt:variant>
        <vt:lpwstr>https://acts.asean.org/</vt:lpwstr>
      </vt:variant>
      <vt:variant>
        <vt:lpwstr/>
      </vt:variant>
      <vt:variant>
        <vt:i4>6160387</vt:i4>
      </vt:variant>
      <vt:variant>
        <vt:i4>930</vt:i4>
      </vt:variant>
      <vt:variant>
        <vt:i4>0</vt:i4>
      </vt:variant>
      <vt:variant>
        <vt:i4>5</vt:i4>
      </vt:variant>
      <vt:variant>
        <vt:lpwstr>https://asean.org/our-communities/economic-community/asean-single-window/</vt:lpwstr>
      </vt:variant>
      <vt:variant>
        <vt:lpwstr/>
      </vt:variant>
      <vt:variant>
        <vt:i4>3407930</vt:i4>
      </vt:variant>
      <vt:variant>
        <vt:i4>927</vt:i4>
      </vt:variant>
      <vt:variant>
        <vt:i4>0</vt:i4>
      </vt:variant>
      <vt:variant>
        <vt:i4>5</vt:i4>
      </vt:variant>
      <vt:variant>
        <vt:lpwstr>https://asean.org/wp-content/uploads/images/2015/November/ICT/15b -- AIM 2020_Publication_Final.pdf</vt:lpwstr>
      </vt:variant>
      <vt:variant>
        <vt:lpwstr/>
      </vt:variant>
      <vt:variant>
        <vt:i4>4653078</vt:i4>
      </vt:variant>
      <vt:variant>
        <vt:i4>924</vt:i4>
      </vt:variant>
      <vt:variant>
        <vt:i4>0</vt:i4>
      </vt:variant>
      <vt:variant>
        <vt:i4>5</vt:i4>
      </vt:variant>
      <vt:variant>
        <vt:lpwstr>https://asean.org/book/asean-digital-masterplan-2025/</vt:lpwstr>
      </vt:variant>
      <vt:variant>
        <vt:lpwstr/>
      </vt:variant>
      <vt:variant>
        <vt:i4>6357118</vt:i4>
      </vt:variant>
      <vt:variant>
        <vt:i4>921</vt:i4>
      </vt:variant>
      <vt:variant>
        <vt:i4>0</vt:i4>
      </vt:variant>
      <vt:variant>
        <vt:i4>5</vt:i4>
      </vt:variant>
      <vt:variant>
        <vt:lpwstr>https://www.iso.org/obp/ui/en/</vt:lpwstr>
      </vt:variant>
      <vt:variant>
        <vt:lpwstr>!iso:std:73642:en</vt:lpwstr>
      </vt:variant>
      <vt:variant>
        <vt:i4>4063340</vt:i4>
      </vt:variant>
      <vt:variant>
        <vt:i4>918</vt:i4>
      </vt:variant>
      <vt:variant>
        <vt:i4>0</vt:i4>
      </vt:variant>
      <vt:variant>
        <vt:i4>5</vt:i4>
      </vt:variant>
      <vt:variant>
        <vt:lpwstr>https://www.usasean.org/article/digital-identity-asean</vt:lpwstr>
      </vt:variant>
      <vt:variant>
        <vt:lpwstr/>
      </vt:variant>
      <vt:variant>
        <vt:i4>1179728</vt:i4>
      </vt:variant>
      <vt:variant>
        <vt:i4>915</vt:i4>
      </vt:variant>
      <vt:variant>
        <vt:i4>0</vt:i4>
      </vt:variant>
      <vt:variant>
        <vt:i4>5</vt:i4>
      </vt:variant>
      <vt:variant>
        <vt:lpwstr>https://asean.org/wp-content/uploads/2024/04/TOR_UBIN-Implementation-Roadmap_final-1.pdf</vt:lpwstr>
      </vt:variant>
      <vt:variant>
        <vt:lpwstr/>
      </vt:variant>
      <vt:variant>
        <vt:i4>917569</vt:i4>
      </vt:variant>
      <vt:variant>
        <vt:i4>912</vt:i4>
      </vt:variant>
      <vt:variant>
        <vt:i4>0</vt:i4>
      </vt:variant>
      <vt:variant>
        <vt:i4>5</vt:i4>
      </vt:variant>
      <vt:variant>
        <vt:lpwstr>https://asean.org/wp-content/uploads/2021/08/What-is-MRAs.pdf</vt:lpwstr>
      </vt:variant>
      <vt:variant>
        <vt:lpwstr/>
      </vt:variant>
      <vt:variant>
        <vt:i4>4653146</vt:i4>
      </vt:variant>
      <vt:variant>
        <vt:i4>909</vt:i4>
      </vt:variant>
      <vt:variant>
        <vt:i4>0</vt:i4>
      </vt:variant>
      <vt:variant>
        <vt:i4>5</vt:i4>
      </vt:variant>
      <vt:variant>
        <vt:lpwstr>https://asean.org/wp-content/uploads/2023/05/ASEAN-Guidelines-for-Harmonisation-of-Standards-2022-Version.pdf</vt:lpwstr>
      </vt:variant>
      <vt:variant>
        <vt:lpwstr/>
      </vt:variant>
      <vt:variant>
        <vt:i4>3932217</vt:i4>
      </vt:variant>
      <vt:variant>
        <vt:i4>906</vt:i4>
      </vt:variant>
      <vt:variant>
        <vt:i4>0</vt:i4>
      </vt:variant>
      <vt:variant>
        <vt:i4>5</vt:i4>
      </vt:variant>
      <vt:variant>
        <vt:lpwstr>https://asean.org/wp-content/uploads/2022/11/FINAL-Policy-Toolkit-Strengthening-Womens-Entrepreneurship-in-MSME.pdf</vt:lpwstr>
      </vt:variant>
      <vt:variant>
        <vt:lpwstr/>
      </vt:variant>
      <vt:variant>
        <vt:i4>4391000</vt:i4>
      </vt:variant>
      <vt:variant>
        <vt:i4>903</vt:i4>
      </vt:variant>
      <vt:variant>
        <vt:i4>0</vt:i4>
      </vt:variant>
      <vt:variant>
        <vt:i4>5</vt:i4>
      </vt:variant>
      <vt:variant>
        <vt:lpwstr>https://www.imf.org/en/Publications/WP/Issues/2020/07/03/Determinants-of-Inclusive-Growth-in-ASEAN-49547</vt:lpwstr>
      </vt:variant>
      <vt:variant>
        <vt:lpwstr/>
      </vt:variant>
      <vt:variant>
        <vt:i4>6750270</vt:i4>
      </vt:variant>
      <vt:variant>
        <vt:i4>900</vt:i4>
      </vt:variant>
      <vt:variant>
        <vt:i4>0</vt:i4>
      </vt:variant>
      <vt:variant>
        <vt:i4>5</vt:i4>
      </vt:variant>
      <vt:variant>
        <vt:lpwstr>https://impact.economist.com/perspectives/sites/default/files/eiu_vmware_up_in_the_air_infographic.pdf</vt:lpwstr>
      </vt:variant>
      <vt:variant>
        <vt:lpwstr/>
      </vt:variant>
      <vt:variant>
        <vt:i4>4653078</vt:i4>
      </vt:variant>
      <vt:variant>
        <vt:i4>897</vt:i4>
      </vt:variant>
      <vt:variant>
        <vt:i4>0</vt:i4>
      </vt:variant>
      <vt:variant>
        <vt:i4>5</vt:i4>
      </vt:variant>
      <vt:variant>
        <vt:lpwstr>https://asean.org/book/asean-digital-masterplan-2025/</vt:lpwstr>
      </vt:variant>
      <vt:variant>
        <vt:lpwstr/>
      </vt:variant>
      <vt:variant>
        <vt:i4>5439576</vt:i4>
      </vt:variant>
      <vt:variant>
        <vt:i4>894</vt:i4>
      </vt:variant>
      <vt:variant>
        <vt:i4>0</vt:i4>
      </vt:variant>
      <vt:variant>
        <vt:i4>5</vt:i4>
      </vt:variant>
      <vt:variant>
        <vt:lpwstr>https://www.malaysia.gov.my/portal/content/31183</vt:lpwstr>
      </vt:variant>
      <vt:variant>
        <vt:lpwstr/>
      </vt:variant>
      <vt:variant>
        <vt:i4>4653068</vt:i4>
      </vt:variant>
      <vt:variant>
        <vt:i4>891</vt:i4>
      </vt:variant>
      <vt:variant>
        <vt:i4>0</vt:i4>
      </vt:variant>
      <vt:variant>
        <vt:i4>5</vt:i4>
      </vt:variant>
      <vt:variant>
        <vt:lpwstr>https://www.iso.org/committee/45306.html</vt:lpwstr>
      </vt:variant>
      <vt:variant>
        <vt:lpwstr/>
      </vt:variant>
      <vt:variant>
        <vt:i4>4653068</vt:i4>
      </vt:variant>
      <vt:variant>
        <vt:i4>888</vt:i4>
      </vt:variant>
      <vt:variant>
        <vt:i4>0</vt:i4>
      </vt:variant>
      <vt:variant>
        <vt:i4>5</vt:i4>
      </vt:variant>
      <vt:variant>
        <vt:lpwstr>https://www.iso.org/committee/45306.html</vt:lpwstr>
      </vt:variant>
      <vt:variant>
        <vt:lpwstr/>
      </vt:variant>
      <vt:variant>
        <vt:i4>4653064</vt:i4>
      </vt:variant>
      <vt:variant>
        <vt:i4>885</vt:i4>
      </vt:variant>
      <vt:variant>
        <vt:i4>0</vt:i4>
      </vt:variant>
      <vt:variant>
        <vt:i4>5</vt:i4>
      </vt:variant>
      <vt:variant>
        <vt:lpwstr>https://nvlpubs.nist.gov/nistpubs/Legacy/SP/nistspecialpublication800-145.pdf</vt:lpwstr>
      </vt:variant>
      <vt:variant>
        <vt:lpwstr/>
      </vt:variant>
      <vt:variant>
        <vt:i4>4849665</vt:i4>
      </vt:variant>
      <vt:variant>
        <vt:i4>882</vt:i4>
      </vt:variant>
      <vt:variant>
        <vt:i4>0</vt:i4>
      </vt:variant>
      <vt:variant>
        <vt:i4>5</vt:i4>
      </vt:variant>
      <vt:variant>
        <vt:lpwstr>https://nvlpubs.nist.gov/nistpubs/Legacy/SP/nistspecialpublication500-292.pdf</vt:lpwstr>
      </vt:variant>
      <vt:variant>
        <vt:lpwstr/>
      </vt:variant>
      <vt:variant>
        <vt:i4>4522049</vt:i4>
      </vt:variant>
      <vt:variant>
        <vt:i4>879</vt:i4>
      </vt:variant>
      <vt:variant>
        <vt:i4>0</vt:i4>
      </vt:variant>
      <vt:variant>
        <vt:i4>5</vt:i4>
      </vt:variant>
      <vt:variant>
        <vt:lpwstr>https://cloudsecurityalliance.org/research/cloud-controls-matrix</vt:lpwstr>
      </vt:variant>
      <vt:variant>
        <vt:lpwstr/>
      </vt:variant>
      <vt:variant>
        <vt:i4>6881340</vt:i4>
      </vt:variant>
      <vt:variant>
        <vt:i4>876</vt:i4>
      </vt:variant>
      <vt:variant>
        <vt:i4>0</vt:i4>
      </vt:variant>
      <vt:variant>
        <vt:i4>5</vt:i4>
      </vt:variant>
      <vt:variant>
        <vt:lpwstr>https://www.iso.org/standard/76559.html</vt:lpwstr>
      </vt:variant>
      <vt:variant>
        <vt:lpwstr/>
      </vt:variant>
      <vt:variant>
        <vt:i4>6684729</vt:i4>
      </vt:variant>
      <vt:variant>
        <vt:i4>873</vt:i4>
      </vt:variant>
      <vt:variant>
        <vt:i4>0</vt:i4>
      </vt:variant>
      <vt:variant>
        <vt:i4>5</vt:i4>
      </vt:variant>
      <vt:variant>
        <vt:lpwstr>https://www.iso.org/standard/43757.html</vt:lpwstr>
      </vt:variant>
      <vt:variant>
        <vt:lpwstr/>
      </vt:variant>
      <vt:variant>
        <vt:i4>4915280</vt:i4>
      </vt:variant>
      <vt:variant>
        <vt:i4>870</vt:i4>
      </vt:variant>
      <vt:variant>
        <vt:i4>0</vt:i4>
      </vt:variant>
      <vt:variant>
        <vt:i4>5</vt:i4>
      </vt:variant>
      <vt:variant>
        <vt:lpwstr>https://www.kloud9it.com/2024/03/the-evolution-and-impact-of-cloud-computing-in-the-digital-age/</vt:lpwstr>
      </vt:variant>
      <vt:variant>
        <vt:lpwstr/>
      </vt:variant>
      <vt:variant>
        <vt:i4>6750270</vt:i4>
      </vt:variant>
      <vt:variant>
        <vt:i4>867</vt:i4>
      </vt:variant>
      <vt:variant>
        <vt:i4>0</vt:i4>
      </vt:variant>
      <vt:variant>
        <vt:i4>5</vt:i4>
      </vt:variant>
      <vt:variant>
        <vt:lpwstr>https://impact.economist.com/perspectives/sites/default/files/eiu_vmware_up_in_the_air_infographic.pdf</vt:lpwstr>
      </vt:variant>
      <vt:variant>
        <vt:lpwstr/>
      </vt:variant>
      <vt:variant>
        <vt:i4>6881309</vt:i4>
      </vt:variant>
      <vt:variant>
        <vt:i4>864</vt:i4>
      </vt:variant>
      <vt:variant>
        <vt:i4>0</vt:i4>
      </vt:variant>
      <vt:variant>
        <vt:i4>5</vt:i4>
      </vt:variant>
      <vt:variant>
        <vt:lpwstr>https://insights.sei.cmu.edu/documents/2235/2012_004_001_28143.pdf</vt:lpwstr>
      </vt:variant>
      <vt:variant>
        <vt:lpwstr/>
      </vt:variant>
      <vt:variant>
        <vt:i4>458782</vt:i4>
      </vt:variant>
      <vt:variant>
        <vt:i4>861</vt:i4>
      </vt:variant>
      <vt:variant>
        <vt:i4>0</vt:i4>
      </vt:variant>
      <vt:variant>
        <vt:i4>5</vt:i4>
      </vt:variant>
      <vt:variant>
        <vt:lpwstr>https://digital-finance-platform.ec.europa.eu/cross-border-services/ebsi</vt:lpwstr>
      </vt:variant>
      <vt:variant>
        <vt:lpwstr/>
      </vt:variant>
      <vt:variant>
        <vt:i4>262228</vt:i4>
      </vt:variant>
      <vt:variant>
        <vt:i4>858</vt:i4>
      </vt:variant>
      <vt:variant>
        <vt:i4>0</vt:i4>
      </vt:variant>
      <vt:variant>
        <vt:i4>5</vt:i4>
      </vt:variant>
      <vt:variant>
        <vt:lpwstr>https://digital-strategy.ec.europa.eu/en/policies/blockchain-strategy</vt:lpwstr>
      </vt:variant>
      <vt:variant>
        <vt:lpwstr/>
      </vt:variant>
      <vt:variant>
        <vt:i4>262228</vt:i4>
      </vt:variant>
      <vt:variant>
        <vt:i4>855</vt:i4>
      </vt:variant>
      <vt:variant>
        <vt:i4>0</vt:i4>
      </vt:variant>
      <vt:variant>
        <vt:i4>5</vt:i4>
      </vt:variant>
      <vt:variant>
        <vt:lpwstr>https://digital-strategy.ec.europa.eu/en/policies/blockchain-strategy</vt:lpwstr>
      </vt:variant>
      <vt:variant>
        <vt:lpwstr/>
      </vt:variant>
      <vt:variant>
        <vt:i4>262228</vt:i4>
      </vt:variant>
      <vt:variant>
        <vt:i4>852</vt:i4>
      </vt:variant>
      <vt:variant>
        <vt:i4>0</vt:i4>
      </vt:variant>
      <vt:variant>
        <vt:i4>5</vt:i4>
      </vt:variant>
      <vt:variant>
        <vt:lpwstr>https://digital-strategy.ec.europa.eu/en/policies/blockchain-strategy</vt:lpwstr>
      </vt:variant>
      <vt:variant>
        <vt:lpwstr/>
      </vt:variant>
      <vt:variant>
        <vt:i4>4456522</vt:i4>
      </vt:variant>
      <vt:variant>
        <vt:i4>849</vt:i4>
      </vt:variant>
      <vt:variant>
        <vt:i4>0</vt:i4>
      </vt:variant>
      <vt:variant>
        <vt:i4>5</vt:i4>
      </vt:variant>
      <vt:variant>
        <vt:lpwstr>https://www.businesstimes.com.sg/international/asean/asean-blockchain-consortium-formed-drive-cross-border-collaboration</vt:lpwstr>
      </vt:variant>
      <vt:variant>
        <vt:lpwstr/>
      </vt:variant>
      <vt:variant>
        <vt:i4>4587641</vt:i4>
      </vt:variant>
      <vt:variant>
        <vt:i4>846</vt:i4>
      </vt:variant>
      <vt:variant>
        <vt:i4>0</vt:i4>
      </vt:variant>
      <vt:variant>
        <vt:i4>5</vt:i4>
      </vt:variant>
      <vt:variant>
        <vt:lpwstr>https://asean.org/wp-content/uploads/2022/02/02-Final-_-Report-Blockchain-for-digital-government.pdf</vt:lpwstr>
      </vt:variant>
      <vt:variant>
        <vt:lpwstr/>
      </vt:variant>
      <vt:variant>
        <vt:i4>4587641</vt:i4>
      </vt:variant>
      <vt:variant>
        <vt:i4>843</vt:i4>
      </vt:variant>
      <vt:variant>
        <vt:i4>0</vt:i4>
      </vt:variant>
      <vt:variant>
        <vt:i4>5</vt:i4>
      </vt:variant>
      <vt:variant>
        <vt:lpwstr>https://asean.org/wp-content/uploads/2022/02/02-Final-_-Report-Blockchain-for-digital-government.pdf</vt:lpwstr>
      </vt:variant>
      <vt:variant>
        <vt:lpwstr/>
      </vt:variant>
      <vt:variant>
        <vt:i4>4587641</vt:i4>
      </vt:variant>
      <vt:variant>
        <vt:i4>840</vt:i4>
      </vt:variant>
      <vt:variant>
        <vt:i4>0</vt:i4>
      </vt:variant>
      <vt:variant>
        <vt:i4>5</vt:i4>
      </vt:variant>
      <vt:variant>
        <vt:lpwstr>https://asean.org/wp-content/uploads/2022/02/02-Final-_-Report-Blockchain-for-digital-government.pdf</vt:lpwstr>
      </vt:variant>
      <vt:variant>
        <vt:lpwstr/>
      </vt:variant>
      <vt:variant>
        <vt:i4>4587641</vt:i4>
      </vt:variant>
      <vt:variant>
        <vt:i4>837</vt:i4>
      </vt:variant>
      <vt:variant>
        <vt:i4>0</vt:i4>
      </vt:variant>
      <vt:variant>
        <vt:i4>5</vt:i4>
      </vt:variant>
      <vt:variant>
        <vt:lpwstr>https://asean.org/wp-content/uploads/2022/02/02-Final-_-Report-Blockchain-for-digital-government.pdf</vt:lpwstr>
      </vt:variant>
      <vt:variant>
        <vt:lpwstr/>
      </vt:variant>
      <vt:variant>
        <vt:i4>4522004</vt:i4>
      </vt:variant>
      <vt:variant>
        <vt:i4>834</vt:i4>
      </vt:variant>
      <vt:variant>
        <vt:i4>0</vt:i4>
      </vt:variant>
      <vt:variant>
        <vt:i4>5</vt:i4>
      </vt:variant>
      <vt:variant>
        <vt:lpwstr>https://www.iso.org/committee/6266604.html?view=participation</vt:lpwstr>
      </vt:variant>
      <vt:variant>
        <vt:lpwstr/>
      </vt:variant>
      <vt:variant>
        <vt:i4>7471145</vt:i4>
      </vt:variant>
      <vt:variant>
        <vt:i4>831</vt:i4>
      </vt:variant>
      <vt:variant>
        <vt:i4>0</vt:i4>
      </vt:variant>
      <vt:variant>
        <vt:i4>5</vt:i4>
      </vt:variant>
      <vt:variant>
        <vt:lpwstr>https://www.gs1.org/node/4261</vt:lpwstr>
      </vt:variant>
      <vt:variant>
        <vt:lpwstr>:~:text=GS1's%20global%20standards%20for%20identification,reducing%20data%20duplication%20and%20reconciliation</vt:lpwstr>
      </vt:variant>
      <vt:variant>
        <vt:i4>3670119</vt:i4>
      </vt:variant>
      <vt:variant>
        <vt:i4>828</vt:i4>
      </vt:variant>
      <vt:variant>
        <vt:i4>0</vt:i4>
      </vt:variant>
      <vt:variant>
        <vt:i4>5</vt:i4>
      </vt:variant>
      <vt:variant>
        <vt:lpwstr>https://standards.ieee.org/ieee/3205/10237/</vt:lpwstr>
      </vt:variant>
      <vt:variant>
        <vt:lpwstr/>
      </vt:variant>
      <vt:variant>
        <vt:i4>6422580</vt:i4>
      </vt:variant>
      <vt:variant>
        <vt:i4>825</vt:i4>
      </vt:variant>
      <vt:variant>
        <vt:i4>0</vt:i4>
      </vt:variant>
      <vt:variant>
        <vt:i4>5</vt:i4>
      </vt:variant>
      <vt:variant>
        <vt:lpwstr>https://www.iso.org/standard/82098.html</vt:lpwstr>
      </vt:variant>
      <vt:variant>
        <vt:lpwstr/>
      </vt:variant>
      <vt:variant>
        <vt:i4>6684723</vt:i4>
      </vt:variant>
      <vt:variant>
        <vt:i4>822</vt:i4>
      </vt:variant>
      <vt:variant>
        <vt:i4>0</vt:i4>
      </vt:variant>
      <vt:variant>
        <vt:i4>5</vt:i4>
      </vt:variant>
      <vt:variant>
        <vt:lpwstr>https://www.iso.org/standard/75093.html</vt:lpwstr>
      </vt:variant>
      <vt:variant>
        <vt:lpwstr/>
      </vt:variant>
      <vt:variant>
        <vt:i4>6291517</vt:i4>
      </vt:variant>
      <vt:variant>
        <vt:i4>819</vt:i4>
      </vt:variant>
      <vt:variant>
        <vt:i4>0</vt:i4>
      </vt:variant>
      <vt:variant>
        <vt:i4>5</vt:i4>
      </vt:variant>
      <vt:variant>
        <vt:lpwstr>https://www.iso.org/standard/82208.html</vt:lpwstr>
      </vt:variant>
      <vt:variant>
        <vt:lpwstr/>
      </vt:variant>
      <vt:variant>
        <vt:i4>6357051</vt:i4>
      </vt:variant>
      <vt:variant>
        <vt:i4>816</vt:i4>
      </vt:variant>
      <vt:variant>
        <vt:i4>0</vt:i4>
      </vt:variant>
      <vt:variant>
        <vt:i4>5</vt:i4>
      </vt:variant>
      <vt:variant>
        <vt:lpwstr>https://digital-strategy.ec.europa.eu/en/policies/blockchain-standards</vt:lpwstr>
      </vt:variant>
      <vt:variant>
        <vt:lpwstr/>
      </vt:variant>
      <vt:variant>
        <vt:i4>6357051</vt:i4>
      </vt:variant>
      <vt:variant>
        <vt:i4>813</vt:i4>
      </vt:variant>
      <vt:variant>
        <vt:i4>0</vt:i4>
      </vt:variant>
      <vt:variant>
        <vt:i4>5</vt:i4>
      </vt:variant>
      <vt:variant>
        <vt:lpwstr>https://digital-strategy.ec.europa.eu/en/policies/blockchain-standards</vt:lpwstr>
      </vt:variant>
      <vt:variant>
        <vt:lpwstr/>
      </vt:variant>
      <vt:variant>
        <vt:i4>3342395</vt:i4>
      </vt:variant>
      <vt:variant>
        <vt:i4>810</vt:i4>
      </vt:variant>
      <vt:variant>
        <vt:i4>0</vt:i4>
      </vt:variant>
      <vt:variant>
        <vt:i4>5</vt:i4>
      </vt:variant>
      <vt:variant>
        <vt:lpwstr>https://www.iso.org/committee/6794475.html;?view=participation</vt:lpwstr>
      </vt:variant>
      <vt:variant>
        <vt:lpwstr/>
      </vt:variant>
      <vt:variant>
        <vt:i4>3342395</vt:i4>
      </vt:variant>
      <vt:variant>
        <vt:i4>807</vt:i4>
      </vt:variant>
      <vt:variant>
        <vt:i4>0</vt:i4>
      </vt:variant>
      <vt:variant>
        <vt:i4>5</vt:i4>
      </vt:variant>
      <vt:variant>
        <vt:lpwstr>https://www.iso.org/committee/6794475.html;?view=participation</vt:lpwstr>
      </vt:variant>
      <vt:variant>
        <vt:lpwstr/>
      </vt:variant>
      <vt:variant>
        <vt:i4>4128805</vt:i4>
      </vt:variant>
      <vt:variant>
        <vt:i4>804</vt:i4>
      </vt:variant>
      <vt:variant>
        <vt:i4>0</vt:i4>
      </vt:variant>
      <vt:variant>
        <vt:i4>5</vt:i4>
      </vt:variant>
      <vt:variant>
        <vt:lpwstr>https://asean.org/book/asean-guide-on-ai-governance-and-ethics/</vt:lpwstr>
      </vt:variant>
      <vt:variant>
        <vt:lpwstr/>
      </vt:variant>
      <vt:variant>
        <vt:i4>4128805</vt:i4>
      </vt:variant>
      <vt:variant>
        <vt:i4>801</vt:i4>
      </vt:variant>
      <vt:variant>
        <vt:i4>0</vt:i4>
      </vt:variant>
      <vt:variant>
        <vt:i4>5</vt:i4>
      </vt:variant>
      <vt:variant>
        <vt:lpwstr>https://asean.org/book/asean-guide-on-ai-governance-and-ethics/</vt:lpwstr>
      </vt:variant>
      <vt:variant>
        <vt:lpwstr/>
      </vt:variant>
      <vt:variant>
        <vt:i4>3538990</vt:i4>
      </vt:variant>
      <vt:variant>
        <vt:i4>798</vt:i4>
      </vt:variant>
      <vt:variant>
        <vt:i4>0</vt:i4>
      </vt:variant>
      <vt:variant>
        <vt:i4>5</vt:i4>
      </vt:variant>
      <vt:variant>
        <vt:lpwstr>https://aiverifyfoundation.sg/resources/</vt:lpwstr>
      </vt:variant>
      <vt:variant>
        <vt:lpwstr>crosswalk-with-iso42001</vt:lpwstr>
      </vt:variant>
      <vt:variant>
        <vt:i4>524290</vt:i4>
      </vt:variant>
      <vt:variant>
        <vt:i4>795</vt:i4>
      </vt:variant>
      <vt:variant>
        <vt:i4>0</vt:i4>
      </vt:variant>
      <vt:variant>
        <vt:i4>5</vt:i4>
      </vt:variant>
      <vt:variant>
        <vt:lpwstr>https://www.imda.gov.sg/resources/press-releases-factsheets-and-speeches/press-releases/2023/nist-imda-joint-mapping-exercise</vt:lpwstr>
      </vt:variant>
      <vt:variant>
        <vt:lpwstr/>
      </vt:variant>
      <vt:variant>
        <vt:i4>4849687</vt:i4>
      </vt:variant>
      <vt:variant>
        <vt:i4>792</vt:i4>
      </vt:variant>
      <vt:variant>
        <vt:i4>0</vt:i4>
      </vt:variant>
      <vt:variant>
        <vt:i4>5</vt:i4>
      </vt:variant>
      <vt:variant>
        <vt:lpwstr>https://aiverifyfoundation.sg/what-is-ai-verify/</vt:lpwstr>
      </vt:variant>
      <vt:variant>
        <vt:lpwstr/>
      </vt:variant>
      <vt:variant>
        <vt:i4>4849730</vt:i4>
      </vt:variant>
      <vt:variant>
        <vt:i4>789</vt:i4>
      </vt:variant>
      <vt:variant>
        <vt:i4>0</vt:i4>
      </vt:variant>
      <vt:variant>
        <vt:i4>5</vt:i4>
      </vt:variant>
      <vt:variant>
        <vt:lpwstr>http://www.iso.org/committee/6794475/x/catalogue/p/1/u/1/w/0/d/0</vt:lpwstr>
      </vt:variant>
      <vt:variant>
        <vt:lpwstr/>
      </vt:variant>
      <vt:variant>
        <vt:i4>1704028</vt:i4>
      </vt:variant>
      <vt:variant>
        <vt:i4>786</vt:i4>
      </vt:variant>
      <vt:variant>
        <vt:i4>0</vt:i4>
      </vt:variant>
      <vt:variant>
        <vt:i4>5</vt:i4>
      </vt:variant>
      <vt:variant>
        <vt:lpwstr>https://news.un.org/en/story/2024/03/1147831</vt:lpwstr>
      </vt:variant>
      <vt:variant>
        <vt:lpwstr/>
      </vt:variant>
      <vt:variant>
        <vt:i4>4128815</vt:i4>
      </vt:variant>
      <vt:variant>
        <vt:i4>783</vt:i4>
      </vt:variant>
      <vt:variant>
        <vt:i4>0</vt:i4>
      </vt:variant>
      <vt:variant>
        <vt:i4>5</vt:i4>
      </vt:variant>
      <vt:variant>
        <vt:lpwstr>https://www.unesco.org/en/artificial-intelligence/recommendation-ethics</vt:lpwstr>
      </vt:variant>
      <vt:variant>
        <vt:lpwstr/>
      </vt:variant>
      <vt:variant>
        <vt:i4>393304</vt:i4>
      </vt:variant>
      <vt:variant>
        <vt:i4>780</vt:i4>
      </vt:variant>
      <vt:variant>
        <vt:i4>0</vt:i4>
      </vt:variant>
      <vt:variant>
        <vt:i4>5</vt:i4>
      </vt:variant>
      <vt:variant>
        <vt:lpwstr>https://standards.ieee.org/initiatives/artificial-intelligence-systems/standards.html</vt:lpwstr>
      </vt:variant>
      <vt:variant>
        <vt:lpwstr>2247</vt:lpwstr>
      </vt:variant>
      <vt:variant>
        <vt:i4>2752614</vt:i4>
      </vt:variant>
      <vt:variant>
        <vt:i4>777</vt:i4>
      </vt:variant>
      <vt:variant>
        <vt:i4>0</vt:i4>
      </vt:variant>
      <vt:variant>
        <vt:i4>5</vt:i4>
      </vt:variant>
      <vt:variant>
        <vt:lpwstr>https://standards.ieee.org/ieee/7000/6781/</vt:lpwstr>
      </vt:variant>
      <vt:variant>
        <vt:lpwstr/>
      </vt:variant>
      <vt:variant>
        <vt:i4>3670126</vt:i4>
      </vt:variant>
      <vt:variant>
        <vt:i4>774</vt:i4>
      </vt:variant>
      <vt:variant>
        <vt:i4>0</vt:i4>
      </vt:variant>
      <vt:variant>
        <vt:i4>5</vt:i4>
      </vt:variant>
      <vt:variant>
        <vt:lpwstr>https://standards.ieee.org/industry-connections/ec/autonomous-systems.html</vt:lpwstr>
      </vt:variant>
      <vt:variant>
        <vt:lpwstr/>
      </vt:variant>
      <vt:variant>
        <vt:i4>1179743</vt:i4>
      </vt:variant>
      <vt:variant>
        <vt:i4>771</vt:i4>
      </vt:variant>
      <vt:variant>
        <vt:i4>0</vt:i4>
      </vt:variant>
      <vt:variant>
        <vt:i4>5</vt:i4>
      </vt:variant>
      <vt:variant>
        <vt:lpwstr>https://www.nist.gov/itl/ai-risk-management-framework/ai-rmf-development</vt:lpwstr>
      </vt:variant>
      <vt:variant>
        <vt:lpwstr/>
      </vt:variant>
      <vt:variant>
        <vt:i4>6815805</vt:i4>
      </vt:variant>
      <vt:variant>
        <vt:i4>768</vt:i4>
      </vt:variant>
      <vt:variant>
        <vt:i4>0</vt:i4>
      </vt:variant>
      <vt:variant>
        <vt:i4>5</vt:i4>
      </vt:variant>
      <vt:variant>
        <vt:lpwstr>https://www.iso.org/standard/81230.html</vt:lpwstr>
      </vt:variant>
      <vt:variant>
        <vt:lpwstr/>
      </vt:variant>
      <vt:variant>
        <vt:i4>4915266</vt:i4>
      </vt:variant>
      <vt:variant>
        <vt:i4>765</vt:i4>
      </vt:variant>
      <vt:variant>
        <vt:i4>0</vt:i4>
      </vt:variant>
      <vt:variant>
        <vt:i4>5</vt:i4>
      </vt:variant>
      <vt:variant>
        <vt:lpwstr>http://www.iso.org/committee/6794475/x/catalogue/p/0/u/1/w/0/d/0</vt:lpwstr>
      </vt:variant>
      <vt:variant>
        <vt:lpwstr/>
      </vt:variant>
      <vt:variant>
        <vt:i4>6029378</vt:i4>
      </vt:variant>
      <vt:variant>
        <vt:i4>762</vt:i4>
      </vt:variant>
      <vt:variant>
        <vt:i4>0</vt:i4>
      </vt:variant>
      <vt:variant>
        <vt:i4>5</vt:i4>
      </vt:variant>
      <vt:variant>
        <vt:lpwstr>http://www.iso.org/committee/6794475/x/catalogue</vt:lpwstr>
      </vt:variant>
      <vt:variant>
        <vt:lpwstr/>
      </vt:variant>
      <vt:variant>
        <vt:i4>4128892</vt:i4>
      </vt:variant>
      <vt:variant>
        <vt:i4>759</vt:i4>
      </vt:variant>
      <vt:variant>
        <vt:i4>0</vt:i4>
      </vt:variant>
      <vt:variant>
        <vt:i4>5</vt:i4>
      </vt:variant>
      <vt:variant>
        <vt:lpwstr>http://www.iso.org/standard/77607.html</vt:lpwstr>
      </vt:variant>
      <vt:variant>
        <vt:lpwstr/>
      </vt:variant>
      <vt:variant>
        <vt:i4>6553656</vt:i4>
      </vt:variant>
      <vt:variant>
        <vt:i4>756</vt:i4>
      </vt:variant>
      <vt:variant>
        <vt:i4>0</vt:i4>
      </vt:variant>
      <vt:variant>
        <vt:i4>5</vt:i4>
      </vt:variant>
      <vt:variant>
        <vt:lpwstr>https://www.iso.org/standard/77607.html</vt:lpwstr>
      </vt:variant>
      <vt:variant>
        <vt:lpwstr/>
      </vt:variant>
      <vt:variant>
        <vt:i4>4128883</vt:i4>
      </vt:variant>
      <vt:variant>
        <vt:i4>753</vt:i4>
      </vt:variant>
      <vt:variant>
        <vt:i4>0</vt:i4>
      </vt:variant>
      <vt:variant>
        <vt:i4>5</vt:i4>
      </vt:variant>
      <vt:variant>
        <vt:lpwstr>http://www.iso.org/standard/77608.html</vt:lpwstr>
      </vt:variant>
      <vt:variant>
        <vt:lpwstr/>
      </vt:variant>
      <vt:variant>
        <vt:i4>7012408</vt:i4>
      </vt:variant>
      <vt:variant>
        <vt:i4>750</vt:i4>
      </vt:variant>
      <vt:variant>
        <vt:i4>0</vt:i4>
      </vt:variant>
      <vt:variant>
        <vt:i4>5</vt:i4>
      </vt:variant>
      <vt:variant>
        <vt:lpwstr>https://www.iso.org/standard/77608.html</vt:lpwstr>
      </vt:variant>
      <vt:variant>
        <vt:lpwstr/>
      </vt:variant>
      <vt:variant>
        <vt:i4>4849730</vt:i4>
      </vt:variant>
      <vt:variant>
        <vt:i4>747</vt:i4>
      </vt:variant>
      <vt:variant>
        <vt:i4>0</vt:i4>
      </vt:variant>
      <vt:variant>
        <vt:i4>5</vt:i4>
      </vt:variant>
      <vt:variant>
        <vt:lpwstr>http://www.iso.org/committee/6794475/x/catalogue/p/1/u/1/w/0/d/0</vt:lpwstr>
      </vt:variant>
      <vt:variant>
        <vt:lpwstr/>
      </vt:variant>
      <vt:variant>
        <vt:i4>3801123</vt:i4>
      </vt:variant>
      <vt:variant>
        <vt:i4>744</vt:i4>
      </vt:variant>
      <vt:variant>
        <vt:i4>0</vt:i4>
      </vt:variant>
      <vt:variant>
        <vt:i4>5</vt:i4>
      </vt:variant>
      <vt:variant>
        <vt:lpwstr>https://www.unesco.org/en/articles/enabling-ai-governance-and-innovation-through-standards</vt:lpwstr>
      </vt:variant>
      <vt:variant>
        <vt:lpwstr/>
      </vt:variant>
      <vt:variant>
        <vt:i4>3014772</vt:i4>
      </vt:variant>
      <vt:variant>
        <vt:i4>741</vt:i4>
      </vt:variant>
      <vt:variant>
        <vt:i4>0</vt:i4>
      </vt:variant>
      <vt:variant>
        <vt:i4>5</vt:i4>
      </vt:variant>
      <vt:variant>
        <vt:lpwstr>https://bowergroupasia.com/asean-announces-much-anticipated-guide-on-ai-governance-and-ethics/</vt:lpwstr>
      </vt:variant>
      <vt:variant>
        <vt:lpwstr/>
      </vt:variant>
      <vt:variant>
        <vt:i4>6357051</vt:i4>
      </vt:variant>
      <vt:variant>
        <vt:i4>738</vt:i4>
      </vt:variant>
      <vt:variant>
        <vt:i4>0</vt:i4>
      </vt:variant>
      <vt:variant>
        <vt:i4>5</vt:i4>
      </vt:variant>
      <vt:variant>
        <vt:lpwstr>https://digital-strategy.ec.europa.eu/en/policies/blockchain-standards</vt:lpwstr>
      </vt:variant>
      <vt:variant>
        <vt:lpwstr/>
      </vt:variant>
      <vt:variant>
        <vt:i4>3407930</vt:i4>
      </vt:variant>
      <vt:variant>
        <vt:i4>735</vt:i4>
      </vt:variant>
      <vt:variant>
        <vt:i4>0</vt:i4>
      </vt:variant>
      <vt:variant>
        <vt:i4>5</vt:i4>
      </vt:variant>
      <vt:variant>
        <vt:lpwstr>https://asean.org/wp-content/uploads/images/2015/November/ICT/15b -- AIM 2020_Publication_Final.pdf</vt:lpwstr>
      </vt:variant>
      <vt:variant>
        <vt:lpwstr/>
      </vt:variant>
      <vt:variant>
        <vt:i4>4784199</vt:i4>
      </vt:variant>
      <vt:variant>
        <vt:i4>732</vt:i4>
      </vt:variant>
      <vt:variant>
        <vt:i4>0</vt:i4>
      </vt:variant>
      <vt:variant>
        <vt:i4>5</vt:i4>
      </vt:variant>
      <vt:variant>
        <vt:lpwstr>https://asean.org/wp-content/uploads/2015/12/Edited-ICT-3.pdf</vt:lpwstr>
      </vt:variant>
      <vt:variant>
        <vt:lpwstr/>
      </vt:variant>
      <vt:variant>
        <vt:i4>4587641</vt:i4>
      </vt:variant>
      <vt:variant>
        <vt:i4>729</vt:i4>
      </vt:variant>
      <vt:variant>
        <vt:i4>0</vt:i4>
      </vt:variant>
      <vt:variant>
        <vt:i4>5</vt:i4>
      </vt:variant>
      <vt:variant>
        <vt:lpwstr>https://asean.org/wp-content/uploads/2022/02/02-Final-_-Report-Blockchain-for-digital-government.pdf</vt:lpwstr>
      </vt:variant>
      <vt:variant>
        <vt:lpwstr/>
      </vt:variant>
      <vt:variant>
        <vt:i4>4128805</vt:i4>
      </vt:variant>
      <vt:variant>
        <vt:i4>726</vt:i4>
      </vt:variant>
      <vt:variant>
        <vt:i4>0</vt:i4>
      </vt:variant>
      <vt:variant>
        <vt:i4>5</vt:i4>
      </vt:variant>
      <vt:variant>
        <vt:lpwstr>https://asean.org/book/asean-guide-on-ai-governance-and-ethics/</vt:lpwstr>
      </vt:variant>
      <vt:variant>
        <vt:lpwstr/>
      </vt:variant>
      <vt:variant>
        <vt:i4>3342375</vt:i4>
      </vt:variant>
      <vt:variant>
        <vt:i4>723</vt:i4>
      </vt:variant>
      <vt:variant>
        <vt:i4>0</vt:i4>
      </vt:variant>
      <vt:variant>
        <vt:i4>5</vt:i4>
      </vt:variant>
      <vt:variant>
        <vt:lpwstr>https://www.idc.com/getdoc.jsp?containerId=prAP49852022</vt:lpwstr>
      </vt:variant>
      <vt:variant>
        <vt:lpwstr/>
      </vt:variant>
      <vt:variant>
        <vt:i4>3670137</vt:i4>
      </vt:variant>
      <vt:variant>
        <vt:i4>720</vt:i4>
      </vt:variant>
      <vt:variant>
        <vt:i4>0</vt:i4>
      </vt:variant>
      <vt:variant>
        <vt:i4>5</vt:i4>
      </vt:variant>
      <vt:variant>
        <vt:lpwstr>https://www.middle-east.kearney.com/service/digital-analytics/article/-/insights/racing-toward-the-future-artificial-intelligence-in-southeast-asia</vt:lpwstr>
      </vt:variant>
      <vt:variant>
        <vt:lpwstr>:~:text=AI%20has%20the%20potential%20to%20add%20%241%20trillion%20to%20the%20region's%20GDP&amp;text=Our%20study%20reveals%20that%20AI,trillion%20(see%20figure%204)</vt:lpwstr>
      </vt:variant>
      <vt:variant>
        <vt:i4>7667819</vt:i4>
      </vt:variant>
      <vt:variant>
        <vt:i4>717</vt:i4>
      </vt:variant>
      <vt:variant>
        <vt:i4>0</vt:i4>
      </vt:variant>
      <vt:variant>
        <vt:i4>5</vt:i4>
      </vt:variant>
      <vt:variant>
        <vt:lpwstr>https://www2.deloitte.com/id/en/pages/risk/articles/data-privacy-in-asean.html</vt:lpwstr>
      </vt:variant>
      <vt:variant>
        <vt:lpwstr/>
      </vt:variant>
      <vt:variant>
        <vt:i4>2621503</vt:i4>
      </vt:variant>
      <vt:variant>
        <vt:i4>714</vt:i4>
      </vt:variant>
      <vt:variant>
        <vt:i4>0</vt:i4>
      </vt:variant>
      <vt:variant>
        <vt:i4>5</vt:i4>
      </vt:variant>
      <vt:variant>
        <vt:lpwstr>https://www.imda.gov.sg/how-we-can-help/data-innovation/privacy-enhancing-technology-sandboxes</vt:lpwstr>
      </vt:variant>
      <vt:variant>
        <vt:lpwstr/>
      </vt:variant>
      <vt:variant>
        <vt:i4>2359408</vt:i4>
      </vt:variant>
      <vt:variant>
        <vt:i4>711</vt:i4>
      </vt:variant>
      <vt:variant>
        <vt:i4>0</vt:i4>
      </vt:variant>
      <vt:variant>
        <vt:i4>5</vt:i4>
      </vt:variant>
      <vt:variant>
        <vt:lpwstr>https://www.pdpc.gov.sg/-/media/files/pdpc/pdf-files/practical-guidance-provided-by-pdpc/singapore-guidance-for-use-of-asean-mccs---010921.pdf</vt:lpwstr>
      </vt:variant>
      <vt:variant>
        <vt:lpwstr/>
      </vt:variant>
      <vt:variant>
        <vt:i4>5308500</vt:i4>
      </vt:variant>
      <vt:variant>
        <vt:i4>708</vt:i4>
      </vt:variant>
      <vt:variant>
        <vt:i4>0</vt:i4>
      </vt:variant>
      <vt:variant>
        <vt:i4>5</vt:i4>
      </vt:variant>
      <vt:variant>
        <vt:lpwstr>https://asean.org/wp-content/uploads/2021/08/Implementing-Guidelines-for-ASEAN-Data-Management-Framework-and-Cross-Border-Data-Flows.pdf</vt:lpwstr>
      </vt:variant>
      <vt:variant>
        <vt:lpwstr/>
      </vt:variant>
      <vt:variant>
        <vt:i4>5308500</vt:i4>
      </vt:variant>
      <vt:variant>
        <vt:i4>705</vt:i4>
      </vt:variant>
      <vt:variant>
        <vt:i4>0</vt:i4>
      </vt:variant>
      <vt:variant>
        <vt:i4>5</vt:i4>
      </vt:variant>
      <vt:variant>
        <vt:lpwstr>https://asean.org/wp-content/uploads/2021/08/Implementing-Guidelines-for-ASEAN-Data-Management-Framework-and-Cross-Border-Data-Flows.pdf</vt:lpwstr>
      </vt:variant>
      <vt:variant>
        <vt:lpwstr/>
      </vt:variant>
      <vt:variant>
        <vt:i4>917578</vt:i4>
      </vt:variant>
      <vt:variant>
        <vt:i4>702</vt:i4>
      </vt:variant>
      <vt:variant>
        <vt:i4>0</vt:i4>
      </vt:variant>
      <vt:variant>
        <vt:i4>5</vt:i4>
      </vt:variant>
      <vt:variant>
        <vt:lpwstr>https://www.pdpc.gov.sg/the-distinction-between-organisations-and-data-intermediaries-and-why-it-matters</vt:lpwstr>
      </vt:variant>
      <vt:variant>
        <vt:lpwstr/>
      </vt:variant>
      <vt:variant>
        <vt:i4>4587526</vt:i4>
      </vt:variant>
      <vt:variant>
        <vt:i4>699</vt:i4>
      </vt:variant>
      <vt:variant>
        <vt:i4>0</vt:i4>
      </vt:variant>
      <vt:variant>
        <vt:i4>5</vt:i4>
      </vt:variant>
      <vt:variant>
        <vt:lpwstr>https://www.imda.gov.sg/how-we-can-help/cross-border-privacy-rules-certification</vt:lpwstr>
      </vt:variant>
      <vt:variant>
        <vt:lpwstr/>
      </vt:variant>
      <vt:variant>
        <vt:i4>1769549</vt:i4>
      </vt:variant>
      <vt:variant>
        <vt:i4>696</vt:i4>
      </vt:variant>
      <vt:variant>
        <vt:i4>0</vt:i4>
      </vt:variant>
      <vt:variant>
        <vt:i4>5</vt:i4>
      </vt:variant>
      <vt:variant>
        <vt:lpwstr>https://goingdigital.oecd.org/data/notes/No21_ToolkitNote_PrivacyDataInteroperability.pdf</vt:lpwstr>
      </vt:variant>
      <vt:variant>
        <vt:lpwstr/>
      </vt:variant>
      <vt:variant>
        <vt:i4>5439565</vt:i4>
      </vt:variant>
      <vt:variant>
        <vt:i4>693</vt:i4>
      </vt:variant>
      <vt:variant>
        <vt:i4>0</vt:i4>
      </vt:variant>
      <vt:variant>
        <vt:i4>5</vt:i4>
      </vt:variant>
      <vt:variant>
        <vt:lpwstr>https://asean.org/wp-content/uploads/2021/08/ASEAN-Data-Management-Framework.pdf</vt:lpwstr>
      </vt:variant>
      <vt:variant>
        <vt:lpwstr/>
      </vt:variant>
      <vt:variant>
        <vt:i4>5439565</vt:i4>
      </vt:variant>
      <vt:variant>
        <vt:i4>690</vt:i4>
      </vt:variant>
      <vt:variant>
        <vt:i4>0</vt:i4>
      </vt:variant>
      <vt:variant>
        <vt:i4>5</vt:i4>
      </vt:variant>
      <vt:variant>
        <vt:lpwstr>https://asean.org/wp-content/uploads/2021/08/ASEAN-Data-Management-Framework.pdf</vt:lpwstr>
      </vt:variant>
      <vt:variant>
        <vt:lpwstr/>
      </vt:variant>
      <vt:variant>
        <vt:i4>6422587</vt:i4>
      </vt:variant>
      <vt:variant>
        <vt:i4>687</vt:i4>
      </vt:variant>
      <vt:variant>
        <vt:i4>0</vt:i4>
      </vt:variant>
      <vt:variant>
        <vt:i4>5</vt:i4>
      </vt:variant>
      <vt:variant>
        <vt:lpwstr>https://asean.org/wp-content/uploads/2012/05/10-ASEAN-Framework-on-PDP.pdf</vt:lpwstr>
      </vt:variant>
      <vt:variant>
        <vt:lpwstr/>
      </vt:variant>
      <vt:variant>
        <vt:i4>7929891</vt:i4>
      </vt:variant>
      <vt:variant>
        <vt:i4>684</vt:i4>
      </vt:variant>
      <vt:variant>
        <vt:i4>0</vt:i4>
      </vt:variant>
      <vt:variant>
        <vt:i4>5</vt:i4>
      </vt:variant>
      <vt:variant>
        <vt:lpwstr>https://www2.deloitte.com/content/dam/Deloitte/sg/Documents/risk/sea-risk-data-privacy-in-asean.pdf</vt:lpwstr>
      </vt:variant>
      <vt:variant>
        <vt:lpwstr/>
      </vt:variant>
      <vt:variant>
        <vt:i4>5439565</vt:i4>
      </vt:variant>
      <vt:variant>
        <vt:i4>681</vt:i4>
      </vt:variant>
      <vt:variant>
        <vt:i4>0</vt:i4>
      </vt:variant>
      <vt:variant>
        <vt:i4>5</vt:i4>
      </vt:variant>
      <vt:variant>
        <vt:lpwstr>https://asean.org/wp-content/uploads/2021/08/ASEAN-Data-Management-Framework.pdf</vt:lpwstr>
      </vt:variant>
      <vt:variant>
        <vt:lpwstr/>
      </vt:variant>
      <vt:variant>
        <vt:i4>6750261</vt:i4>
      </vt:variant>
      <vt:variant>
        <vt:i4>678</vt:i4>
      </vt:variant>
      <vt:variant>
        <vt:i4>0</vt:i4>
      </vt:variant>
      <vt:variant>
        <vt:i4>5</vt:i4>
      </vt:variant>
      <vt:variant>
        <vt:lpwstr>https://www.iso.org/standard/68427.html</vt:lpwstr>
      </vt:variant>
      <vt:variant>
        <vt:lpwstr/>
      </vt:variant>
      <vt:variant>
        <vt:i4>6488121</vt:i4>
      </vt:variant>
      <vt:variant>
        <vt:i4>675</vt:i4>
      </vt:variant>
      <vt:variant>
        <vt:i4>0</vt:i4>
      </vt:variant>
      <vt:variant>
        <vt:i4>5</vt:i4>
      </vt:variant>
      <vt:variant>
        <vt:lpwstr>https://www.iso.org/standard/71670.html</vt:lpwstr>
      </vt:variant>
      <vt:variant>
        <vt:lpwstr/>
      </vt:variant>
      <vt:variant>
        <vt:i4>1245257</vt:i4>
      </vt:variant>
      <vt:variant>
        <vt:i4>672</vt:i4>
      </vt:variant>
      <vt:variant>
        <vt:i4>0</vt:i4>
      </vt:variant>
      <vt:variant>
        <vt:i4>5</vt:i4>
      </vt:variant>
      <vt:variant>
        <vt:lpwstr>https://www.rsis.edu.sg/rsis-publication/rsis/global-data-governance-asean-pathways-to-regional-and-international-leadership/</vt:lpwstr>
      </vt:variant>
      <vt:variant>
        <vt:lpwstr/>
      </vt:variant>
      <vt:variant>
        <vt:i4>3473533</vt:i4>
      </vt:variant>
      <vt:variant>
        <vt:i4>669</vt:i4>
      </vt:variant>
      <vt:variant>
        <vt:i4>0</vt:i4>
      </vt:variant>
      <vt:variant>
        <vt:i4>5</vt:i4>
      </vt:variant>
      <vt:variant>
        <vt:lpwstr>https://aciperspectives.com/2024/04/17/aseans-fragmenting-data-regulatory-framework-whats-the-way-forward/</vt:lpwstr>
      </vt:variant>
      <vt:variant>
        <vt:lpwstr/>
      </vt:variant>
      <vt:variant>
        <vt:i4>3473533</vt:i4>
      </vt:variant>
      <vt:variant>
        <vt:i4>666</vt:i4>
      </vt:variant>
      <vt:variant>
        <vt:i4>0</vt:i4>
      </vt:variant>
      <vt:variant>
        <vt:i4>5</vt:i4>
      </vt:variant>
      <vt:variant>
        <vt:lpwstr>https://aciperspectives.com/2024/04/17/aseans-fragmenting-data-regulatory-framework-whats-the-way-forward/</vt:lpwstr>
      </vt:variant>
      <vt:variant>
        <vt:lpwstr/>
      </vt:variant>
      <vt:variant>
        <vt:i4>2555968</vt:i4>
      </vt:variant>
      <vt:variant>
        <vt:i4>663</vt:i4>
      </vt:variant>
      <vt:variant>
        <vt:i4>0</vt:i4>
      </vt:variant>
      <vt:variant>
        <vt:i4>5</vt:i4>
      </vt:variant>
      <vt:variant>
        <vt:lpwstr>https://aseanconsumer.org/file/post_image/2020-02-26 ASEAN COC (fin).pdf</vt:lpwstr>
      </vt:variant>
      <vt:variant>
        <vt:lpwstr/>
      </vt:variant>
      <vt:variant>
        <vt:i4>2883680</vt:i4>
      </vt:variant>
      <vt:variant>
        <vt:i4>660</vt:i4>
      </vt:variant>
      <vt:variant>
        <vt:i4>0</vt:i4>
      </vt:variant>
      <vt:variant>
        <vt:i4>5</vt:i4>
      </vt:variant>
      <vt:variant>
        <vt:lpwstr>https://asean.org/wp-content/uploads/2022/11/Feasibility-Study-of-ASEAN-Trust-Mark-Scheme-Final-Report.pdf</vt:lpwstr>
      </vt:variant>
      <vt:variant>
        <vt:lpwstr/>
      </vt:variant>
      <vt:variant>
        <vt:i4>6160455</vt:i4>
      </vt:variant>
      <vt:variant>
        <vt:i4>657</vt:i4>
      </vt:variant>
      <vt:variant>
        <vt:i4>0</vt:i4>
      </vt:variant>
      <vt:variant>
        <vt:i4>5</vt:i4>
      </vt:variant>
      <vt:variant>
        <vt:lpwstr>https://aseanconsumer.org/cterms-regional-cooperation-in-asean/asean-high-level-principles-on-consumer-protection</vt:lpwstr>
      </vt:variant>
      <vt:variant>
        <vt:lpwstr/>
      </vt:variant>
      <vt:variant>
        <vt:i4>7798820</vt:i4>
      </vt:variant>
      <vt:variant>
        <vt:i4>654</vt:i4>
      </vt:variant>
      <vt:variant>
        <vt:i4>0</vt:i4>
      </vt:variant>
      <vt:variant>
        <vt:i4>5</vt:i4>
      </vt:variant>
      <vt:variant>
        <vt:lpwstr>https://asean.org/wp-content/uploads/2021/01/ASEAN-Strategic-Action-Plan-for-Consumer-Protection-2016-2025-ASAPCP-2025.pdf</vt:lpwstr>
      </vt:variant>
      <vt:variant>
        <vt:lpwstr/>
      </vt:variant>
      <vt:variant>
        <vt:i4>2752522</vt:i4>
      </vt:variant>
      <vt:variant>
        <vt:i4>651</vt:i4>
      </vt:variant>
      <vt:variant>
        <vt:i4>0</vt:i4>
      </vt:variant>
      <vt:variant>
        <vt:i4>5</vt:i4>
      </vt:variant>
      <vt:variant>
        <vt:lpwstr>https://asean.org/wp-content/uploads/2023/03/ASEAN-Guidelines-on-Consumer-Impact-E-COMMERCE_V2-1.pdf</vt:lpwstr>
      </vt:variant>
      <vt:variant>
        <vt:lpwstr/>
      </vt:variant>
      <vt:variant>
        <vt:i4>3801184</vt:i4>
      </vt:variant>
      <vt:variant>
        <vt:i4>648</vt:i4>
      </vt:variant>
      <vt:variant>
        <vt:i4>0</vt:i4>
      </vt:variant>
      <vt:variant>
        <vt:i4>5</vt:i4>
      </vt:variant>
      <vt:variant>
        <vt:lpwstr>https://asean.org/shaping-a-safer-digital-world-for-children-together/</vt:lpwstr>
      </vt:variant>
      <vt:variant>
        <vt:lpwstr/>
      </vt:variant>
      <vt:variant>
        <vt:i4>3539012</vt:i4>
      </vt:variant>
      <vt:variant>
        <vt:i4>645</vt:i4>
      </vt:variant>
      <vt:variant>
        <vt:i4>0</vt:i4>
      </vt:variant>
      <vt:variant>
        <vt:i4>5</vt:i4>
      </vt:variant>
      <vt:variant>
        <vt:lpwstr>https://asean.org/wp-content/uploads/2021/10/Bandar-Seri-Begawan-Roadmap-on-ASEAN-Digital-Transformation-Agenda_Endorsed.pdf</vt:lpwstr>
      </vt:variant>
      <vt:variant>
        <vt:lpwstr/>
      </vt:variant>
      <vt:variant>
        <vt:i4>4194428</vt:i4>
      </vt:variant>
      <vt:variant>
        <vt:i4>642</vt:i4>
      </vt:variant>
      <vt:variant>
        <vt:i4>0</vt:i4>
      </vt:variant>
      <vt:variant>
        <vt:i4>5</vt:i4>
      </vt:variant>
      <vt:variant>
        <vt:lpwstr>https://downloads.ctfassets.net/corl1354p0t3/750MZKJ7tfh9NSwTdPviqG/9dec46e2d311f2f8b130c28600a55fba/CyberAsean_Report.pdf</vt:lpwstr>
      </vt:variant>
      <vt:variant>
        <vt:lpwstr/>
      </vt:variant>
      <vt:variant>
        <vt:i4>5570567</vt:i4>
      </vt:variant>
      <vt:variant>
        <vt:i4>639</vt:i4>
      </vt:variant>
      <vt:variant>
        <vt:i4>0</vt:i4>
      </vt:variant>
      <vt:variant>
        <vt:i4>5</vt:i4>
      </vt:variant>
      <vt:variant>
        <vt:lpwstr>https://www.imda.gov.sg/-/media/imda/files/regulations-and-licensing/licensing/ict-standards-and-quality-of-service/industry-committees-and-working-groups/it-standards-committee/singapore-it-standards.pdf</vt:lpwstr>
      </vt:variant>
      <vt:variant>
        <vt:lpwstr/>
      </vt:variant>
      <vt:variant>
        <vt:i4>1966204</vt:i4>
      </vt:variant>
      <vt:variant>
        <vt:i4>636</vt:i4>
      </vt:variant>
      <vt:variant>
        <vt:i4>0</vt:i4>
      </vt:variant>
      <vt:variant>
        <vt:i4>5</vt:i4>
      </vt:variant>
      <vt:variant>
        <vt:lpwstr>https://commission.europa.eu/document/8d85b491-81d4-487e-9de9-cb071c8dba41_en</vt:lpwstr>
      </vt:variant>
      <vt:variant>
        <vt:lpwstr/>
      </vt:variant>
      <vt:variant>
        <vt:i4>4587526</vt:i4>
      </vt:variant>
      <vt:variant>
        <vt:i4>633</vt:i4>
      </vt:variant>
      <vt:variant>
        <vt:i4>0</vt:i4>
      </vt:variant>
      <vt:variant>
        <vt:i4>5</vt:i4>
      </vt:variant>
      <vt:variant>
        <vt:lpwstr>https://www.mofa.go.jp/mofaj/files/100251122.pdf</vt:lpwstr>
      </vt:variant>
      <vt:variant>
        <vt:lpwstr/>
      </vt:variant>
      <vt:variant>
        <vt:i4>4587526</vt:i4>
      </vt:variant>
      <vt:variant>
        <vt:i4>630</vt:i4>
      </vt:variant>
      <vt:variant>
        <vt:i4>0</vt:i4>
      </vt:variant>
      <vt:variant>
        <vt:i4>5</vt:i4>
      </vt:variant>
      <vt:variant>
        <vt:lpwstr>https://www.mofa.go.jp/mofaj/files/100251122.pdf</vt:lpwstr>
      </vt:variant>
      <vt:variant>
        <vt:lpwstr/>
      </vt:variant>
      <vt:variant>
        <vt:i4>6225991</vt:i4>
      </vt:variant>
      <vt:variant>
        <vt:i4>627</vt:i4>
      </vt:variant>
      <vt:variant>
        <vt:i4>0</vt:i4>
      </vt:variant>
      <vt:variant>
        <vt:i4>5</vt:i4>
      </vt:variant>
      <vt:variant>
        <vt:lpwstr>https://asean.org/book/asean-guidelines-on-online-dispute-resolution-odr/</vt:lpwstr>
      </vt:variant>
      <vt:variant>
        <vt:lpwstr/>
      </vt:variant>
      <vt:variant>
        <vt:i4>6684728</vt:i4>
      </vt:variant>
      <vt:variant>
        <vt:i4>624</vt:i4>
      </vt:variant>
      <vt:variant>
        <vt:i4>0</vt:i4>
      </vt:variant>
      <vt:variant>
        <vt:i4>5</vt:i4>
      </vt:variant>
      <vt:variant>
        <vt:lpwstr>https://www.iso.org/standard/84834.html</vt:lpwstr>
      </vt:variant>
      <vt:variant>
        <vt:lpwstr/>
      </vt:variant>
      <vt:variant>
        <vt:i4>8192030</vt:i4>
      </vt:variant>
      <vt:variant>
        <vt:i4>621</vt:i4>
      </vt:variant>
      <vt:variant>
        <vt:i4>0</vt:i4>
      </vt:variant>
      <vt:variant>
        <vt:i4>5</vt:i4>
      </vt:variant>
      <vt:variant>
        <vt:lpwstr>https://asean.org/wp-content/uploads/2022/02/01-ASEAN-Cybersecurity-Cooperation-Paper-2021-2025_final-23-0122.pdf</vt:lpwstr>
      </vt:variant>
      <vt:variant>
        <vt:lpwstr/>
      </vt:variant>
      <vt:variant>
        <vt:i4>4194428</vt:i4>
      </vt:variant>
      <vt:variant>
        <vt:i4>618</vt:i4>
      </vt:variant>
      <vt:variant>
        <vt:i4>0</vt:i4>
      </vt:variant>
      <vt:variant>
        <vt:i4>5</vt:i4>
      </vt:variant>
      <vt:variant>
        <vt:lpwstr>https://downloads.ctfassets.net/corl1354p0t3/750MZKJ7tfh9NSwTdPviqG/9dec46e2d311f2f8b130c28600a55fba/CyberAsean_Report.pdf</vt:lpwstr>
      </vt:variant>
      <vt:variant>
        <vt:lpwstr/>
      </vt:variant>
      <vt:variant>
        <vt:i4>2883617</vt:i4>
      </vt:variant>
      <vt:variant>
        <vt:i4>615</vt:i4>
      </vt:variant>
      <vt:variant>
        <vt:i4>0</vt:i4>
      </vt:variant>
      <vt:variant>
        <vt:i4>5</vt:i4>
      </vt:variant>
      <vt:variant>
        <vt:lpwstr>https://www.csa.gov.sg/our-programmes/support-for-enterprises/sg-cyber-safe-programme/cybersecurity-certification-scheme-for-organisation/cyber-essentials</vt:lpwstr>
      </vt:variant>
      <vt:variant>
        <vt:lpwstr/>
      </vt:variant>
      <vt:variant>
        <vt:i4>4194428</vt:i4>
      </vt:variant>
      <vt:variant>
        <vt:i4>612</vt:i4>
      </vt:variant>
      <vt:variant>
        <vt:i4>0</vt:i4>
      </vt:variant>
      <vt:variant>
        <vt:i4>5</vt:i4>
      </vt:variant>
      <vt:variant>
        <vt:lpwstr>https://downloads.ctfassets.net/corl1354p0t3/750MZKJ7tfh9NSwTdPviqG/9dec46e2d311f2f8b130c28600a55fba/CyberAsean_Report.pdf</vt:lpwstr>
      </vt:variant>
      <vt:variant>
        <vt:lpwstr/>
      </vt:variant>
      <vt:variant>
        <vt:i4>5570567</vt:i4>
      </vt:variant>
      <vt:variant>
        <vt:i4>609</vt:i4>
      </vt:variant>
      <vt:variant>
        <vt:i4>0</vt:i4>
      </vt:variant>
      <vt:variant>
        <vt:i4>5</vt:i4>
      </vt:variant>
      <vt:variant>
        <vt:lpwstr>https://www.imda.gov.sg/-/media/imda/files/regulations-and-licensing/licensing/ict-standards-and-quality-of-service/industry-committees-and-working-groups/it-standards-committee/singapore-it-standards.pdf</vt:lpwstr>
      </vt:variant>
      <vt:variant>
        <vt:lpwstr/>
      </vt:variant>
      <vt:variant>
        <vt:i4>4259854</vt:i4>
      </vt:variant>
      <vt:variant>
        <vt:i4>606</vt:i4>
      </vt:variant>
      <vt:variant>
        <vt:i4>0</vt:i4>
      </vt:variant>
      <vt:variant>
        <vt:i4>5</vt:i4>
      </vt:variant>
      <vt:variant>
        <vt:lpwstr>https://www.cisecurity.org/controls/cis-controls-faq</vt:lpwstr>
      </vt:variant>
      <vt:variant>
        <vt:lpwstr/>
      </vt:variant>
      <vt:variant>
        <vt:i4>3801138</vt:i4>
      </vt:variant>
      <vt:variant>
        <vt:i4>603</vt:i4>
      </vt:variant>
      <vt:variant>
        <vt:i4>0</vt:i4>
      </vt:variant>
      <vt:variant>
        <vt:i4>5</vt:i4>
      </vt:variant>
      <vt:variant>
        <vt:lpwstr>https://www.cisecurity.org/controls</vt:lpwstr>
      </vt:variant>
      <vt:variant>
        <vt:lpwstr/>
      </vt:variant>
      <vt:variant>
        <vt:i4>5701659</vt:i4>
      </vt:variant>
      <vt:variant>
        <vt:i4>600</vt:i4>
      </vt:variant>
      <vt:variant>
        <vt:i4>0</vt:i4>
      </vt:variant>
      <vt:variant>
        <vt:i4>5</vt:i4>
      </vt:variant>
      <vt:variant>
        <vt:lpwstr>https://www.cisecurity.org/cis-benchmarks</vt:lpwstr>
      </vt:variant>
      <vt:variant>
        <vt:lpwstr/>
      </vt:variant>
      <vt:variant>
        <vt:i4>2228279</vt:i4>
      </vt:variant>
      <vt:variant>
        <vt:i4>597</vt:i4>
      </vt:variant>
      <vt:variant>
        <vt:i4>0</vt:i4>
      </vt:variant>
      <vt:variant>
        <vt:i4>5</vt:i4>
      </vt:variant>
      <vt:variant>
        <vt:lpwstr>https://csrc.nist.gov/projects/risk-management</vt:lpwstr>
      </vt:variant>
      <vt:variant>
        <vt:lpwstr/>
      </vt:variant>
      <vt:variant>
        <vt:i4>3932281</vt:i4>
      </vt:variant>
      <vt:variant>
        <vt:i4>594</vt:i4>
      </vt:variant>
      <vt:variant>
        <vt:i4>0</vt:i4>
      </vt:variant>
      <vt:variant>
        <vt:i4>5</vt:i4>
      </vt:variant>
      <vt:variant>
        <vt:lpwstr>https://nvlpubs.nist.gov/nistpubs/CSWP/NIST.CSWP.29.pdf</vt:lpwstr>
      </vt:variant>
      <vt:variant>
        <vt:lpwstr/>
      </vt:variant>
      <vt:variant>
        <vt:i4>8323158</vt:i4>
      </vt:variant>
      <vt:variant>
        <vt:i4>591</vt:i4>
      </vt:variant>
      <vt:variant>
        <vt:i4>0</vt:i4>
      </vt:variant>
      <vt:variant>
        <vt:i4>5</vt:i4>
      </vt:variant>
      <vt:variant>
        <vt:lpwstr>https://resourcecentre.asean.org/Book_Detail/?ID=2760</vt:lpwstr>
      </vt:variant>
      <vt:variant>
        <vt:lpwstr/>
      </vt:variant>
      <vt:variant>
        <vt:i4>8323158</vt:i4>
      </vt:variant>
      <vt:variant>
        <vt:i4>588</vt:i4>
      </vt:variant>
      <vt:variant>
        <vt:i4>0</vt:i4>
      </vt:variant>
      <vt:variant>
        <vt:i4>5</vt:i4>
      </vt:variant>
      <vt:variant>
        <vt:lpwstr>https://resourcecentre.asean.org/Book_Detail/?ID=2761</vt:lpwstr>
      </vt:variant>
      <vt:variant>
        <vt:lpwstr/>
      </vt:variant>
      <vt:variant>
        <vt:i4>4980799</vt:i4>
      </vt:variant>
      <vt:variant>
        <vt:i4>585</vt:i4>
      </vt:variant>
      <vt:variant>
        <vt:i4>0</vt:i4>
      </vt:variant>
      <vt:variant>
        <vt:i4>5</vt:i4>
      </vt:variant>
      <vt:variant>
        <vt:lpwstr>https://aicasia.org/wp-content/uploads/2020/07/Asia-Internet-Coalition-AIC-Comments-on-the-Guide-to-Managing-Data-Intermediaries-DIs-under-the-Singapore-Personal-Data-Protection-Act-%E2%80%9CPDPA%E2%80%9D_29062020.pdf</vt:lpwstr>
      </vt:variant>
      <vt:variant>
        <vt:lpwstr/>
      </vt:variant>
      <vt:variant>
        <vt:i4>5242947</vt:i4>
      </vt:variant>
      <vt:variant>
        <vt:i4>582</vt:i4>
      </vt:variant>
      <vt:variant>
        <vt:i4>0</vt:i4>
      </vt:variant>
      <vt:variant>
        <vt:i4>5</vt:i4>
      </vt:variant>
      <vt:variant>
        <vt:lpwstr>https://www.brookings.edu/articles/cybersecurity-and-digital-trade-getting-it-right/</vt:lpwstr>
      </vt:variant>
      <vt:variant>
        <vt:lpwstr/>
      </vt:variant>
      <vt:variant>
        <vt:i4>3342407</vt:i4>
      </vt:variant>
      <vt:variant>
        <vt:i4>579</vt:i4>
      </vt:variant>
      <vt:variant>
        <vt:i4>0</vt:i4>
      </vt:variant>
      <vt:variant>
        <vt:i4>5</vt:i4>
      </vt:variant>
      <vt:variant>
        <vt:lpwstr>https://papers.ssrn.com/sol3/papers.cfm?abstract_id=4292444</vt:lpwstr>
      </vt:variant>
      <vt:variant>
        <vt:lpwstr/>
      </vt:variant>
      <vt:variant>
        <vt:i4>1245272</vt:i4>
      </vt:variant>
      <vt:variant>
        <vt:i4>576</vt:i4>
      </vt:variant>
      <vt:variant>
        <vt:i4>0</vt:i4>
      </vt:variant>
      <vt:variant>
        <vt:i4>5</vt:i4>
      </vt:variant>
      <vt:variant>
        <vt:lpwstr>https://www.mas.gov.sg/news/media-releases/2022/central-banks-of-indonesia-malaysia-philippines-singapore-and-thailand-seal-cooperation-in-regional-payment-connectivity</vt:lpwstr>
      </vt:variant>
      <vt:variant>
        <vt:lpwstr/>
      </vt:variant>
      <vt:variant>
        <vt:i4>1704020</vt:i4>
      </vt:variant>
      <vt:variant>
        <vt:i4>573</vt:i4>
      </vt:variant>
      <vt:variant>
        <vt:i4>0</vt:i4>
      </vt:variant>
      <vt:variant>
        <vt:i4>5</vt:i4>
      </vt:variant>
      <vt:variant>
        <vt:lpwstr>https://ec.europa.eu/digital-building-blocks/sites/display/EUDIGITALIDENTITYWALLET/The+Digital+Identity+Regulation+Enters+into+Force</vt:lpwstr>
      </vt:variant>
      <vt:variant>
        <vt:lpwstr>:~:text=The%20Digital%20Identity%20Regulation%20Enters%20into%20Force,-Created%20by%20Antonios&amp;text=The%20EU%20Digital%20Identity%20Framework%20Regulation%20entered%20into%20force%20on,Residents%2C%20and%20Businesses%20by%202026</vt:lpwstr>
      </vt:variant>
      <vt:variant>
        <vt:i4>1704020</vt:i4>
      </vt:variant>
      <vt:variant>
        <vt:i4>570</vt:i4>
      </vt:variant>
      <vt:variant>
        <vt:i4>0</vt:i4>
      </vt:variant>
      <vt:variant>
        <vt:i4>5</vt:i4>
      </vt:variant>
      <vt:variant>
        <vt:lpwstr>https://ec.europa.eu/digital-building-blocks/sites/display/EUDIGITALIDENTITYWALLET/The+Digital+Identity+Regulation+Enters+into+Force</vt:lpwstr>
      </vt:variant>
      <vt:variant>
        <vt:lpwstr>:~:text=The%20Digital%20Identity%20Regulation%20Enters%20into%20Force,-Created%20by%20Antonios&amp;text=The%20EU%20Digital%20Identity%20Framework%20Regulation%20entered%20into%20force%20on,Residents%2C%20and%20Businesses%20by%202026</vt:lpwstr>
      </vt:variant>
      <vt:variant>
        <vt:i4>393290</vt:i4>
      </vt:variant>
      <vt:variant>
        <vt:i4>567</vt:i4>
      </vt:variant>
      <vt:variant>
        <vt:i4>0</vt:i4>
      </vt:variant>
      <vt:variant>
        <vt:i4>5</vt:i4>
      </vt:variant>
      <vt:variant>
        <vt:lpwstr>https://thailand.go.th/issue-focus-detail/001_05_005-2</vt:lpwstr>
      </vt:variant>
      <vt:variant>
        <vt:lpwstr/>
      </vt:variant>
      <vt:variant>
        <vt:i4>5570653</vt:i4>
      </vt:variant>
      <vt:variant>
        <vt:i4>564</vt:i4>
      </vt:variant>
      <vt:variant>
        <vt:i4>0</vt:i4>
      </vt:variant>
      <vt:variant>
        <vt:i4>5</vt:i4>
      </vt:variant>
      <vt:variant>
        <vt:lpwstr>https://asean.org/wp-content/uploads/2021/09/ASEAN-Digital-Masterplan-EDITED.pdf</vt:lpwstr>
      </vt:variant>
      <vt:variant>
        <vt:lpwstr/>
      </vt:variant>
      <vt:variant>
        <vt:i4>3997802</vt:i4>
      </vt:variant>
      <vt:variant>
        <vt:i4>561</vt:i4>
      </vt:variant>
      <vt:variant>
        <vt:i4>0</vt:i4>
      </vt:variant>
      <vt:variant>
        <vt:i4>5</vt:i4>
      </vt:variant>
      <vt:variant>
        <vt:lpwstr>https://www.visa.co.th/dam/VCOM/regional/ap/documents/visa-cpa-report-smt-2022.pdf</vt:lpwstr>
      </vt:variant>
      <vt:variant>
        <vt:lpwstr/>
      </vt:variant>
      <vt:variant>
        <vt:i4>327751</vt:i4>
      </vt:variant>
      <vt:variant>
        <vt:i4>558</vt:i4>
      </vt:variant>
      <vt:variant>
        <vt:i4>0</vt:i4>
      </vt:variant>
      <vt:variant>
        <vt:i4>5</vt:i4>
      </vt:variant>
      <vt:variant>
        <vt:lpwstr>https://engagemedia.org/wp-content/uploads/2023/07/Report-on-the-State-of-Digital-Identification-in-South-and-Southeast-Asia-2023.pdf</vt:lpwstr>
      </vt:variant>
      <vt:variant>
        <vt:lpwstr/>
      </vt:variant>
      <vt:variant>
        <vt:i4>5570653</vt:i4>
      </vt:variant>
      <vt:variant>
        <vt:i4>555</vt:i4>
      </vt:variant>
      <vt:variant>
        <vt:i4>0</vt:i4>
      </vt:variant>
      <vt:variant>
        <vt:i4>5</vt:i4>
      </vt:variant>
      <vt:variant>
        <vt:lpwstr>https://asean.org/wp-content/uploads/2021/09/ASEAN-Digital-Masterplan-EDITED.pdf</vt:lpwstr>
      </vt:variant>
      <vt:variant>
        <vt:lpwstr/>
      </vt:variant>
      <vt:variant>
        <vt:i4>458827</vt:i4>
      </vt:variant>
      <vt:variant>
        <vt:i4>552</vt:i4>
      </vt:variant>
      <vt:variant>
        <vt:i4>0</vt:i4>
      </vt:variant>
      <vt:variant>
        <vt:i4>5</vt:i4>
      </vt:variant>
      <vt:variant>
        <vt:lpwstr>https://fidoalliance.org/members/</vt:lpwstr>
      </vt:variant>
      <vt:variant>
        <vt:lpwstr/>
      </vt:variant>
      <vt:variant>
        <vt:i4>5505031</vt:i4>
      </vt:variant>
      <vt:variant>
        <vt:i4>549</vt:i4>
      </vt:variant>
      <vt:variant>
        <vt:i4>0</vt:i4>
      </vt:variant>
      <vt:variant>
        <vt:i4>5</vt:i4>
      </vt:variant>
      <vt:variant>
        <vt:lpwstr>https://trustgrid.com/the-asean-digital-credentials-platform-akredi/</vt:lpwstr>
      </vt:variant>
      <vt:variant>
        <vt:lpwstr/>
      </vt:variant>
      <vt:variant>
        <vt:i4>983085</vt:i4>
      </vt:variant>
      <vt:variant>
        <vt:i4>546</vt:i4>
      </vt:variant>
      <vt:variant>
        <vt:i4>0</vt:i4>
      </vt:variant>
      <vt:variant>
        <vt:i4>5</vt:i4>
      </vt:variant>
      <vt:variant>
        <vt:lpwstr>https://asean.org/wp-content/uploads/2023/08/AEM-55-JMS_19-Aug.pdf</vt:lpwstr>
      </vt:variant>
      <vt:variant>
        <vt:lpwstr/>
      </vt:variant>
      <vt:variant>
        <vt:i4>7405602</vt:i4>
      </vt:variant>
      <vt:variant>
        <vt:i4>543</vt:i4>
      </vt:variant>
      <vt:variant>
        <vt:i4>0</vt:i4>
      </vt:variant>
      <vt:variant>
        <vt:i4>5</vt:i4>
      </vt:variant>
      <vt:variant>
        <vt:lpwstr>https://documents1.worldbank.org/curated/en/099300010212228518/pdf/P171592079b3e50d70a1630d5663205bf94.pdf</vt:lpwstr>
      </vt:variant>
      <vt:variant>
        <vt:lpwstr/>
      </vt:variant>
      <vt:variant>
        <vt:i4>4259913</vt:i4>
      </vt:variant>
      <vt:variant>
        <vt:i4>540</vt:i4>
      </vt:variant>
      <vt:variant>
        <vt:i4>0</vt:i4>
      </vt:variant>
      <vt:variant>
        <vt:i4>5</vt:i4>
      </vt:variant>
      <vt:variant>
        <vt:lpwstr>https://km.fti.or.th/wp-content/uploads/2023/06/ABAC-Digital-Identity-Report.pdf</vt:lpwstr>
      </vt:variant>
      <vt:variant>
        <vt:lpwstr/>
      </vt:variant>
      <vt:variant>
        <vt:i4>2228342</vt:i4>
      </vt:variant>
      <vt:variant>
        <vt:i4>537</vt:i4>
      </vt:variant>
      <vt:variant>
        <vt:i4>0</vt:i4>
      </vt:variant>
      <vt:variant>
        <vt:i4>5</vt:i4>
      </vt:variant>
      <vt:variant>
        <vt:lpwstr>https://www.dfat.gov.au/sites/default/files/australia-singapore-digital-trade-standards-research-report.pdf</vt:lpwstr>
      </vt:variant>
      <vt:variant>
        <vt:lpwstr/>
      </vt:variant>
      <vt:variant>
        <vt:i4>2228342</vt:i4>
      </vt:variant>
      <vt:variant>
        <vt:i4>534</vt:i4>
      </vt:variant>
      <vt:variant>
        <vt:i4>0</vt:i4>
      </vt:variant>
      <vt:variant>
        <vt:i4>5</vt:i4>
      </vt:variant>
      <vt:variant>
        <vt:lpwstr>https://www.dfat.gov.au/sites/default/files/australia-singapore-digital-trade-standards-research-report.pdf</vt:lpwstr>
      </vt:variant>
      <vt:variant>
        <vt:lpwstr/>
      </vt:variant>
      <vt:variant>
        <vt:i4>1179736</vt:i4>
      </vt:variant>
      <vt:variant>
        <vt:i4>531</vt:i4>
      </vt:variant>
      <vt:variant>
        <vt:i4>0</vt:i4>
      </vt:variant>
      <vt:variant>
        <vt:i4>5</vt:i4>
      </vt:variant>
      <vt:variant>
        <vt:lpwstr>https://www.iso.org/standard/75302.html</vt:lpwstr>
      </vt:variant>
      <vt:variant>
        <vt:lpwstr>:~:text=This%20document%20covers%20the%20protection,and%20processing%20of%20biometric%20information</vt:lpwstr>
      </vt:variant>
      <vt:variant>
        <vt:i4>4259868</vt:i4>
      </vt:variant>
      <vt:variant>
        <vt:i4>528</vt:i4>
      </vt:variant>
      <vt:variant>
        <vt:i4>0</vt:i4>
      </vt:variant>
      <vt:variant>
        <vt:i4>5</vt:i4>
      </vt:variant>
      <vt:variant>
        <vt:lpwstr>https://thedocs.worldbank.org/en/doc/579151515518705630-0190022018/original/ID4DTechnicalStandardsforDigitalIdentity.pdf</vt:lpwstr>
      </vt:variant>
      <vt:variant>
        <vt:lpwstr/>
      </vt:variant>
      <vt:variant>
        <vt:i4>8126590</vt:i4>
      </vt:variant>
      <vt:variant>
        <vt:i4>525</vt:i4>
      </vt:variant>
      <vt:variant>
        <vt:i4>0</vt:i4>
      </vt:variant>
      <vt:variant>
        <vt:i4>5</vt:i4>
      </vt:variant>
      <vt:variant>
        <vt:lpwstr>https://www.gleif.org/en/lei-solutions/featuring-the-lei/cross-border-payments</vt:lpwstr>
      </vt:variant>
      <vt:variant>
        <vt:lpwstr/>
      </vt:variant>
      <vt:variant>
        <vt:i4>8061038</vt:i4>
      </vt:variant>
      <vt:variant>
        <vt:i4>522</vt:i4>
      </vt:variant>
      <vt:variant>
        <vt:i4>0</vt:i4>
      </vt:variant>
      <vt:variant>
        <vt:i4>5</vt:i4>
      </vt:variant>
      <vt:variant>
        <vt:lpwstr>https://www.adb.org/sites/default/files/publication/505076/adb-brief-109-legal-entity-identifier-tfp-survey.pdf</vt:lpwstr>
      </vt:variant>
      <vt:variant>
        <vt:lpwstr/>
      </vt:variant>
      <vt:variant>
        <vt:i4>8126590</vt:i4>
      </vt:variant>
      <vt:variant>
        <vt:i4>519</vt:i4>
      </vt:variant>
      <vt:variant>
        <vt:i4>0</vt:i4>
      </vt:variant>
      <vt:variant>
        <vt:i4>5</vt:i4>
      </vt:variant>
      <vt:variant>
        <vt:lpwstr>https://www.gleif.org/en/lei-solutions/featuring-the-lei/cross-border-payments</vt:lpwstr>
      </vt:variant>
      <vt:variant>
        <vt:lpwstr/>
      </vt:variant>
      <vt:variant>
        <vt:i4>6619247</vt:i4>
      </vt:variant>
      <vt:variant>
        <vt:i4>516</vt:i4>
      </vt:variant>
      <vt:variant>
        <vt:i4>0</vt:i4>
      </vt:variant>
      <vt:variant>
        <vt:i4>5</vt:i4>
      </vt:variant>
      <vt:variant>
        <vt:lpwstr>https://www.gleif.org/en/about-lei/introducing-the-legal-entity-identifier-lei</vt:lpwstr>
      </vt:variant>
      <vt:variant>
        <vt:lpwstr/>
      </vt:variant>
      <vt:variant>
        <vt:i4>983085</vt:i4>
      </vt:variant>
      <vt:variant>
        <vt:i4>513</vt:i4>
      </vt:variant>
      <vt:variant>
        <vt:i4>0</vt:i4>
      </vt:variant>
      <vt:variant>
        <vt:i4>5</vt:i4>
      </vt:variant>
      <vt:variant>
        <vt:lpwstr>https://asean.org/wp-content/uploads/2023/08/AEM-55-JMS_19-Aug.pdf</vt:lpwstr>
      </vt:variant>
      <vt:variant>
        <vt:lpwstr/>
      </vt:variant>
      <vt:variant>
        <vt:i4>2031637</vt:i4>
      </vt:variant>
      <vt:variant>
        <vt:i4>510</vt:i4>
      </vt:variant>
      <vt:variant>
        <vt:i4>0</vt:i4>
      </vt:variant>
      <vt:variant>
        <vt:i4>5</vt:i4>
      </vt:variant>
      <vt:variant>
        <vt:lpwstr>https://iccwbo.org/news-publications/policies-reports/msme-digital-exports-in-southeast-asia-a-study-of-msme-digital-exports-in-10-asean-markets/</vt:lpwstr>
      </vt:variant>
      <vt:variant>
        <vt:lpwstr/>
      </vt:variant>
      <vt:variant>
        <vt:i4>327740</vt:i4>
      </vt:variant>
      <vt:variant>
        <vt:i4>507</vt:i4>
      </vt:variant>
      <vt:variant>
        <vt:i4>0</vt:i4>
      </vt:variant>
      <vt:variant>
        <vt:i4>5</vt:i4>
      </vt:variant>
      <vt:variant>
        <vt:lpwstr>https://www.wto.org/english/res_e/publications_e/tradtechpolicyharddigit0422_e.htm</vt:lpwstr>
      </vt:variant>
      <vt:variant>
        <vt:lpwstr/>
      </vt:variant>
      <vt:variant>
        <vt:i4>6094914</vt:i4>
      </vt:variant>
      <vt:variant>
        <vt:i4>504</vt:i4>
      </vt:variant>
      <vt:variant>
        <vt:i4>0</vt:i4>
      </vt:variant>
      <vt:variant>
        <vt:i4>5</vt:i4>
      </vt:variant>
      <vt:variant>
        <vt:lpwstr>https://data.gsmaintelligence.com/api-web/v2/research-file download?id=30933435&amp;file=Digital%20identities%20advancing%20digital%20societies%20in%20Asia%20Pacific.pdf</vt:lpwstr>
      </vt:variant>
      <vt:variant>
        <vt:lpwstr/>
      </vt:variant>
      <vt:variant>
        <vt:i4>4063340</vt:i4>
      </vt:variant>
      <vt:variant>
        <vt:i4>501</vt:i4>
      </vt:variant>
      <vt:variant>
        <vt:i4>0</vt:i4>
      </vt:variant>
      <vt:variant>
        <vt:i4>5</vt:i4>
      </vt:variant>
      <vt:variant>
        <vt:lpwstr>https://www.usasean.org/article/digital-identity-asean</vt:lpwstr>
      </vt:variant>
      <vt:variant>
        <vt:lpwstr/>
      </vt:variant>
      <vt:variant>
        <vt:i4>1048674</vt:i4>
      </vt:variant>
      <vt:variant>
        <vt:i4>498</vt:i4>
      </vt:variant>
      <vt:variant>
        <vt:i4>0</vt:i4>
      </vt:variant>
      <vt:variant>
        <vt:i4>5</vt:i4>
      </vt:variant>
      <vt:variant>
        <vt:lpwstr>https://asean.org/wp-content/uploads/2012/05/6B-ASEAN-Framework-on-Digital-Data-Governance_Endorsedv1.pdf</vt:lpwstr>
      </vt:variant>
      <vt:variant>
        <vt:lpwstr/>
      </vt:variant>
      <vt:variant>
        <vt:i4>4653078</vt:i4>
      </vt:variant>
      <vt:variant>
        <vt:i4>495</vt:i4>
      </vt:variant>
      <vt:variant>
        <vt:i4>0</vt:i4>
      </vt:variant>
      <vt:variant>
        <vt:i4>5</vt:i4>
      </vt:variant>
      <vt:variant>
        <vt:lpwstr>https://asean.org/book/asean-digital-masterplan-2025/</vt:lpwstr>
      </vt:variant>
      <vt:variant>
        <vt:lpwstr/>
      </vt:variant>
      <vt:variant>
        <vt:i4>8192030</vt:i4>
      </vt:variant>
      <vt:variant>
        <vt:i4>492</vt:i4>
      </vt:variant>
      <vt:variant>
        <vt:i4>0</vt:i4>
      </vt:variant>
      <vt:variant>
        <vt:i4>5</vt:i4>
      </vt:variant>
      <vt:variant>
        <vt:lpwstr>https://asean.org/wp-content/uploads/2022/02/01-ASEAN-Cybersecurity-Cooperation-Paper-2021-2025_final-23-0122.pdf</vt:lpwstr>
      </vt:variant>
      <vt:variant>
        <vt:lpwstr/>
      </vt:variant>
      <vt:variant>
        <vt:i4>4325391</vt:i4>
      </vt:variant>
      <vt:variant>
        <vt:i4>489</vt:i4>
      </vt:variant>
      <vt:variant>
        <vt:i4>0</vt:i4>
      </vt:variant>
      <vt:variant>
        <vt:i4>5</vt:i4>
      </vt:variant>
      <vt:variant>
        <vt:lpwstr>https://asean.org/wp-content/uploads/2021/12/DTSCWG-Infographic-final.pdf</vt:lpwstr>
      </vt:variant>
      <vt:variant>
        <vt:lpwstr/>
      </vt:variant>
      <vt:variant>
        <vt:i4>23</vt:i4>
      </vt:variant>
      <vt:variant>
        <vt:i4>486</vt:i4>
      </vt:variant>
      <vt:variant>
        <vt:i4>0</vt:i4>
      </vt:variant>
      <vt:variant>
        <vt:i4>5</vt:i4>
      </vt:variant>
      <vt:variant>
        <vt:lpwstr>https://asean.org/wp-content/uploads/images/2012/Economic/TELMIN/e-Asean Reference Framework.pdf</vt:lpwstr>
      </vt:variant>
      <vt:variant>
        <vt:lpwstr/>
      </vt:variant>
      <vt:variant>
        <vt:i4>3932180</vt:i4>
      </vt:variant>
      <vt:variant>
        <vt:i4>483</vt:i4>
      </vt:variant>
      <vt:variant>
        <vt:i4>0</vt:i4>
      </vt:variant>
      <vt:variant>
        <vt:i4>5</vt:i4>
      </vt:variant>
      <vt:variant>
        <vt:lpwstr>https://uncitral.un.org/en/texts/ecommerce/modellaw/electronic_commerce</vt:lpwstr>
      </vt:variant>
      <vt:variant>
        <vt:lpwstr/>
      </vt:variant>
      <vt:variant>
        <vt:i4>4325391</vt:i4>
      </vt:variant>
      <vt:variant>
        <vt:i4>480</vt:i4>
      </vt:variant>
      <vt:variant>
        <vt:i4>0</vt:i4>
      </vt:variant>
      <vt:variant>
        <vt:i4>5</vt:i4>
      </vt:variant>
      <vt:variant>
        <vt:lpwstr>https://asean.org/wp-content/uploads/2021/12/DTSCWG-Infographic-final.pdf</vt:lpwstr>
      </vt:variant>
      <vt:variant>
        <vt:lpwstr/>
      </vt:variant>
      <vt:variant>
        <vt:i4>4325391</vt:i4>
      </vt:variant>
      <vt:variant>
        <vt:i4>477</vt:i4>
      </vt:variant>
      <vt:variant>
        <vt:i4>0</vt:i4>
      </vt:variant>
      <vt:variant>
        <vt:i4>5</vt:i4>
      </vt:variant>
      <vt:variant>
        <vt:lpwstr>https://asean.org/wp-content/uploads/2021/12/DTSCWG-Infographic-final.pdf</vt:lpwstr>
      </vt:variant>
      <vt:variant>
        <vt:lpwstr/>
      </vt:variant>
      <vt:variant>
        <vt:i4>7995518</vt:i4>
      </vt:variant>
      <vt:variant>
        <vt:i4>474</vt:i4>
      </vt:variant>
      <vt:variant>
        <vt:i4>0</vt:i4>
      </vt:variant>
      <vt:variant>
        <vt:i4>5</vt:i4>
      </vt:variant>
      <vt:variant>
        <vt:lpwstr>https://www.mckinsey.com/~/media/McKinsey/Business Functions/McKinsey Digital/Our Insights/Digital identification A key to inclusive growth/MGI-Digital-identification-Report.ashx</vt:lpwstr>
      </vt:variant>
      <vt:variant>
        <vt:lpwstr/>
      </vt:variant>
      <vt:variant>
        <vt:i4>4063340</vt:i4>
      </vt:variant>
      <vt:variant>
        <vt:i4>471</vt:i4>
      </vt:variant>
      <vt:variant>
        <vt:i4>0</vt:i4>
      </vt:variant>
      <vt:variant>
        <vt:i4>5</vt:i4>
      </vt:variant>
      <vt:variant>
        <vt:lpwstr>https://www.usasean.org/article/digital-identity-asean</vt:lpwstr>
      </vt:variant>
      <vt:variant>
        <vt:lpwstr/>
      </vt:variant>
      <vt:variant>
        <vt:i4>6291576</vt:i4>
      </vt:variant>
      <vt:variant>
        <vt:i4>468</vt:i4>
      </vt:variant>
      <vt:variant>
        <vt:i4>0</vt:i4>
      </vt:variant>
      <vt:variant>
        <vt:i4>5</vt:i4>
      </vt:variant>
      <vt:variant>
        <vt:lpwstr>https://www.cyfirma.com/research/singapore-and-southeast-asia-threat-landscape/</vt:lpwstr>
      </vt:variant>
      <vt:variant>
        <vt:lpwstr/>
      </vt:variant>
      <vt:variant>
        <vt:i4>4980755</vt:i4>
      </vt:variant>
      <vt:variant>
        <vt:i4>465</vt:i4>
      </vt:variant>
      <vt:variant>
        <vt:i4>0</vt:i4>
      </vt:variant>
      <vt:variant>
        <vt:i4>5</vt:i4>
      </vt:variant>
      <vt:variant>
        <vt:lpwstr>https://fulcrum.sg/strengthening-cyber-resilience-in-southeast-asia/</vt:lpwstr>
      </vt:variant>
      <vt:variant>
        <vt:lpwstr/>
      </vt:variant>
      <vt:variant>
        <vt:i4>6553663</vt:i4>
      </vt:variant>
      <vt:variant>
        <vt:i4>462</vt:i4>
      </vt:variant>
      <vt:variant>
        <vt:i4>0</vt:i4>
      </vt:variant>
      <vt:variant>
        <vt:i4>5</vt:i4>
      </vt:variant>
      <vt:variant>
        <vt:lpwstr>https://www.interpol.int/en/News-and-Events/News/2021/INTERPOL-report-charts-top-cyberthreats-in-Southeast-Asia</vt:lpwstr>
      </vt:variant>
      <vt:variant>
        <vt:lpwstr/>
      </vt:variant>
      <vt:variant>
        <vt:i4>1179656</vt:i4>
      </vt:variant>
      <vt:variant>
        <vt:i4>459</vt:i4>
      </vt:variant>
      <vt:variant>
        <vt:i4>0</vt:i4>
      </vt:variant>
      <vt:variant>
        <vt:i4>5</vt:i4>
      </vt:variant>
      <vt:variant>
        <vt:lpwstr>https://www.bsp.gov.ph/SitePages/MediaAndResearch/MediaDisp.aspx?ItemId=7051</vt:lpwstr>
      </vt:variant>
      <vt:variant>
        <vt:lpwstr/>
      </vt:variant>
      <vt:variant>
        <vt:i4>1179656</vt:i4>
      </vt:variant>
      <vt:variant>
        <vt:i4>456</vt:i4>
      </vt:variant>
      <vt:variant>
        <vt:i4>0</vt:i4>
      </vt:variant>
      <vt:variant>
        <vt:i4>5</vt:i4>
      </vt:variant>
      <vt:variant>
        <vt:lpwstr>https://www.bsp.gov.ph/SitePages/MediaAndResearch/MediaDisp.aspx?ItemId=7051</vt:lpwstr>
      </vt:variant>
      <vt:variant>
        <vt:lpwstr/>
      </vt:variant>
      <vt:variant>
        <vt:i4>5832721</vt:i4>
      </vt:variant>
      <vt:variant>
        <vt:i4>453</vt:i4>
      </vt:variant>
      <vt:variant>
        <vt:i4>0</vt:i4>
      </vt:variant>
      <vt:variant>
        <vt:i4>5</vt:i4>
      </vt:variant>
      <vt:variant>
        <vt:lpwstr>https://digitalvn.vn/vietqr-launched-to-promote-digital-transformation-in-banking-sector/</vt:lpwstr>
      </vt:variant>
      <vt:variant>
        <vt:lpwstr/>
      </vt:variant>
      <vt:variant>
        <vt:i4>5111915</vt:i4>
      </vt:variant>
      <vt:variant>
        <vt:i4>450</vt:i4>
      </vt:variant>
      <vt:variant>
        <vt:i4>0</vt:i4>
      </vt:variant>
      <vt:variant>
        <vt:i4>5</vt:i4>
      </vt:variant>
      <vt:variant>
        <vt:lpwstr>https://myanmar.gov.mm/news-media/news/latest-news/-/asset_publisher/idasset354/content/cbm-to-launch-digital-payment-switch</vt:lpwstr>
      </vt:variant>
      <vt:variant>
        <vt:lpwstr/>
      </vt:variant>
      <vt:variant>
        <vt:i4>3080237</vt:i4>
      </vt:variant>
      <vt:variant>
        <vt:i4>447</vt:i4>
      </vt:variant>
      <vt:variant>
        <vt:i4>0</vt:i4>
      </vt:variant>
      <vt:variant>
        <vt:i4>5</vt:i4>
      </vt:variant>
      <vt:variant>
        <vt:lpwstr>https://docs.developer.paynet.my/docs/duitnowqr/testdata/domesticissuer</vt:lpwstr>
      </vt:variant>
      <vt:variant>
        <vt:lpwstr/>
      </vt:variant>
      <vt:variant>
        <vt:i4>3735553</vt:i4>
      </vt:variant>
      <vt:variant>
        <vt:i4>444</vt:i4>
      </vt:variant>
      <vt:variant>
        <vt:i4>0</vt:i4>
      </vt:variant>
      <vt:variant>
        <vt:i4>5</vt:i4>
      </vt:variant>
      <vt:variant>
        <vt:lpwstr>https://www.bsp.gov.ph/Media_and_Research/Primers Faqs/QR_Ph_P2P_FAQs.pdf</vt:lpwstr>
      </vt:variant>
      <vt:variant>
        <vt:lpwstr/>
      </vt:variant>
      <vt:variant>
        <vt:i4>7864382</vt:i4>
      </vt:variant>
      <vt:variant>
        <vt:i4>441</vt:i4>
      </vt:variant>
      <vt:variant>
        <vt:i4>0</vt:i4>
      </vt:variant>
      <vt:variant>
        <vt:i4>5</vt:i4>
      </vt:variant>
      <vt:variant>
        <vt:lpwstr>https://english.luatvietnam.vn/legal-updates/application-of-qr-codes-in-receiving-and-handling-administrative-procedures-892-93763-article.html</vt:lpwstr>
      </vt:variant>
      <vt:variant>
        <vt:lpwstr/>
      </vt:variant>
      <vt:variant>
        <vt:i4>1966097</vt:i4>
      </vt:variant>
      <vt:variant>
        <vt:i4>438</vt:i4>
      </vt:variant>
      <vt:variant>
        <vt:i4>0</vt:i4>
      </vt:variant>
      <vt:variant>
        <vt:i4>5</vt:i4>
      </vt:variant>
      <vt:variant>
        <vt:lpwstr>https://ieeexplore.ieee.org/document/5947888</vt:lpwstr>
      </vt:variant>
      <vt:variant>
        <vt:lpwstr/>
      </vt:variant>
      <vt:variant>
        <vt:i4>5308506</vt:i4>
      </vt:variant>
      <vt:variant>
        <vt:i4>435</vt:i4>
      </vt:variant>
      <vt:variant>
        <vt:i4>0</vt:i4>
      </vt:variant>
      <vt:variant>
        <vt:i4>5</vt:i4>
      </vt:variant>
      <vt:variant>
        <vt:lpwstr>https://www.linkedin.com/pulse/tap-future-exploring-apple-pay-google-indonesias-favian-d-a--wdolc</vt:lpwstr>
      </vt:variant>
      <vt:variant>
        <vt:lpwstr/>
      </vt:variant>
      <vt:variant>
        <vt:i4>5242911</vt:i4>
      </vt:variant>
      <vt:variant>
        <vt:i4>432</vt:i4>
      </vt:variant>
      <vt:variant>
        <vt:i4>0</vt:i4>
      </vt:variant>
      <vt:variant>
        <vt:i4>5</vt:i4>
      </vt:variant>
      <vt:variant>
        <vt:lpwstr>https://www.thejakartapost.com/news/2019/05/27/bank-indonesia-launches-national-standard-qr-code.html</vt:lpwstr>
      </vt:variant>
      <vt:variant>
        <vt:lpwstr/>
      </vt:variant>
      <vt:variant>
        <vt:i4>7274545</vt:i4>
      </vt:variant>
      <vt:variant>
        <vt:i4>429</vt:i4>
      </vt:variant>
      <vt:variant>
        <vt:i4>0</vt:i4>
      </vt:variant>
      <vt:variant>
        <vt:i4>5</vt:i4>
      </vt:variant>
      <vt:variant>
        <vt:lpwstr>https://bakong.nbc.gov.kh/en/download/KHQR/integration/KHQR Content Guideline v.1.3.pdf</vt:lpwstr>
      </vt:variant>
      <vt:variant>
        <vt:lpwstr/>
      </vt:variant>
      <vt:variant>
        <vt:i4>3539065</vt:i4>
      </vt:variant>
      <vt:variant>
        <vt:i4>426</vt:i4>
      </vt:variant>
      <vt:variant>
        <vt:i4>0</vt:i4>
      </vt:variant>
      <vt:variant>
        <vt:i4>5</vt:i4>
      </vt:variant>
      <vt:variant>
        <vt:lpwstr>https://www.singaporestandardseshop.sg/Product/SSPdtDetail/d7aeb163-96d6-1c70-e302-39fc432119e0</vt:lpwstr>
      </vt:variant>
      <vt:variant>
        <vt:lpwstr/>
      </vt:variant>
      <vt:variant>
        <vt:i4>7733296</vt:i4>
      </vt:variant>
      <vt:variant>
        <vt:i4>423</vt:i4>
      </vt:variant>
      <vt:variant>
        <vt:i4>0</vt:i4>
      </vt:variant>
      <vt:variant>
        <vt:i4>5</vt:i4>
      </vt:variant>
      <vt:variant>
        <vt:lpwstr>https://www.mas.gov.sg/news/media-releases/2023/mas-to-launch-sgqrplus-proof-of-concept-to-enhance-interoperability-for-qr-payments</vt:lpwstr>
      </vt:variant>
      <vt:variant>
        <vt:lpwstr/>
      </vt:variant>
      <vt:variant>
        <vt:i4>4390923</vt:i4>
      </vt:variant>
      <vt:variant>
        <vt:i4>420</vt:i4>
      </vt:variant>
      <vt:variant>
        <vt:i4>0</vt:i4>
      </vt:variant>
      <vt:variant>
        <vt:i4>5</vt:i4>
      </vt:variant>
      <vt:variant>
        <vt:lpwstr>https://web-assets.bcg.com/9c/ac/72af6ed244c39123f679ffc899ee/bcg-asean-interoperable-qr-code-payment-ecosystem-in-asean.pdf</vt:lpwstr>
      </vt:variant>
      <vt:variant>
        <vt:lpwstr/>
      </vt:variant>
      <vt:variant>
        <vt:i4>8061024</vt:i4>
      </vt:variant>
      <vt:variant>
        <vt:i4>417</vt:i4>
      </vt:variant>
      <vt:variant>
        <vt:i4>0</vt:i4>
      </vt:variant>
      <vt:variant>
        <vt:i4>5</vt:i4>
      </vt:variant>
      <vt:variant>
        <vt:lpwstr>https://www.fsb.org/wp-content/uploads/P070722.pdf</vt:lpwstr>
      </vt:variant>
      <vt:variant>
        <vt:lpwstr/>
      </vt:variant>
      <vt:variant>
        <vt:i4>3866680</vt:i4>
      </vt:variant>
      <vt:variant>
        <vt:i4>414</vt:i4>
      </vt:variant>
      <vt:variant>
        <vt:i4>0</vt:i4>
      </vt:variant>
      <vt:variant>
        <vt:i4>5</vt:i4>
      </vt:variant>
      <vt:variant>
        <vt:lpwstr>https://www.pcisecuritystandards.org/standards/pci-dss/</vt:lpwstr>
      </vt:variant>
      <vt:variant>
        <vt:lpwstr/>
      </vt:variant>
      <vt:variant>
        <vt:i4>6422542</vt:i4>
      </vt:variant>
      <vt:variant>
        <vt:i4>411</vt:i4>
      </vt:variant>
      <vt:variant>
        <vt:i4>0</vt:i4>
      </vt:variant>
      <vt:variant>
        <vt:i4>5</vt:i4>
      </vt:variant>
      <vt:variant>
        <vt:lpwstr>https://www.pcisecuritystandards.org/about_us/</vt:lpwstr>
      </vt:variant>
      <vt:variant>
        <vt:lpwstr/>
      </vt:variant>
      <vt:variant>
        <vt:i4>1048649</vt:i4>
      </vt:variant>
      <vt:variant>
        <vt:i4>408</vt:i4>
      </vt:variant>
      <vt:variant>
        <vt:i4>0</vt:i4>
      </vt:variant>
      <vt:variant>
        <vt:i4>5</vt:i4>
      </vt:variant>
      <vt:variant>
        <vt:lpwstr>https://asean.org/wp-content/uploads/2021/09/ADII-Report-2021.pdf</vt:lpwstr>
      </vt:variant>
      <vt:variant>
        <vt:lpwstr/>
      </vt:variant>
      <vt:variant>
        <vt:i4>8126590</vt:i4>
      </vt:variant>
      <vt:variant>
        <vt:i4>405</vt:i4>
      </vt:variant>
      <vt:variant>
        <vt:i4>0</vt:i4>
      </vt:variant>
      <vt:variant>
        <vt:i4>5</vt:i4>
      </vt:variant>
      <vt:variant>
        <vt:lpwstr>https://www.gleif.org/en/lei-solutions/featuring-the-lei/cross-border-payments</vt:lpwstr>
      </vt:variant>
      <vt:variant>
        <vt:lpwstr/>
      </vt:variant>
      <vt:variant>
        <vt:i4>524362</vt:i4>
      </vt:variant>
      <vt:variant>
        <vt:i4>402</vt:i4>
      </vt:variant>
      <vt:variant>
        <vt:i4>0</vt:i4>
      </vt:variant>
      <vt:variant>
        <vt:i4>5</vt:i4>
      </vt:variant>
      <vt:variant>
        <vt:lpwstr>https://www.swift.com/standards/data-standards/iban-international-bank-account-number</vt:lpwstr>
      </vt:variant>
      <vt:variant>
        <vt:lpwstr/>
      </vt:variant>
      <vt:variant>
        <vt:i4>8126590</vt:i4>
      </vt:variant>
      <vt:variant>
        <vt:i4>399</vt:i4>
      </vt:variant>
      <vt:variant>
        <vt:i4>0</vt:i4>
      </vt:variant>
      <vt:variant>
        <vt:i4>5</vt:i4>
      </vt:variant>
      <vt:variant>
        <vt:lpwstr>https://www.gleif.org/en/lei-solutions/featuring-the-lei/cross-border-payments</vt:lpwstr>
      </vt:variant>
      <vt:variant>
        <vt:lpwstr/>
      </vt:variant>
      <vt:variant>
        <vt:i4>2293881</vt:i4>
      </vt:variant>
      <vt:variant>
        <vt:i4>396</vt:i4>
      </vt:variant>
      <vt:variant>
        <vt:i4>0</vt:i4>
      </vt:variant>
      <vt:variant>
        <vt:i4>5</vt:i4>
      </vt:variant>
      <vt:variant>
        <vt:lpwstr>https://www.gleif.org/en/about-lei/introducing-the-legal-entity-identifier-lei</vt:lpwstr>
      </vt:variant>
      <vt:variant>
        <vt:lpwstr>:~:text=The%20Legal%20Entity%20Identifier%20(LEI)%20is%20a%2020%2Dcharacter,entities%20participating%20in%20financial%20transactions</vt:lpwstr>
      </vt:variant>
      <vt:variant>
        <vt:i4>4587633</vt:i4>
      </vt:variant>
      <vt:variant>
        <vt:i4>393</vt:i4>
      </vt:variant>
      <vt:variant>
        <vt:i4>0</vt:i4>
      </vt:variant>
      <vt:variant>
        <vt:i4>5</vt:i4>
      </vt:variant>
      <vt:variant>
        <vt:lpwstr>https://www.eu-asean.eu/wp-content/uploads/2022/02/63371b_c07c932e824d43c5b4589754ffd80a89.pdf</vt:lpwstr>
      </vt:variant>
      <vt:variant>
        <vt:lpwstr/>
      </vt:variant>
      <vt:variant>
        <vt:i4>3670060</vt:i4>
      </vt:variant>
      <vt:variant>
        <vt:i4>390</vt:i4>
      </vt:variant>
      <vt:variant>
        <vt:i4>0</vt:i4>
      </vt:variant>
      <vt:variant>
        <vt:i4>5</vt:i4>
      </vt:variant>
      <vt:variant>
        <vt:lpwstr>https://www.swift.com/standards/iso-20022/supercharge-your-payments-business/chapter-2</vt:lpwstr>
      </vt:variant>
      <vt:variant>
        <vt:lpwstr/>
      </vt:variant>
      <vt:variant>
        <vt:i4>8126523</vt:i4>
      </vt:variant>
      <vt:variant>
        <vt:i4>387</vt:i4>
      </vt:variant>
      <vt:variant>
        <vt:i4>0</vt:i4>
      </vt:variant>
      <vt:variant>
        <vt:i4>5</vt:i4>
      </vt:variant>
      <vt:variant>
        <vt:lpwstr>http://www.pagero.com/blog/e-invoicing-ctc-models/</vt:lpwstr>
      </vt:variant>
      <vt:variant>
        <vt:lpwstr/>
      </vt:variant>
      <vt:variant>
        <vt:i4>7667814</vt:i4>
      </vt:variant>
      <vt:variant>
        <vt:i4>384</vt:i4>
      </vt:variant>
      <vt:variant>
        <vt:i4>0</vt:i4>
      </vt:variant>
      <vt:variant>
        <vt:i4>5</vt:i4>
      </vt:variant>
      <vt:variant>
        <vt:lpwstr>https://snitechnology.net/mandatory-e-invoicing-in-south-korea-in-2022/</vt:lpwstr>
      </vt:variant>
      <vt:variant>
        <vt:lpwstr/>
      </vt:variant>
      <vt:variant>
        <vt:i4>917514</vt:i4>
      </vt:variant>
      <vt:variant>
        <vt:i4>381</vt:i4>
      </vt:variant>
      <vt:variant>
        <vt:i4>0</vt:i4>
      </vt:variant>
      <vt:variant>
        <vt:i4>5</vt:i4>
      </vt:variant>
      <vt:variant>
        <vt:lpwstr>http://www.theglobaltreasurer.com/2019/12/13/the-peppol-network-on-the-highway-to-asian-and-trans-tasman-markets</vt:lpwstr>
      </vt:variant>
      <vt:variant>
        <vt:lpwstr/>
      </vt:variant>
      <vt:variant>
        <vt:i4>3604537</vt:i4>
      </vt:variant>
      <vt:variant>
        <vt:i4>378</vt:i4>
      </vt:variant>
      <vt:variant>
        <vt:i4>0</vt:i4>
      </vt:variant>
      <vt:variant>
        <vt:i4>5</vt:i4>
      </vt:variant>
      <vt:variant>
        <vt:lpwstr>https://mdec.my/national-einvoicing</vt:lpwstr>
      </vt:variant>
      <vt:variant>
        <vt:lpwstr/>
      </vt:variant>
      <vt:variant>
        <vt:i4>6946853</vt:i4>
      </vt:variant>
      <vt:variant>
        <vt:i4>375</vt:i4>
      </vt:variant>
      <vt:variant>
        <vt:i4>0</vt:i4>
      </vt:variant>
      <vt:variant>
        <vt:i4>5</vt:i4>
      </vt:variant>
      <vt:variant>
        <vt:lpwstr>https://peppol.eu/what-is-peppol/peppol-country-profiles/singapore-country-profile</vt:lpwstr>
      </vt:variant>
      <vt:variant>
        <vt:lpwstr/>
      </vt:variant>
      <vt:variant>
        <vt:i4>2359325</vt:i4>
      </vt:variant>
      <vt:variant>
        <vt:i4>372</vt:i4>
      </vt:variant>
      <vt:variant>
        <vt:i4>0</vt:i4>
      </vt:variant>
      <vt:variant>
        <vt:i4>5</vt:i4>
      </vt:variant>
      <vt:variant>
        <vt:lpwstr>https://unece.org/fileadmin/DAM/cefact/GuidanceMaterials/ExecutiveGuides/eInvoicing-ExecGuide_Eng.pdf</vt:lpwstr>
      </vt:variant>
      <vt:variant>
        <vt:lpwstr/>
      </vt:variant>
      <vt:variant>
        <vt:i4>2031680</vt:i4>
      </vt:variant>
      <vt:variant>
        <vt:i4>369</vt:i4>
      </vt:variant>
      <vt:variant>
        <vt:i4>0</vt:i4>
      </vt:variant>
      <vt:variant>
        <vt:i4>5</vt:i4>
      </vt:variant>
      <vt:variant>
        <vt:lpwstr>https://www.imda.gov.sg/-/media/imda/files/industry-development/infrastructure/technology/peppol-factsheet--website-final.pdf</vt:lpwstr>
      </vt:variant>
      <vt:variant>
        <vt:lpwstr/>
      </vt:variant>
      <vt:variant>
        <vt:i4>2490373</vt:i4>
      </vt:variant>
      <vt:variant>
        <vt:i4>366</vt:i4>
      </vt:variant>
      <vt:variant>
        <vt:i4>0</vt:i4>
      </vt:variant>
      <vt:variant>
        <vt:i4>5</vt:i4>
      </vt:variant>
      <vt:variant>
        <vt:lpwstr>https://unece.org/sites/default/files/2023-09/WhitePaper_Transfer-MLETR.pdf</vt:lpwstr>
      </vt:variant>
      <vt:variant>
        <vt:lpwstr/>
      </vt:variant>
      <vt:variant>
        <vt:i4>5439516</vt:i4>
      </vt:variant>
      <vt:variant>
        <vt:i4>363</vt:i4>
      </vt:variant>
      <vt:variant>
        <vt:i4>0</vt:i4>
      </vt:variant>
      <vt:variant>
        <vt:i4>5</vt:i4>
      </vt:variant>
      <vt:variant>
        <vt:lpwstr>https://www.tradefinanceglobal.com/posts/status-update-mletr-adoption-in-the-g7-and-emerging-markets/</vt:lpwstr>
      </vt:variant>
      <vt:variant>
        <vt:lpwstr/>
      </vt:variant>
      <vt:variant>
        <vt:i4>3932199</vt:i4>
      </vt:variant>
      <vt:variant>
        <vt:i4>360</vt:i4>
      </vt:variant>
      <vt:variant>
        <vt:i4>0</vt:i4>
      </vt:variant>
      <vt:variant>
        <vt:i4>5</vt:i4>
      </vt:variant>
      <vt:variant>
        <vt:lpwstr>https://myanmar-law-library.org/law-library/laws-and-regulations/laws/myanmar-laws-1988-until-now/state-administration-council-2021/myanmar-laws-2021/state-administration-council-law-no-07-2021-law-amending-the-electronic.html</vt:lpwstr>
      </vt:variant>
      <vt:variant>
        <vt:lpwstr/>
      </vt:variant>
      <vt:variant>
        <vt:i4>1572877</vt:i4>
      </vt:variant>
      <vt:variant>
        <vt:i4>357</vt:i4>
      </vt:variant>
      <vt:variant>
        <vt:i4>0</vt:i4>
      </vt:variant>
      <vt:variant>
        <vt:i4>5</vt:i4>
      </vt:variant>
      <vt:variant>
        <vt:lpwstr>https://www.dataguidance.com/legal-research/law-republic-indonesia-no-11-2008-concerning</vt:lpwstr>
      </vt:variant>
      <vt:variant>
        <vt:lpwstr/>
      </vt:variant>
      <vt:variant>
        <vt:i4>720904</vt:i4>
      </vt:variant>
      <vt:variant>
        <vt:i4>354</vt:i4>
      </vt:variant>
      <vt:variant>
        <vt:i4>0</vt:i4>
      </vt:variant>
      <vt:variant>
        <vt:i4>5</vt:i4>
      </vt:variant>
      <vt:variant>
        <vt:lpwstr>https://uncitral.un.org/en/texts/ecommerce/modellaw/electronic_transferable_records</vt:lpwstr>
      </vt:variant>
      <vt:variant>
        <vt:lpwstr/>
      </vt:variant>
      <vt:variant>
        <vt:i4>3932180</vt:i4>
      </vt:variant>
      <vt:variant>
        <vt:i4>351</vt:i4>
      </vt:variant>
      <vt:variant>
        <vt:i4>0</vt:i4>
      </vt:variant>
      <vt:variant>
        <vt:i4>5</vt:i4>
      </vt:variant>
      <vt:variant>
        <vt:lpwstr>https://uncitral.un.org/en/texts/ecommerce/modellaw/electronic_commerce</vt:lpwstr>
      </vt:variant>
      <vt:variant>
        <vt:lpwstr/>
      </vt:variant>
      <vt:variant>
        <vt:i4>5111892</vt:i4>
      </vt:variant>
      <vt:variant>
        <vt:i4>348</vt:i4>
      </vt:variant>
      <vt:variant>
        <vt:i4>0</vt:i4>
      </vt:variant>
      <vt:variant>
        <vt:i4>5</vt:i4>
      </vt:variant>
      <vt:variant>
        <vt:lpwstr>https://seads.adb.org/solutions/unlocking-aseans-digital-economy-entails-embracing-trustworthy-and-inclusive-payments</vt:lpwstr>
      </vt:variant>
      <vt:variant>
        <vt:lpwstr/>
      </vt:variant>
      <vt:variant>
        <vt:i4>5701698</vt:i4>
      </vt:variant>
      <vt:variant>
        <vt:i4>345</vt:i4>
      </vt:variant>
      <vt:variant>
        <vt:i4>0</vt:i4>
      </vt:variant>
      <vt:variant>
        <vt:i4>5</vt:i4>
      </vt:variant>
      <vt:variant>
        <vt:lpwstr>https://www.imda.gov.sg/-/media/imda/files/programme/nationwide-e-invoicing-framework/engage-newsletter-issue-7-jul--dec-2022.pdf</vt:lpwstr>
      </vt:variant>
      <vt:variant>
        <vt:lpwstr/>
      </vt:variant>
      <vt:variant>
        <vt:i4>4325391</vt:i4>
      </vt:variant>
      <vt:variant>
        <vt:i4>342</vt:i4>
      </vt:variant>
      <vt:variant>
        <vt:i4>0</vt:i4>
      </vt:variant>
      <vt:variant>
        <vt:i4>5</vt:i4>
      </vt:variant>
      <vt:variant>
        <vt:lpwstr>https://asean.org/wp-content/uploads/2021/12/DTSCWG-Infographic-final.pdf</vt:lpwstr>
      </vt:variant>
      <vt:variant>
        <vt:lpwstr/>
      </vt:variant>
      <vt:variant>
        <vt:i4>2556028</vt:i4>
      </vt:variant>
      <vt:variant>
        <vt:i4>339</vt:i4>
      </vt:variant>
      <vt:variant>
        <vt:i4>0</vt:i4>
      </vt:variant>
      <vt:variant>
        <vt:i4>5</vt:i4>
      </vt:variant>
      <vt:variant>
        <vt:lpwstr>https://asean.org/asean-defa-study-projects-digital-economy-leap-to-us2tn-by-2030/</vt:lpwstr>
      </vt:variant>
      <vt:variant>
        <vt:lpwstr/>
      </vt:variant>
      <vt:variant>
        <vt:i4>2556028</vt:i4>
      </vt:variant>
      <vt:variant>
        <vt:i4>336</vt:i4>
      </vt:variant>
      <vt:variant>
        <vt:i4>0</vt:i4>
      </vt:variant>
      <vt:variant>
        <vt:i4>5</vt:i4>
      </vt:variant>
      <vt:variant>
        <vt:lpwstr>https://asean.org/asean-defa-study-projects-digital-economy-leap-to-us2tn-by-2030/</vt:lpwstr>
      </vt:variant>
      <vt:variant>
        <vt:lpwstr/>
      </vt:variant>
      <vt:variant>
        <vt:i4>983052</vt:i4>
      </vt:variant>
      <vt:variant>
        <vt:i4>333</vt:i4>
      </vt:variant>
      <vt:variant>
        <vt:i4>0</vt:i4>
      </vt:variant>
      <vt:variant>
        <vt:i4>5</vt:i4>
      </vt:variant>
      <vt:variant>
        <vt:lpwstr>https://www.weforum.org/agenda/2023/11/asean-instant-cross-border-payments-paynow-promptpay/</vt:lpwstr>
      </vt:variant>
      <vt:variant>
        <vt:lpwstr/>
      </vt:variant>
      <vt:variant>
        <vt:i4>6225985</vt:i4>
      </vt:variant>
      <vt:variant>
        <vt:i4>330</vt:i4>
      </vt:variant>
      <vt:variant>
        <vt:i4>0</vt:i4>
      </vt:variant>
      <vt:variant>
        <vt:i4>5</vt:i4>
      </vt:variant>
      <vt:variant>
        <vt:lpwstr>https://x9.org/wp-content/uploads/2019/11/X9-TAG-for-ISO-TC-321-FINAL.pdf</vt:lpwstr>
      </vt:variant>
      <vt:variant>
        <vt:lpwstr/>
      </vt:variant>
      <vt:variant>
        <vt:i4>6291560</vt:i4>
      </vt:variant>
      <vt:variant>
        <vt:i4>327</vt:i4>
      </vt:variant>
      <vt:variant>
        <vt:i4>0</vt:i4>
      </vt:variant>
      <vt:variant>
        <vt:i4>5</vt:i4>
      </vt:variant>
      <vt:variant>
        <vt:lpwstr>https://eur-lex.europa.eu/legal-content/EN/TXT/?uri=CELEX%3A02014R0910-20240520</vt:lpwstr>
      </vt:variant>
      <vt:variant>
        <vt:lpwstr/>
      </vt:variant>
      <vt:variant>
        <vt:i4>6815797</vt:i4>
      </vt:variant>
      <vt:variant>
        <vt:i4>324</vt:i4>
      </vt:variant>
      <vt:variant>
        <vt:i4>0</vt:i4>
      </vt:variant>
      <vt:variant>
        <vt:i4>5</vt:i4>
      </vt:variant>
      <vt:variant>
        <vt:lpwstr>https://asean.org/wp-content/uploads/2022/03/Work-Plan-E-commerce-Agreement_endorsed_logo.pdf</vt:lpwstr>
      </vt:variant>
      <vt:variant>
        <vt:lpwstr/>
      </vt:variant>
      <vt:variant>
        <vt:i4>4194322</vt:i4>
      </vt:variant>
      <vt:variant>
        <vt:i4>321</vt:i4>
      </vt:variant>
      <vt:variant>
        <vt:i4>0</vt:i4>
      </vt:variant>
      <vt:variant>
        <vt:i4>5</vt:i4>
      </vt:variant>
      <vt:variant>
        <vt:lpwstr>https://www.iso.org/committee/7145156.html?view=participation</vt:lpwstr>
      </vt:variant>
      <vt:variant>
        <vt:lpwstr/>
      </vt:variant>
      <vt:variant>
        <vt:i4>7536697</vt:i4>
      </vt:variant>
      <vt:variant>
        <vt:i4>318</vt:i4>
      </vt:variant>
      <vt:variant>
        <vt:i4>0</vt:i4>
      </vt:variant>
      <vt:variant>
        <vt:i4>5</vt:i4>
      </vt:variant>
      <vt:variant>
        <vt:lpwstr>https://www.iso.org/committee/7145156.html</vt:lpwstr>
      </vt:variant>
      <vt:variant>
        <vt:lpwstr/>
      </vt:variant>
      <vt:variant>
        <vt:i4>6029426</vt:i4>
      </vt:variant>
      <vt:variant>
        <vt:i4>315</vt:i4>
      </vt:variant>
      <vt:variant>
        <vt:i4>0</vt:i4>
      </vt:variant>
      <vt:variant>
        <vt:i4>5</vt:i4>
      </vt:variant>
      <vt:variant>
        <vt:lpwstr>https://www.eu-asean.eu/wp-content/uploads/2022/02/E-Commerce-Paper_22-Feb.pdf</vt:lpwstr>
      </vt:variant>
      <vt:variant>
        <vt:lpwstr/>
      </vt:variant>
      <vt:variant>
        <vt:i4>2949172</vt:i4>
      </vt:variant>
      <vt:variant>
        <vt:i4>312</vt:i4>
      </vt:variant>
      <vt:variant>
        <vt:i4>0</vt:i4>
      </vt:variant>
      <vt:variant>
        <vt:i4>5</vt:i4>
      </vt:variant>
      <vt:variant>
        <vt:lpwstr>https://asw.asean.org/</vt:lpwstr>
      </vt:variant>
      <vt:variant>
        <vt:lpwstr/>
      </vt:variant>
      <vt:variant>
        <vt:i4>6881323</vt:i4>
      </vt:variant>
      <vt:variant>
        <vt:i4>309</vt:i4>
      </vt:variant>
      <vt:variant>
        <vt:i4>0</vt:i4>
      </vt:variant>
      <vt:variant>
        <vt:i4>5</vt:i4>
      </vt:variant>
      <vt:variant>
        <vt:lpwstr>https://www.customs.gov.sg/businesses/international-connectivity/acdd/</vt:lpwstr>
      </vt:variant>
      <vt:variant>
        <vt:lpwstr/>
      </vt:variant>
      <vt:variant>
        <vt:i4>2949172</vt:i4>
      </vt:variant>
      <vt:variant>
        <vt:i4>306</vt:i4>
      </vt:variant>
      <vt:variant>
        <vt:i4>0</vt:i4>
      </vt:variant>
      <vt:variant>
        <vt:i4>5</vt:i4>
      </vt:variant>
      <vt:variant>
        <vt:lpwstr>https://asw.asean.org/</vt:lpwstr>
      </vt:variant>
      <vt:variant>
        <vt:lpwstr/>
      </vt:variant>
      <vt:variant>
        <vt:i4>5505024</vt:i4>
      </vt:variant>
      <vt:variant>
        <vt:i4>303</vt:i4>
      </vt:variant>
      <vt:variant>
        <vt:i4>0</vt:i4>
      </vt:variant>
      <vt:variant>
        <vt:i4>5</vt:i4>
      </vt:variant>
      <vt:variant>
        <vt:lpwstr>https://iccwbo.org/news-publications/policies-reports/standards-toolkit-for-cross-border-paperless-trade/</vt:lpwstr>
      </vt:variant>
      <vt:variant>
        <vt:lpwstr/>
      </vt:variant>
      <vt:variant>
        <vt:i4>5505024</vt:i4>
      </vt:variant>
      <vt:variant>
        <vt:i4>300</vt:i4>
      </vt:variant>
      <vt:variant>
        <vt:i4>0</vt:i4>
      </vt:variant>
      <vt:variant>
        <vt:i4>5</vt:i4>
      </vt:variant>
      <vt:variant>
        <vt:lpwstr>https://iccwbo.org/news-publications/policies-reports/standards-toolkit-for-cross-border-paperless-trade/</vt:lpwstr>
      </vt:variant>
      <vt:variant>
        <vt:lpwstr/>
      </vt:variant>
      <vt:variant>
        <vt:i4>4259867</vt:i4>
      </vt:variant>
      <vt:variant>
        <vt:i4>297</vt:i4>
      </vt:variant>
      <vt:variant>
        <vt:i4>0</vt:i4>
      </vt:variant>
      <vt:variant>
        <vt:i4>5</vt:i4>
      </vt:variant>
      <vt:variant>
        <vt:lpwstr>https://wiki.datamodel.wcoomd.org/en/technical-guide/building-blocks</vt:lpwstr>
      </vt:variant>
      <vt:variant>
        <vt:lpwstr/>
      </vt:variant>
      <vt:variant>
        <vt:i4>6160387</vt:i4>
      </vt:variant>
      <vt:variant>
        <vt:i4>294</vt:i4>
      </vt:variant>
      <vt:variant>
        <vt:i4>0</vt:i4>
      </vt:variant>
      <vt:variant>
        <vt:i4>5</vt:i4>
      </vt:variant>
      <vt:variant>
        <vt:lpwstr>https://asean.org/our-communities/economic-community/asean-single-window/</vt:lpwstr>
      </vt:variant>
      <vt:variant>
        <vt:lpwstr/>
      </vt:variant>
      <vt:variant>
        <vt:i4>524352</vt:i4>
      </vt:variant>
      <vt:variant>
        <vt:i4>291</vt:i4>
      </vt:variant>
      <vt:variant>
        <vt:i4>0</vt:i4>
      </vt:variant>
      <vt:variant>
        <vt:i4>5</vt:i4>
      </vt:variant>
      <vt:variant>
        <vt:lpwstr>https://www.wcoomd.org/-/media/wco/public/global/pdf/topics/facilitation/instruments-and-tools/tools/safe-package/safe-framework-of-standards.pdf</vt:lpwstr>
      </vt:variant>
      <vt:variant>
        <vt:lpwstr/>
      </vt:variant>
      <vt:variant>
        <vt:i4>524352</vt:i4>
      </vt:variant>
      <vt:variant>
        <vt:i4>288</vt:i4>
      </vt:variant>
      <vt:variant>
        <vt:i4>0</vt:i4>
      </vt:variant>
      <vt:variant>
        <vt:i4>5</vt:i4>
      </vt:variant>
      <vt:variant>
        <vt:lpwstr>https://www.wcoomd.org/-/media/wco/public/global/pdf/topics/facilitation/instruments-and-tools/tools/safe-package/safe-framework-of-standards.pdf</vt:lpwstr>
      </vt:variant>
      <vt:variant>
        <vt:lpwstr/>
      </vt:variant>
      <vt:variant>
        <vt:i4>524352</vt:i4>
      </vt:variant>
      <vt:variant>
        <vt:i4>285</vt:i4>
      </vt:variant>
      <vt:variant>
        <vt:i4>0</vt:i4>
      </vt:variant>
      <vt:variant>
        <vt:i4>5</vt:i4>
      </vt:variant>
      <vt:variant>
        <vt:lpwstr>https://www.wcoomd.org/-/media/wco/public/global/pdf/topics/facilitation/instruments-and-tools/tools/safe-package/safe-framework-of-standards.pdf</vt:lpwstr>
      </vt:variant>
      <vt:variant>
        <vt:lpwstr/>
      </vt:variant>
      <vt:variant>
        <vt:i4>524352</vt:i4>
      </vt:variant>
      <vt:variant>
        <vt:i4>282</vt:i4>
      </vt:variant>
      <vt:variant>
        <vt:i4>0</vt:i4>
      </vt:variant>
      <vt:variant>
        <vt:i4>5</vt:i4>
      </vt:variant>
      <vt:variant>
        <vt:lpwstr>https://www.wcoomd.org/-/media/wco/public/global/pdf/topics/facilitation/instruments-and-tools/tools/safe-package/safe-framework-of-standards.pdf</vt:lpwstr>
      </vt:variant>
      <vt:variant>
        <vt:lpwstr/>
      </vt:variant>
      <vt:variant>
        <vt:i4>1572887</vt:i4>
      </vt:variant>
      <vt:variant>
        <vt:i4>279</vt:i4>
      </vt:variant>
      <vt:variant>
        <vt:i4>0</vt:i4>
      </vt:variant>
      <vt:variant>
        <vt:i4>5</vt:i4>
      </vt:variant>
      <vt:variant>
        <vt:lpwstr>https://www.enterprisesg.gov.sg/grow-your-business/go-global/international-agreements/free-trade-agreements/find-an-fta/rcep</vt:lpwstr>
      </vt:variant>
      <vt:variant>
        <vt:lpwstr/>
      </vt:variant>
      <vt:variant>
        <vt:i4>5111899</vt:i4>
      </vt:variant>
      <vt:variant>
        <vt:i4>276</vt:i4>
      </vt:variant>
      <vt:variant>
        <vt:i4>0</vt:i4>
      </vt:variant>
      <vt:variant>
        <vt:i4>5</vt:i4>
      </vt:variant>
      <vt:variant>
        <vt:lpwstr>https://asean.org/wp-content/uploads/2020/12/ASEAN-Agreement-on-Customs-2.pdf</vt:lpwstr>
      </vt:variant>
      <vt:variant>
        <vt:lpwstr/>
      </vt:variant>
      <vt:variant>
        <vt:i4>5374038</vt:i4>
      </vt:variant>
      <vt:variant>
        <vt:i4>273</vt:i4>
      </vt:variant>
      <vt:variant>
        <vt:i4>0</vt:i4>
      </vt:variant>
      <vt:variant>
        <vt:i4>5</vt:i4>
      </vt:variant>
      <vt:variant>
        <vt:lpwstr>https://ec.europa.eu/programmes/erasmus-plus/project-result-content/c8fc35d1-3645-4318-b606-58488688cb99/LAST_MILE_IO4_Regulatory_Recommendations_Report_EN.pdf</vt:lpwstr>
      </vt:variant>
      <vt:variant>
        <vt:lpwstr/>
      </vt:variant>
      <vt:variant>
        <vt:i4>5374038</vt:i4>
      </vt:variant>
      <vt:variant>
        <vt:i4>270</vt:i4>
      </vt:variant>
      <vt:variant>
        <vt:i4>0</vt:i4>
      </vt:variant>
      <vt:variant>
        <vt:i4>5</vt:i4>
      </vt:variant>
      <vt:variant>
        <vt:lpwstr>https://ec.europa.eu/programmes/erasmus-plus/project-result-content/c8fc35d1-3645-4318-b606-58488688cb99/LAST_MILE_IO4_Regulatory_Recommendations_Report_EN.pdf</vt:lpwstr>
      </vt:variant>
      <vt:variant>
        <vt:lpwstr/>
      </vt:variant>
      <vt:variant>
        <vt:i4>196663</vt:i4>
      </vt:variant>
      <vt:variant>
        <vt:i4>267</vt:i4>
      </vt:variant>
      <vt:variant>
        <vt:i4>0</vt:i4>
      </vt:variant>
      <vt:variant>
        <vt:i4>5</vt:i4>
      </vt:variant>
      <vt:variant>
        <vt:lpwstr>https://www.gs1.org/sites/default/files/04_-_last_mile_delivery_standardisation_101017_wct.pdf</vt:lpwstr>
      </vt:variant>
      <vt:variant>
        <vt:lpwstr/>
      </vt:variant>
      <vt:variant>
        <vt:i4>3014718</vt:i4>
      </vt:variant>
      <vt:variant>
        <vt:i4>264</vt:i4>
      </vt:variant>
      <vt:variant>
        <vt:i4>0</vt:i4>
      </vt:variant>
      <vt:variant>
        <vt:i4>5</vt:i4>
      </vt:variant>
      <vt:variant>
        <vt:lpwstr>https://www.singpost.com/about-us/news-releases/singapore-introduces-new-industry-standard-ecommerce-and-logistics-players</vt:lpwstr>
      </vt:variant>
      <vt:variant>
        <vt:lpwstr/>
      </vt:variant>
      <vt:variant>
        <vt:i4>5046295</vt:i4>
      </vt:variant>
      <vt:variant>
        <vt:i4>261</vt:i4>
      </vt:variant>
      <vt:variant>
        <vt:i4>0</vt:i4>
      </vt:variant>
      <vt:variant>
        <vt:i4>5</vt:i4>
      </vt:variant>
      <vt:variant>
        <vt:lpwstr>https://gs1.eu/activities/last-mile-delivery/</vt:lpwstr>
      </vt:variant>
      <vt:variant>
        <vt:lpwstr/>
      </vt:variant>
      <vt:variant>
        <vt:i4>917607</vt:i4>
      </vt:variant>
      <vt:variant>
        <vt:i4>258</vt:i4>
      </vt:variant>
      <vt:variant>
        <vt:i4>0</vt:i4>
      </vt:variant>
      <vt:variant>
        <vt:i4>5</vt:i4>
      </vt:variant>
      <vt:variant>
        <vt:lpwstr>https://unece.org/sites/default/files/2023-10/03Oct_PM_T%2BL_Parcel-goods-traceability.pdf</vt:lpwstr>
      </vt:variant>
      <vt:variant>
        <vt:lpwstr/>
      </vt:variant>
      <vt:variant>
        <vt:i4>3539055</vt:i4>
      </vt:variant>
      <vt:variant>
        <vt:i4>255</vt:i4>
      </vt:variant>
      <vt:variant>
        <vt:i4>0</vt:i4>
      </vt:variant>
      <vt:variant>
        <vt:i4>5</vt:i4>
      </vt:variant>
      <vt:variant>
        <vt:lpwstr>https://www.gs1au.org/standards</vt:lpwstr>
      </vt:variant>
      <vt:variant>
        <vt:lpwstr/>
      </vt:variant>
      <vt:variant>
        <vt:i4>6815797</vt:i4>
      </vt:variant>
      <vt:variant>
        <vt:i4>252</vt:i4>
      </vt:variant>
      <vt:variant>
        <vt:i4>0</vt:i4>
      </vt:variant>
      <vt:variant>
        <vt:i4>5</vt:i4>
      </vt:variant>
      <vt:variant>
        <vt:lpwstr>https://asean.org/wp-content/uploads/2022/03/Work-Plan-E-commerce-Agreement_endorsed_logo.pdf</vt:lpwstr>
      </vt:variant>
      <vt:variant>
        <vt:lpwstr/>
      </vt:variant>
      <vt:variant>
        <vt:i4>5963840</vt:i4>
      </vt:variant>
      <vt:variant>
        <vt:i4>249</vt:i4>
      </vt:variant>
      <vt:variant>
        <vt:i4>0</vt:i4>
      </vt:variant>
      <vt:variant>
        <vt:i4>5</vt:i4>
      </vt:variant>
      <vt:variant>
        <vt:lpwstr>https://www.singaporestandardseshop.sg/Product/GetPdf?fileName=220610150929TR%20105-2022%20Preview.pdf&amp;pdtid=f8064951-7c48-416d-9e45-44bc44e29421</vt:lpwstr>
      </vt:variant>
      <vt:variant>
        <vt:lpwstr/>
      </vt:variant>
      <vt:variant>
        <vt:i4>1245203</vt:i4>
      </vt:variant>
      <vt:variant>
        <vt:i4>246</vt:i4>
      </vt:variant>
      <vt:variant>
        <vt:i4>0</vt:i4>
      </vt:variant>
      <vt:variant>
        <vt:i4>5</vt:i4>
      </vt:variant>
      <vt:variant>
        <vt:lpwstr>http://norden.diva-portal.org/smash/get/diva2:1825831/FULLTEXT01.pdf</vt:lpwstr>
      </vt:variant>
      <vt:variant>
        <vt:lpwstr/>
      </vt:variant>
      <vt:variant>
        <vt:i4>6946866</vt:i4>
      </vt:variant>
      <vt:variant>
        <vt:i4>243</vt:i4>
      </vt:variant>
      <vt:variant>
        <vt:i4>0</vt:i4>
      </vt:variant>
      <vt:variant>
        <vt:i4>5</vt:i4>
      </vt:variant>
      <vt:variant>
        <vt:lpwstr>https://aws.amazon.com/blogs/supply-chain/aws-last-mile-solution-for-faster-delivery-lower-costs-and-a-better-customer-experience/</vt:lpwstr>
      </vt:variant>
      <vt:variant>
        <vt:lpwstr/>
      </vt:variant>
      <vt:variant>
        <vt:i4>1245249</vt:i4>
      </vt:variant>
      <vt:variant>
        <vt:i4>240</vt:i4>
      </vt:variant>
      <vt:variant>
        <vt:i4>0</vt:i4>
      </vt:variant>
      <vt:variant>
        <vt:i4>5</vt:i4>
      </vt:variant>
      <vt:variant>
        <vt:lpwstr>https://www.aseanbriefing.com/news/wp-content/uploads/2023/10/ASEAN_Indonesia_Master-Plan-Acceleration-and-Expansion-of-Indonesia-Economic-Development-2011-2025.pdf</vt:lpwstr>
      </vt:variant>
      <vt:variant>
        <vt:lpwstr/>
      </vt:variant>
      <vt:variant>
        <vt:i4>4718597</vt:i4>
      </vt:variant>
      <vt:variant>
        <vt:i4>237</vt:i4>
      </vt:variant>
      <vt:variant>
        <vt:i4>0</vt:i4>
      </vt:variant>
      <vt:variant>
        <vt:i4>5</vt:i4>
      </vt:variant>
      <vt:variant>
        <vt:lpwstr>https://ycpsolidiance.com/white-paper/logistics-last-mile-southeast-asia</vt:lpwstr>
      </vt:variant>
      <vt:variant>
        <vt:lpwstr/>
      </vt:variant>
      <vt:variant>
        <vt:i4>4718597</vt:i4>
      </vt:variant>
      <vt:variant>
        <vt:i4>234</vt:i4>
      </vt:variant>
      <vt:variant>
        <vt:i4>0</vt:i4>
      </vt:variant>
      <vt:variant>
        <vt:i4>5</vt:i4>
      </vt:variant>
      <vt:variant>
        <vt:lpwstr>https://ycpsolidiance.com/white-paper/logistics-last-mile-southeast-asia</vt:lpwstr>
      </vt:variant>
      <vt:variant>
        <vt:lpwstr/>
      </vt:variant>
      <vt:variant>
        <vt:i4>3801126</vt:i4>
      </vt:variant>
      <vt:variant>
        <vt:i4>231</vt:i4>
      </vt:variant>
      <vt:variant>
        <vt:i4>0</vt:i4>
      </vt:variant>
      <vt:variant>
        <vt:i4>5</vt:i4>
      </vt:variant>
      <vt:variant>
        <vt:lpwstr>https://asean.org/our-communities/economic-community/asean-e-commerce/</vt:lpwstr>
      </vt:variant>
      <vt:variant>
        <vt:lpwstr/>
      </vt:variant>
      <vt:variant>
        <vt:i4>4325416</vt:i4>
      </vt:variant>
      <vt:variant>
        <vt:i4>228</vt:i4>
      </vt:variant>
      <vt:variant>
        <vt:i4>0</vt:i4>
      </vt:variant>
      <vt:variant>
        <vt:i4>5</vt:i4>
      </vt:variant>
      <vt:variant>
        <vt:lpwstr>https://www.mckinsey.com/spContent/digital_archipelago/index.html</vt:lpwstr>
      </vt:variant>
      <vt:variant>
        <vt:lpwstr/>
      </vt:variant>
      <vt:variant>
        <vt:i4>7536745</vt:i4>
      </vt:variant>
      <vt:variant>
        <vt:i4>225</vt:i4>
      </vt:variant>
      <vt:variant>
        <vt:i4>0</vt:i4>
      </vt:variant>
      <vt:variant>
        <vt:i4>5</vt:i4>
      </vt:variant>
      <vt:variant>
        <vt:lpwstr>https://asean.org/wp-content/uploads/2022/04/ASEAN-ODR-Guidelines-FINAL.pdf</vt:lpwstr>
      </vt:variant>
      <vt:variant>
        <vt:lpwstr/>
      </vt:variant>
      <vt:variant>
        <vt:i4>2883680</vt:i4>
      </vt:variant>
      <vt:variant>
        <vt:i4>222</vt:i4>
      </vt:variant>
      <vt:variant>
        <vt:i4>0</vt:i4>
      </vt:variant>
      <vt:variant>
        <vt:i4>5</vt:i4>
      </vt:variant>
      <vt:variant>
        <vt:lpwstr>https://asean.org/wp-content/uploads/2022/11/Feasibility-Study-of-ASEAN-Trust-Mark-Scheme-Final-Report.pdf</vt:lpwstr>
      </vt:variant>
      <vt:variant>
        <vt:lpwstr/>
      </vt:variant>
      <vt:variant>
        <vt:i4>6160387</vt:i4>
      </vt:variant>
      <vt:variant>
        <vt:i4>219</vt:i4>
      </vt:variant>
      <vt:variant>
        <vt:i4>0</vt:i4>
      </vt:variant>
      <vt:variant>
        <vt:i4>5</vt:i4>
      </vt:variant>
      <vt:variant>
        <vt:lpwstr>https://asean.org/our-communities/economic-community/asean-single-window/</vt:lpwstr>
      </vt:variant>
      <vt:variant>
        <vt:lpwstr/>
      </vt:variant>
      <vt:variant>
        <vt:i4>7929894</vt:i4>
      </vt:variant>
      <vt:variant>
        <vt:i4>216</vt:i4>
      </vt:variant>
      <vt:variant>
        <vt:i4>0</vt:i4>
      </vt:variant>
      <vt:variant>
        <vt:i4>5</vt:i4>
      </vt:variant>
      <vt:variant>
        <vt:lpwstr>https://www.pwc.com/sg/en/publications/assets/future-of-the-logistics-industry.pdf</vt:lpwstr>
      </vt:variant>
      <vt:variant>
        <vt:lpwstr/>
      </vt:variant>
      <vt:variant>
        <vt:i4>4194386</vt:i4>
      </vt:variant>
      <vt:variant>
        <vt:i4>213</vt:i4>
      </vt:variant>
      <vt:variant>
        <vt:i4>0</vt:i4>
      </vt:variant>
      <vt:variant>
        <vt:i4>5</vt:i4>
      </vt:variant>
      <vt:variant>
        <vt:lpwstr>https://www.mckinsey.com/industries/travel-logistics-and-infrastructure/our-insights/e-commerce-is-entering-a-new-phase-in-southeast-asia-are-logistics-players-prepared</vt:lpwstr>
      </vt:variant>
      <vt:variant>
        <vt:lpwstr/>
      </vt:variant>
      <vt:variant>
        <vt:i4>6815797</vt:i4>
      </vt:variant>
      <vt:variant>
        <vt:i4>210</vt:i4>
      </vt:variant>
      <vt:variant>
        <vt:i4>0</vt:i4>
      </vt:variant>
      <vt:variant>
        <vt:i4>5</vt:i4>
      </vt:variant>
      <vt:variant>
        <vt:lpwstr>https://asean.org/wp-content/uploads/2022/03/Work-Plan-E-commerce-Agreement_endorsed_logo.pdf</vt:lpwstr>
      </vt:variant>
      <vt:variant>
        <vt:lpwstr/>
      </vt:variant>
      <vt:variant>
        <vt:i4>6815797</vt:i4>
      </vt:variant>
      <vt:variant>
        <vt:i4>207</vt:i4>
      </vt:variant>
      <vt:variant>
        <vt:i4>0</vt:i4>
      </vt:variant>
      <vt:variant>
        <vt:i4>5</vt:i4>
      </vt:variant>
      <vt:variant>
        <vt:lpwstr>https://asean.org/wp-content/uploads/2022/03/Work-Plan-E-commerce-Agreement_endorsed_logo.pdf</vt:lpwstr>
      </vt:variant>
      <vt:variant>
        <vt:lpwstr/>
      </vt:variant>
      <vt:variant>
        <vt:i4>917595</vt:i4>
      </vt:variant>
      <vt:variant>
        <vt:i4>204</vt:i4>
      </vt:variant>
      <vt:variant>
        <vt:i4>0</vt:i4>
      </vt:variant>
      <vt:variant>
        <vt:i4>5</vt:i4>
      </vt:variant>
      <vt:variant>
        <vt:lpwstr>https://agreement.asean.org/media/download/20190306035048.pdf</vt:lpwstr>
      </vt:variant>
      <vt:variant>
        <vt:lpwstr/>
      </vt:variant>
      <vt:variant>
        <vt:i4>6160387</vt:i4>
      </vt:variant>
      <vt:variant>
        <vt:i4>201</vt:i4>
      </vt:variant>
      <vt:variant>
        <vt:i4>0</vt:i4>
      </vt:variant>
      <vt:variant>
        <vt:i4>5</vt:i4>
      </vt:variant>
      <vt:variant>
        <vt:lpwstr>https://asean.org/our-communities/economic-community/asean-single-window/</vt:lpwstr>
      </vt:variant>
      <vt:variant>
        <vt:lpwstr/>
      </vt:variant>
      <vt:variant>
        <vt:i4>2818083</vt:i4>
      </vt:variant>
      <vt:variant>
        <vt:i4>198</vt:i4>
      </vt:variant>
      <vt:variant>
        <vt:i4>0</vt:i4>
      </vt:variant>
      <vt:variant>
        <vt:i4>5</vt:i4>
      </vt:variant>
      <vt:variant>
        <vt:lpwstr>https://www.sciencedirect.com/science/article/abs/pii/S0305750X11001434</vt:lpwstr>
      </vt:variant>
      <vt:variant>
        <vt:lpwstr/>
      </vt:variant>
      <vt:variant>
        <vt:i4>1900605</vt:i4>
      </vt:variant>
      <vt:variant>
        <vt:i4>195</vt:i4>
      </vt:variant>
      <vt:variant>
        <vt:i4>0</vt:i4>
      </vt:variant>
      <vt:variant>
        <vt:i4>5</vt:i4>
      </vt:variant>
      <vt:variant>
        <vt:lpwstr>https://www.oecd.org/en/publications/of-bytes-and-trade-quantifying-the-impact-of-digitalisation-on-trade_11889f2a-en.html</vt:lpwstr>
      </vt:variant>
      <vt:variant>
        <vt:lpwstr/>
      </vt:variant>
      <vt:variant>
        <vt:i4>3604546</vt:i4>
      </vt:variant>
      <vt:variant>
        <vt:i4>192</vt:i4>
      </vt:variant>
      <vt:variant>
        <vt:i4>0</vt:i4>
      </vt:variant>
      <vt:variant>
        <vt:i4>5</vt:i4>
      </vt:variant>
      <vt:variant>
        <vt:lpwstr>https://www.unescap.org/sites/default/d8files/Part II_Chapter V_Estimating the benefits of cross-border paperless trade_0.pdf</vt:lpwstr>
      </vt:variant>
      <vt:variant>
        <vt:lpwstr/>
      </vt:variant>
      <vt:variant>
        <vt:i4>7798856</vt:i4>
      </vt:variant>
      <vt:variant>
        <vt:i4>189</vt:i4>
      </vt:variant>
      <vt:variant>
        <vt:i4>0</vt:i4>
      </vt:variant>
      <vt:variant>
        <vt:i4>5</vt:i4>
      </vt:variant>
      <vt:variant>
        <vt:lpwstr>https://www.unescap.org/sites/default/d8files/4 - Part I_An Overview Of Trade Facilitation.pdf</vt:lpwstr>
      </vt:variant>
      <vt:variant>
        <vt:lpwstr/>
      </vt:variant>
      <vt:variant>
        <vt:i4>721022</vt:i4>
      </vt:variant>
      <vt:variant>
        <vt:i4>186</vt:i4>
      </vt:variant>
      <vt:variant>
        <vt:i4>0</vt:i4>
      </vt:variant>
      <vt:variant>
        <vt:i4>5</vt:i4>
      </vt:variant>
      <vt:variant>
        <vt:lpwstr>https://unctad.org/system/files/official-document/gds2016d3_en.pdf</vt:lpwstr>
      </vt:variant>
      <vt:variant>
        <vt:lpwstr/>
      </vt:variant>
      <vt:variant>
        <vt:i4>721022</vt:i4>
      </vt:variant>
      <vt:variant>
        <vt:i4>183</vt:i4>
      </vt:variant>
      <vt:variant>
        <vt:i4>0</vt:i4>
      </vt:variant>
      <vt:variant>
        <vt:i4>5</vt:i4>
      </vt:variant>
      <vt:variant>
        <vt:lpwstr>https://unctad.org/system/files/official-document/gds2016d3_en.pdf</vt:lpwstr>
      </vt:variant>
      <vt:variant>
        <vt:lpwstr/>
      </vt:variant>
      <vt:variant>
        <vt:i4>4259922</vt:i4>
      </vt:variant>
      <vt:variant>
        <vt:i4>180</vt:i4>
      </vt:variant>
      <vt:variant>
        <vt:i4>0</vt:i4>
      </vt:variant>
      <vt:variant>
        <vt:i4>5</vt:i4>
      </vt:variant>
      <vt:variant>
        <vt:lpwstr>https://www.compact.nl/pdf/C-2020-2-Ommen.pdf</vt:lpwstr>
      </vt:variant>
      <vt:variant>
        <vt:lpwstr/>
      </vt:variant>
      <vt:variant>
        <vt:i4>4259907</vt:i4>
      </vt:variant>
      <vt:variant>
        <vt:i4>177</vt:i4>
      </vt:variant>
      <vt:variant>
        <vt:i4>0</vt:i4>
      </vt:variant>
      <vt:variant>
        <vt:i4>5</vt:i4>
      </vt:variant>
      <vt:variant>
        <vt:lpwstr>https://www.unescap.org/kp/2022/trade-agreements-asia-and-pacific-bigger-deeper-digital-and-more-supportive-sustainable-20222023</vt:lpwstr>
      </vt:variant>
      <vt:variant>
        <vt:lpwstr/>
      </vt:variant>
      <vt:variant>
        <vt:i4>3473462</vt:i4>
      </vt:variant>
      <vt:variant>
        <vt:i4>174</vt:i4>
      </vt:variant>
      <vt:variant>
        <vt:i4>0</vt:i4>
      </vt:variant>
      <vt:variant>
        <vt:i4>5</vt:i4>
      </vt:variant>
      <vt:variant>
        <vt:lpwstr>https://www.unilu.ch/en/faculties/faculty-of-law/professorships/burri-mira/research/taped/</vt:lpwstr>
      </vt:variant>
      <vt:variant>
        <vt:lpwstr/>
      </vt:variant>
      <vt:variant>
        <vt:i4>7602291</vt:i4>
      </vt:variant>
      <vt:variant>
        <vt:i4>171</vt:i4>
      </vt:variant>
      <vt:variant>
        <vt:i4>0</vt:i4>
      </vt:variant>
      <vt:variant>
        <vt:i4>5</vt:i4>
      </vt:variant>
      <vt:variant>
        <vt:lpwstr>https://asean-au-dts.org/importance-of-international-standards/</vt:lpwstr>
      </vt:variant>
      <vt:variant>
        <vt:lpwstr/>
      </vt:variant>
      <vt:variant>
        <vt:i4>3604546</vt:i4>
      </vt:variant>
      <vt:variant>
        <vt:i4>168</vt:i4>
      </vt:variant>
      <vt:variant>
        <vt:i4>0</vt:i4>
      </vt:variant>
      <vt:variant>
        <vt:i4>5</vt:i4>
      </vt:variant>
      <vt:variant>
        <vt:lpwstr>https://www.unescap.org/sites/default/d8files/Part II_Chapter V_Estimating the benefits of cross-border paperless trade_0.pdf</vt:lpwstr>
      </vt:variant>
      <vt:variant>
        <vt:lpwstr/>
      </vt:variant>
      <vt:variant>
        <vt:i4>4325405</vt:i4>
      </vt:variant>
      <vt:variant>
        <vt:i4>165</vt:i4>
      </vt:variant>
      <vt:variant>
        <vt:i4>0</vt:i4>
      </vt:variant>
      <vt:variant>
        <vt:i4>5</vt:i4>
      </vt:variant>
      <vt:variant>
        <vt:lpwstr>https://www.apec.org/docs/default-source/publications/2023/3/economic-impact-of-adopting-digital-trade-rules-evidence-from-apec-member-economies/223_cti_economic-impact-of-adopting-digital-trade-rules.pdf</vt:lpwstr>
      </vt:variant>
      <vt:variant>
        <vt:lpwstr/>
      </vt:variant>
      <vt:variant>
        <vt:i4>6684763</vt:i4>
      </vt:variant>
      <vt:variant>
        <vt:i4>162</vt:i4>
      </vt:variant>
      <vt:variant>
        <vt:i4>0</vt:i4>
      </vt:variant>
      <vt:variant>
        <vt:i4>5</vt:i4>
      </vt:variant>
      <vt:variant>
        <vt:lpwstr>https://asean-au-dts.org/wp-content/uploads/2023/03/DTS_Australia-Singapore-Joint-Report.pdf</vt:lpwstr>
      </vt:variant>
      <vt:variant>
        <vt:lpwstr/>
      </vt:variant>
      <vt:variant>
        <vt:i4>7471212</vt:i4>
      </vt:variant>
      <vt:variant>
        <vt:i4>159</vt:i4>
      </vt:variant>
      <vt:variant>
        <vt:i4>0</vt:i4>
      </vt:variant>
      <vt:variant>
        <vt:i4>5</vt:i4>
      </vt:variant>
      <vt:variant>
        <vt:lpwstr>https://www.bsigroup.com/LocalFiles/en-GB/standards/BSI-The-Economic-Contribution-of-Standards-to-the-UK-Economy-UK-EN.pdf</vt:lpwstr>
      </vt:variant>
      <vt:variant>
        <vt:lpwstr/>
      </vt:variant>
      <vt:variant>
        <vt:i4>7798846</vt:i4>
      </vt:variant>
      <vt:variant>
        <vt:i4>156</vt:i4>
      </vt:variant>
      <vt:variant>
        <vt:i4>0</vt:i4>
      </vt:variant>
      <vt:variant>
        <vt:i4>5</vt:i4>
      </vt:variant>
      <vt:variant>
        <vt:lpwstr>https://theaseanmagazine.asean.org/article/asean-comprehensive-recovery-framework/</vt:lpwstr>
      </vt:variant>
      <vt:variant>
        <vt:lpwstr>:~:text=Digitalisation%20efforts%2C%20such%20as%20optimising,million%20days%20of%20business%20operations</vt:lpwstr>
      </vt:variant>
      <vt:variant>
        <vt:i4>6881401</vt:i4>
      </vt:variant>
      <vt:variant>
        <vt:i4>153</vt:i4>
      </vt:variant>
      <vt:variant>
        <vt:i4>0</vt:i4>
      </vt:variant>
      <vt:variant>
        <vt:i4>5</vt:i4>
      </vt:variant>
      <vt:variant>
        <vt:lpwstr>https://www.aseanstats.org/wp-content/uploads/2024/05/ASB-202405-03.pdf</vt:lpwstr>
      </vt:variant>
      <vt:variant>
        <vt:lpwstr/>
      </vt:variant>
      <vt:variant>
        <vt:i4>917569</vt:i4>
      </vt:variant>
      <vt:variant>
        <vt:i4>150</vt:i4>
      </vt:variant>
      <vt:variant>
        <vt:i4>0</vt:i4>
      </vt:variant>
      <vt:variant>
        <vt:i4>5</vt:i4>
      </vt:variant>
      <vt:variant>
        <vt:lpwstr>https://asean.org/wp-content/uploads/2021/08/What-is-MRAs.pdf</vt:lpwstr>
      </vt:variant>
      <vt:variant>
        <vt:lpwstr/>
      </vt:variant>
      <vt:variant>
        <vt:i4>4653146</vt:i4>
      </vt:variant>
      <vt:variant>
        <vt:i4>147</vt:i4>
      </vt:variant>
      <vt:variant>
        <vt:i4>0</vt:i4>
      </vt:variant>
      <vt:variant>
        <vt:i4>5</vt:i4>
      </vt:variant>
      <vt:variant>
        <vt:lpwstr>https://asean.org/wp-content/uploads/2023/05/ASEAN-Guidelines-for-Harmonisation-of-Standards-2022-Version.pdf</vt:lpwstr>
      </vt:variant>
      <vt:variant>
        <vt:lpwstr/>
      </vt:variant>
      <vt:variant>
        <vt:i4>5767189</vt:i4>
      </vt:variant>
      <vt:variant>
        <vt:i4>144</vt:i4>
      </vt:variant>
      <vt:variant>
        <vt:i4>0</vt:i4>
      </vt:variant>
      <vt:variant>
        <vt:i4>5</vt:i4>
      </vt:variant>
      <vt:variant>
        <vt:lpwstr>https://www.interamericancoalition-medtech.org/regulatory-convergence/wp-content/uploads/sites/4/2021/06/iso_iec_guide_21_regional_national_adoption_international_standards_part_1.pdf</vt:lpwstr>
      </vt:variant>
      <vt:variant>
        <vt:lpwstr/>
      </vt:variant>
      <vt:variant>
        <vt:i4>1638429</vt:i4>
      </vt:variant>
      <vt:variant>
        <vt:i4>141</vt:i4>
      </vt:variant>
      <vt:variant>
        <vt:i4>0</vt:i4>
      </vt:variant>
      <vt:variant>
        <vt:i4>5</vt:i4>
      </vt:variant>
      <vt:variant>
        <vt:lpwstr>https://asean.org/wp-content/uploads/2021/10/Guidelines-for-the-Development-of-MRAs-Second-Edition-September-2018.pdf</vt:lpwstr>
      </vt:variant>
      <vt:variant>
        <vt:lpwstr/>
      </vt:variant>
      <vt:variant>
        <vt:i4>4653146</vt:i4>
      </vt:variant>
      <vt:variant>
        <vt:i4>138</vt:i4>
      </vt:variant>
      <vt:variant>
        <vt:i4>0</vt:i4>
      </vt:variant>
      <vt:variant>
        <vt:i4>5</vt:i4>
      </vt:variant>
      <vt:variant>
        <vt:lpwstr>https://asean.org/wp-content/uploads/2023/05/ASEAN-Guidelines-for-Harmonisation-of-Standards-2022-Version.pdf</vt:lpwstr>
      </vt:variant>
      <vt:variant>
        <vt:lpwstr/>
      </vt:variant>
      <vt:variant>
        <vt:i4>7471149</vt:i4>
      </vt:variant>
      <vt:variant>
        <vt:i4>135</vt:i4>
      </vt:variant>
      <vt:variant>
        <vt:i4>0</vt:i4>
      </vt:variant>
      <vt:variant>
        <vt:i4>5</vt:i4>
      </vt:variant>
      <vt:variant>
        <vt:lpwstr>https://asean.org/wp-content/uploads/images/2015/July/ASEAN_Guidelines_for_Accreditation_and_Conformity_Assessment/ASEAN_Guidelines_for_Accreditation_and_Conformity_Final.pdf</vt:lpwstr>
      </vt:variant>
      <vt:variant>
        <vt:lpwstr/>
      </vt:variant>
      <vt:variant>
        <vt:i4>5963857</vt:i4>
      </vt:variant>
      <vt:variant>
        <vt:i4>132</vt:i4>
      </vt:variant>
      <vt:variant>
        <vt:i4>0</vt:i4>
      </vt:variant>
      <vt:variant>
        <vt:i4>5</vt:i4>
      </vt:variant>
      <vt:variant>
        <vt:lpwstr>https://asean.org/wp-content/uploads/2017/09/ASEAN-Guidelines-on-Standards-Technical-Regulations-and-Conformity-Assessment-Procedures.pdf</vt:lpwstr>
      </vt:variant>
      <vt:variant>
        <vt:lpwstr/>
      </vt:variant>
      <vt:variant>
        <vt:i4>7471144</vt:i4>
      </vt:variant>
      <vt:variant>
        <vt:i4>129</vt:i4>
      </vt:variant>
      <vt:variant>
        <vt:i4>0</vt:i4>
      </vt:variant>
      <vt:variant>
        <vt:i4>5</vt:i4>
      </vt:variant>
      <vt:variant>
        <vt:lpwstr>https://asean.org/wp-content/uploads/2021/08/AECBP_2025r_FINAL.pdf</vt:lpwstr>
      </vt:variant>
      <vt:variant>
        <vt:lpwstr/>
      </vt:variant>
      <vt:variant>
        <vt:i4>7471144</vt:i4>
      </vt:variant>
      <vt:variant>
        <vt:i4>126</vt:i4>
      </vt:variant>
      <vt:variant>
        <vt:i4>0</vt:i4>
      </vt:variant>
      <vt:variant>
        <vt:i4>5</vt:i4>
      </vt:variant>
      <vt:variant>
        <vt:lpwstr>https://asean.org/wp-content/uploads/2021/08/AECBP_2025r_FINAL.pdf</vt:lpwstr>
      </vt:variant>
      <vt:variant>
        <vt:lpwstr/>
      </vt:variant>
      <vt:variant>
        <vt:i4>4915212</vt:i4>
      </vt:variant>
      <vt:variant>
        <vt:i4>123</vt:i4>
      </vt:variant>
      <vt:variant>
        <vt:i4>0</vt:i4>
      </vt:variant>
      <vt:variant>
        <vt:i4>5</vt:i4>
      </vt:variant>
      <vt:variant>
        <vt:lpwstr>https://asean.org/wp-content/uploads/2020/12/ASEAN-Trade-in-Goods-Agreement-Cha-am-Thailand-26-February-2009.pdf</vt:lpwstr>
      </vt:variant>
      <vt:variant>
        <vt:lpwstr/>
      </vt:variant>
      <vt:variant>
        <vt:i4>3342397</vt:i4>
      </vt:variant>
      <vt:variant>
        <vt:i4>120</vt:i4>
      </vt:variant>
      <vt:variant>
        <vt:i4>0</vt:i4>
      </vt:variant>
      <vt:variant>
        <vt:i4>5</vt:i4>
      </vt:variant>
      <vt:variant>
        <vt:lpwstr>https://asean.org/wp-content/uploads/2021/01/ASEAN-Guideline-on-Standards-Technical-Regulations-and-Conformity-Assessment-Procedures-1.pdf</vt:lpwstr>
      </vt:variant>
      <vt:variant>
        <vt:lpwstr/>
      </vt:variant>
      <vt:variant>
        <vt:i4>7143546</vt:i4>
      </vt:variant>
      <vt:variant>
        <vt:i4>117</vt:i4>
      </vt:variant>
      <vt:variant>
        <vt:i4>0</vt:i4>
      </vt:variant>
      <vt:variant>
        <vt:i4>5</vt:i4>
      </vt:variant>
      <vt:variant>
        <vt:lpwstr>https://www.wto.org/english/tratop_e/tbt_e/tbt_info_e.htm</vt:lpwstr>
      </vt:variant>
      <vt:variant>
        <vt:lpwstr/>
      </vt:variant>
      <vt:variant>
        <vt:i4>7602293</vt:i4>
      </vt:variant>
      <vt:variant>
        <vt:i4>114</vt:i4>
      </vt:variant>
      <vt:variant>
        <vt:i4>0</vt:i4>
      </vt:variant>
      <vt:variant>
        <vt:i4>5</vt:i4>
      </vt:variant>
      <vt:variant>
        <vt:lpwstr>https://www.iec.ch/publications/international-standards</vt:lpwstr>
      </vt:variant>
      <vt:variant>
        <vt:lpwstr/>
      </vt:variant>
      <vt:variant>
        <vt:i4>7143546</vt:i4>
      </vt:variant>
      <vt:variant>
        <vt:i4>111</vt:i4>
      </vt:variant>
      <vt:variant>
        <vt:i4>0</vt:i4>
      </vt:variant>
      <vt:variant>
        <vt:i4>5</vt:i4>
      </vt:variant>
      <vt:variant>
        <vt:lpwstr>https://www.wto.org/english/tratop_e/tbt_e/tbt_info_e.htm</vt:lpwstr>
      </vt:variant>
      <vt:variant>
        <vt:lpwstr/>
      </vt:variant>
      <vt:variant>
        <vt:i4>7143546</vt:i4>
      </vt:variant>
      <vt:variant>
        <vt:i4>108</vt:i4>
      </vt:variant>
      <vt:variant>
        <vt:i4>0</vt:i4>
      </vt:variant>
      <vt:variant>
        <vt:i4>5</vt:i4>
      </vt:variant>
      <vt:variant>
        <vt:lpwstr>https://www.wto.org/english/tratop_e/tbt_e/tbt_info_e.htm</vt:lpwstr>
      </vt:variant>
      <vt:variant>
        <vt:lpwstr/>
      </vt:variant>
      <vt:variant>
        <vt:i4>4653078</vt:i4>
      </vt:variant>
      <vt:variant>
        <vt:i4>105</vt:i4>
      </vt:variant>
      <vt:variant>
        <vt:i4>0</vt:i4>
      </vt:variant>
      <vt:variant>
        <vt:i4>5</vt:i4>
      </vt:variant>
      <vt:variant>
        <vt:lpwstr>https://asean.org/book/asean-digital-masterplan-2025/</vt:lpwstr>
      </vt:variant>
      <vt:variant>
        <vt:lpwstr/>
      </vt:variant>
      <vt:variant>
        <vt:i4>4653078</vt:i4>
      </vt:variant>
      <vt:variant>
        <vt:i4>102</vt:i4>
      </vt:variant>
      <vt:variant>
        <vt:i4>0</vt:i4>
      </vt:variant>
      <vt:variant>
        <vt:i4>5</vt:i4>
      </vt:variant>
      <vt:variant>
        <vt:lpwstr>https://asean.org/book/asean-digital-masterplan-2025/</vt:lpwstr>
      </vt:variant>
      <vt:variant>
        <vt:lpwstr/>
      </vt:variant>
      <vt:variant>
        <vt:i4>4325391</vt:i4>
      </vt:variant>
      <vt:variant>
        <vt:i4>99</vt:i4>
      </vt:variant>
      <vt:variant>
        <vt:i4>0</vt:i4>
      </vt:variant>
      <vt:variant>
        <vt:i4>5</vt:i4>
      </vt:variant>
      <vt:variant>
        <vt:lpwstr>https://asean.org/wp-content/uploads/2021/12/DTSCWG-Infographic-final.pdf</vt:lpwstr>
      </vt:variant>
      <vt:variant>
        <vt:lpwstr/>
      </vt:variant>
      <vt:variant>
        <vt:i4>8192030</vt:i4>
      </vt:variant>
      <vt:variant>
        <vt:i4>96</vt:i4>
      </vt:variant>
      <vt:variant>
        <vt:i4>0</vt:i4>
      </vt:variant>
      <vt:variant>
        <vt:i4>5</vt:i4>
      </vt:variant>
      <vt:variant>
        <vt:lpwstr>https://asean.org/wp-content/uploads/2022/02/01-ASEAN-Cybersecurity-Cooperation-Paper-2021-2025_final-23-0122.pdf</vt:lpwstr>
      </vt:variant>
      <vt:variant>
        <vt:lpwstr/>
      </vt:variant>
      <vt:variant>
        <vt:i4>4653078</vt:i4>
      </vt:variant>
      <vt:variant>
        <vt:i4>93</vt:i4>
      </vt:variant>
      <vt:variant>
        <vt:i4>0</vt:i4>
      </vt:variant>
      <vt:variant>
        <vt:i4>5</vt:i4>
      </vt:variant>
      <vt:variant>
        <vt:lpwstr>https://asean.org/book/asean-digital-masterplan-2025/</vt:lpwstr>
      </vt:variant>
      <vt:variant>
        <vt:lpwstr/>
      </vt:variant>
      <vt:variant>
        <vt:i4>3539012</vt:i4>
      </vt:variant>
      <vt:variant>
        <vt:i4>90</vt:i4>
      </vt:variant>
      <vt:variant>
        <vt:i4>0</vt:i4>
      </vt:variant>
      <vt:variant>
        <vt:i4>5</vt:i4>
      </vt:variant>
      <vt:variant>
        <vt:lpwstr>https://asean.org/wp-content/uploads/2021/10/Bandar-Seri-Begawan-Roadmap-on-ASEAN-Digital-Transformation-Agenda_Endorsed.pdf</vt:lpwstr>
      </vt:variant>
      <vt:variant>
        <vt:lpwstr/>
      </vt:variant>
      <vt:variant>
        <vt:i4>4653068</vt:i4>
      </vt:variant>
      <vt:variant>
        <vt:i4>87</vt:i4>
      </vt:variant>
      <vt:variant>
        <vt:i4>0</vt:i4>
      </vt:variant>
      <vt:variant>
        <vt:i4>5</vt:i4>
      </vt:variant>
      <vt:variant>
        <vt:lpwstr>https://www.iso.org/committee/45306.html</vt:lpwstr>
      </vt:variant>
      <vt:variant>
        <vt:lpwstr/>
      </vt:variant>
      <vt:variant>
        <vt:i4>4653068</vt:i4>
      </vt:variant>
      <vt:variant>
        <vt:i4>84</vt:i4>
      </vt:variant>
      <vt:variant>
        <vt:i4>0</vt:i4>
      </vt:variant>
      <vt:variant>
        <vt:i4>5</vt:i4>
      </vt:variant>
      <vt:variant>
        <vt:lpwstr>https://www.iso.org/committee/45306.html</vt:lpwstr>
      </vt:variant>
      <vt:variant>
        <vt:lpwstr/>
      </vt:variant>
      <vt:variant>
        <vt:i4>4915280</vt:i4>
      </vt:variant>
      <vt:variant>
        <vt:i4>81</vt:i4>
      </vt:variant>
      <vt:variant>
        <vt:i4>0</vt:i4>
      </vt:variant>
      <vt:variant>
        <vt:i4>5</vt:i4>
      </vt:variant>
      <vt:variant>
        <vt:lpwstr>https://www.kloud9it.com/2024/03/the-evolution-and-impact-of-cloud-computing-in-the-digital-age/</vt:lpwstr>
      </vt:variant>
      <vt:variant>
        <vt:lpwstr/>
      </vt:variant>
      <vt:variant>
        <vt:i4>6750270</vt:i4>
      </vt:variant>
      <vt:variant>
        <vt:i4>78</vt:i4>
      </vt:variant>
      <vt:variant>
        <vt:i4>0</vt:i4>
      </vt:variant>
      <vt:variant>
        <vt:i4>5</vt:i4>
      </vt:variant>
      <vt:variant>
        <vt:lpwstr>https://impact.economist.com/perspectives/sites/default/files/eiu_vmware_up_in_the_air_infographic.pdf</vt:lpwstr>
      </vt:variant>
      <vt:variant>
        <vt:lpwstr/>
      </vt:variant>
      <vt:variant>
        <vt:i4>6881309</vt:i4>
      </vt:variant>
      <vt:variant>
        <vt:i4>75</vt:i4>
      </vt:variant>
      <vt:variant>
        <vt:i4>0</vt:i4>
      </vt:variant>
      <vt:variant>
        <vt:i4>5</vt:i4>
      </vt:variant>
      <vt:variant>
        <vt:lpwstr>https://insights.sei.cmu.edu/documents/2235/2012_004_001_28143.pdf</vt:lpwstr>
      </vt:variant>
      <vt:variant>
        <vt:lpwstr/>
      </vt:variant>
      <vt:variant>
        <vt:i4>4522004</vt:i4>
      </vt:variant>
      <vt:variant>
        <vt:i4>72</vt:i4>
      </vt:variant>
      <vt:variant>
        <vt:i4>0</vt:i4>
      </vt:variant>
      <vt:variant>
        <vt:i4>5</vt:i4>
      </vt:variant>
      <vt:variant>
        <vt:lpwstr>https://www.iso.org/committee/6266604.html?view=participation</vt:lpwstr>
      </vt:variant>
      <vt:variant>
        <vt:lpwstr/>
      </vt:variant>
      <vt:variant>
        <vt:i4>3342375</vt:i4>
      </vt:variant>
      <vt:variant>
        <vt:i4>69</vt:i4>
      </vt:variant>
      <vt:variant>
        <vt:i4>0</vt:i4>
      </vt:variant>
      <vt:variant>
        <vt:i4>5</vt:i4>
      </vt:variant>
      <vt:variant>
        <vt:lpwstr>https://www.idc.com/getdoc.jsp?containerId=prAP49852022</vt:lpwstr>
      </vt:variant>
      <vt:variant>
        <vt:lpwstr/>
      </vt:variant>
      <vt:variant>
        <vt:i4>4128805</vt:i4>
      </vt:variant>
      <vt:variant>
        <vt:i4>66</vt:i4>
      </vt:variant>
      <vt:variant>
        <vt:i4>0</vt:i4>
      </vt:variant>
      <vt:variant>
        <vt:i4>5</vt:i4>
      </vt:variant>
      <vt:variant>
        <vt:lpwstr>https://asean.org/book/asean-guide-on-ai-governance-and-ethics/</vt:lpwstr>
      </vt:variant>
      <vt:variant>
        <vt:lpwstr/>
      </vt:variant>
      <vt:variant>
        <vt:i4>3670137</vt:i4>
      </vt:variant>
      <vt:variant>
        <vt:i4>63</vt:i4>
      </vt:variant>
      <vt:variant>
        <vt:i4>0</vt:i4>
      </vt:variant>
      <vt:variant>
        <vt:i4>5</vt:i4>
      </vt:variant>
      <vt:variant>
        <vt:lpwstr>https://www.middle-east.kearney.com/service/digital-analytics/article/-/insights/racing-toward-the-future-artificial-intelligence-in-southeast-asia</vt:lpwstr>
      </vt:variant>
      <vt:variant>
        <vt:lpwstr>:~:text=AI%20has%20the%20potential%20to%20add%20%241%20trillion%20to%20the%20region's%20GDP&amp;text=Our%20study%20reveals%20that%20AI,trillion%20(see%20figure%204)</vt:lpwstr>
      </vt:variant>
      <vt:variant>
        <vt:i4>3473533</vt:i4>
      </vt:variant>
      <vt:variant>
        <vt:i4>60</vt:i4>
      </vt:variant>
      <vt:variant>
        <vt:i4>0</vt:i4>
      </vt:variant>
      <vt:variant>
        <vt:i4>5</vt:i4>
      </vt:variant>
      <vt:variant>
        <vt:lpwstr>https://aciperspectives.com/2024/04/17/aseans-fragmenting-data-regulatory-framework-whats-the-way-forward/</vt:lpwstr>
      </vt:variant>
      <vt:variant>
        <vt:lpwstr/>
      </vt:variant>
      <vt:variant>
        <vt:i4>7798820</vt:i4>
      </vt:variant>
      <vt:variant>
        <vt:i4>57</vt:i4>
      </vt:variant>
      <vt:variant>
        <vt:i4>0</vt:i4>
      </vt:variant>
      <vt:variant>
        <vt:i4>5</vt:i4>
      </vt:variant>
      <vt:variant>
        <vt:lpwstr>https://asean.org/wp-content/uploads/2021/01/ASEAN-Strategic-Action-Plan-for-Consumer-Protection-2016-2025-ASAPCP-2025.pdf</vt:lpwstr>
      </vt:variant>
      <vt:variant>
        <vt:lpwstr/>
      </vt:variant>
      <vt:variant>
        <vt:i4>2752522</vt:i4>
      </vt:variant>
      <vt:variant>
        <vt:i4>54</vt:i4>
      </vt:variant>
      <vt:variant>
        <vt:i4>0</vt:i4>
      </vt:variant>
      <vt:variant>
        <vt:i4>5</vt:i4>
      </vt:variant>
      <vt:variant>
        <vt:lpwstr>https://asean.org/wp-content/uploads/2023/03/ASEAN-Guidelines-on-Consumer-Impact-E-COMMERCE_V2-1.pdf</vt:lpwstr>
      </vt:variant>
      <vt:variant>
        <vt:lpwstr/>
      </vt:variant>
      <vt:variant>
        <vt:i4>4194428</vt:i4>
      </vt:variant>
      <vt:variant>
        <vt:i4>51</vt:i4>
      </vt:variant>
      <vt:variant>
        <vt:i4>0</vt:i4>
      </vt:variant>
      <vt:variant>
        <vt:i4>5</vt:i4>
      </vt:variant>
      <vt:variant>
        <vt:lpwstr>https://downloads.ctfassets.net/corl1354p0t3/750MZKJ7tfh9NSwTdPviqG/9dec46e2d311f2f8b130c28600a55fba/CyberAsean_Report.pdf</vt:lpwstr>
      </vt:variant>
      <vt:variant>
        <vt:lpwstr/>
      </vt:variant>
      <vt:variant>
        <vt:i4>5570567</vt:i4>
      </vt:variant>
      <vt:variant>
        <vt:i4>48</vt:i4>
      </vt:variant>
      <vt:variant>
        <vt:i4>0</vt:i4>
      </vt:variant>
      <vt:variant>
        <vt:i4>5</vt:i4>
      </vt:variant>
      <vt:variant>
        <vt:lpwstr>https://www.imda.gov.sg/-/media/imda/files/regulations-and-licensing/licensing/ict-standards-and-quality-of-service/industry-committees-and-working-groups/it-standards-committee/singapore-it-standards.pdf</vt:lpwstr>
      </vt:variant>
      <vt:variant>
        <vt:lpwstr/>
      </vt:variant>
      <vt:variant>
        <vt:i4>5242947</vt:i4>
      </vt:variant>
      <vt:variant>
        <vt:i4>45</vt:i4>
      </vt:variant>
      <vt:variant>
        <vt:i4>0</vt:i4>
      </vt:variant>
      <vt:variant>
        <vt:i4>5</vt:i4>
      </vt:variant>
      <vt:variant>
        <vt:lpwstr>https://www.brookings.edu/articles/cybersecurity-and-digital-trade-getting-it-right/</vt:lpwstr>
      </vt:variant>
      <vt:variant>
        <vt:lpwstr/>
      </vt:variant>
      <vt:variant>
        <vt:i4>6291576</vt:i4>
      </vt:variant>
      <vt:variant>
        <vt:i4>42</vt:i4>
      </vt:variant>
      <vt:variant>
        <vt:i4>0</vt:i4>
      </vt:variant>
      <vt:variant>
        <vt:i4>5</vt:i4>
      </vt:variant>
      <vt:variant>
        <vt:lpwstr>https://www.cyfirma.com/research/singapore-and-southeast-asia-threat-landscape/</vt:lpwstr>
      </vt:variant>
      <vt:variant>
        <vt:lpwstr/>
      </vt:variant>
      <vt:variant>
        <vt:i4>5570653</vt:i4>
      </vt:variant>
      <vt:variant>
        <vt:i4>39</vt:i4>
      </vt:variant>
      <vt:variant>
        <vt:i4>0</vt:i4>
      </vt:variant>
      <vt:variant>
        <vt:i4>5</vt:i4>
      </vt:variant>
      <vt:variant>
        <vt:lpwstr>https://asean.org/wp-content/uploads/2021/09/ASEAN-Digital-Masterplan-EDITED.pdf</vt:lpwstr>
      </vt:variant>
      <vt:variant>
        <vt:lpwstr/>
      </vt:variant>
      <vt:variant>
        <vt:i4>983052</vt:i4>
      </vt:variant>
      <vt:variant>
        <vt:i4>36</vt:i4>
      </vt:variant>
      <vt:variant>
        <vt:i4>0</vt:i4>
      </vt:variant>
      <vt:variant>
        <vt:i4>5</vt:i4>
      </vt:variant>
      <vt:variant>
        <vt:lpwstr>https://www.weforum.org/agenda/2023/11/asean-instant-cross-border-payments-paynow-promptpay/</vt:lpwstr>
      </vt:variant>
      <vt:variant>
        <vt:lpwstr/>
      </vt:variant>
      <vt:variant>
        <vt:i4>3604537</vt:i4>
      </vt:variant>
      <vt:variant>
        <vt:i4>33</vt:i4>
      </vt:variant>
      <vt:variant>
        <vt:i4>0</vt:i4>
      </vt:variant>
      <vt:variant>
        <vt:i4>5</vt:i4>
      </vt:variant>
      <vt:variant>
        <vt:lpwstr>https://mdec.my/national-einvoicing</vt:lpwstr>
      </vt:variant>
      <vt:variant>
        <vt:lpwstr/>
      </vt:variant>
      <vt:variant>
        <vt:i4>6946853</vt:i4>
      </vt:variant>
      <vt:variant>
        <vt:i4>30</vt:i4>
      </vt:variant>
      <vt:variant>
        <vt:i4>0</vt:i4>
      </vt:variant>
      <vt:variant>
        <vt:i4>5</vt:i4>
      </vt:variant>
      <vt:variant>
        <vt:lpwstr>https://peppol.eu/what-is-peppol/peppol-country-profiles/singapore-country-profile</vt:lpwstr>
      </vt:variant>
      <vt:variant>
        <vt:lpwstr/>
      </vt:variant>
      <vt:variant>
        <vt:i4>3604537</vt:i4>
      </vt:variant>
      <vt:variant>
        <vt:i4>27</vt:i4>
      </vt:variant>
      <vt:variant>
        <vt:i4>0</vt:i4>
      </vt:variant>
      <vt:variant>
        <vt:i4>5</vt:i4>
      </vt:variant>
      <vt:variant>
        <vt:lpwstr>https://mdec.my/national-einvoicing</vt:lpwstr>
      </vt:variant>
      <vt:variant>
        <vt:lpwstr/>
      </vt:variant>
      <vt:variant>
        <vt:i4>6946853</vt:i4>
      </vt:variant>
      <vt:variant>
        <vt:i4>24</vt:i4>
      </vt:variant>
      <vt:variant>
        <vt:i4>0</vt:i4>
      </vt:variant>
      <vt:variant>
        <vt:i4>5</vt:i4>
      </vt:variant>
      <vt:variant>
        <vt:lpwstr>https://peppol.eu/what-is-peppol/peppol-country-profiles/singapore-country-profile</vt:lpwstr>
      </vt:variant>
      <vt:variant>
        <vt:lpwstr/>
      </vt:variant>
      <vt:variant>
        <vt:i4>3932199</vt:i4>
      </vt:variant>
      <vt:variant>
        <vt:i4>21</vt:i4>
      </vt:variant>
      <vt:variant>
        <vt:i4>0</vt:i4>
      </vt:variant>
      <vt:variant>
        <vt:i4>5</vt:i4>
      </vt:variant>
      <vt:variant>
        <vt:lpwstr>https://myanmar-law-library.org/law-library/laws-and-regulations/laws/myanmar-laws-1988-until-now/state-administration-council-2021/myanmar-laws-2021/state-administration-council-law-no-07-2021-law-amending-the-electronic.html</vt:lpwstr>
      </vt:variant>
      <vt:variant>
        <vt:lpwstr/>
      </vt:variant>
      <vt:variant>
        <vt:i4>1572877</vt:i4>
      </vt:variant>
      <vt:variant>
        <vt:i4>18</vt:i4>
      </vt:variant>
      <vt:variant>
        <vt:i4>0</vt:i4>
      </vt:variant>
      <vt:variant>
        <vt:i4>5</vt:i4>
      </vt:variant>
      <vt:variant>
        <vt:lpwstr>https://www.dataguidance.com/legal-research/law-republic-indonesia-no-11-2008-concerning</vt:lpwstr>
      </vt:variant>
      <vt:variant>
        <vt:lpwstr/>
      </vt:variant>
      <vt:variant>
        <vt:i4>2556028</vt:i4>
      </vt:variant>
      <vt:variant>
        <vt:i4>15</vt:i4>
      </vt:variant>
      <vt:variant>
        <vt:i4>0</vt:i4>
      </vt:variant>
      <vt:variant>
        <vt:i4>5</vt:i4>
      </vt:variant>
      <vt:variant>
        <vt:lpwstr>https://asean.org/asean-defa-study-projects-digital-economy-leap-to-us2tn-by-2030/</vt:lpwstr>
      </vt:variant>
      <vt:variant>
        <vt:lpwstr/>
      </vt:variant>
      <vt:variant>
        <vt:i4>2556028</vt:i4>
      </vt:variant>
      <vt:variant>
        <vt:i4>12</vt:i4>
      </vt:variant>
      <vt:variant>
        <vt:i4>0</vt:i4>
      </vt:variant>
      <vt:variant>
        <vt:i4>5</vt:i4>
      </vt:variant>
      <vt:variant>
        <vt:lpwstr>https://asean.org/asean-defa-study-projects-digital-economy-leap-to-us2tn-by-2030/</vt:lpwstr>
      </vt:variant>
      <vt:variant>
        <vt:lpwstr/>
      </vt:variant>
      <vt:variant>
        <vt:i4>6815797</vt:i4>
      </vt:variant>
      <vt:variant>
        <vt:i4>9</vt:i4>
      </vt:variant>
      <vt:variant>
        <vt:i4>0</vt:i4>
      </vt:variant>
      <vt:variant>
        <vt:i4>5</vt:i4>
      </vt:variant>
      <vt:variant>
        <vt:lpwstr>https://asean.org/wp-content/uploads/2022/03/Work-Plan-E-commerce-Agreement_endorsed_logo.pdf</vt:lpwstr>
      </vt:variant>
      <vt:variant>
        <vt:lpwstr/>
      </vt:variant>
      <vt:variant>
        <vt:i4>524313</vt:i4>
      </vt:variant>
      <vt:variant>
        <vt:i4>6</vt:i4>
      </vt:variant>
      <vt:variant>
        <vt:i4>0</vt:i4>
      </vt:variant>
      <vt:variant>
        <vt:i4>5</vt:i4>
      </vt:variant>
      <vt:variant>
        <vt:lpwstr>https://asean.org/wp-content/uploads/2024/06/Final-Joint-Media-Statement-of-the-33rd-ASEAN-DGs-of-Customs-Meeting.pdf</vt:lpwstr>
      </vt:variant>
      <vt:variant>
        <vt:lpwstr/>
      </vt:variant>
      <vt:variant>
        <vt:i4>5111899</vt:i4>
      </vt:variant>
      <vt:variant>
        <vt:i4>3</vt:i4>
      </vt:variant>
      <vt:variant>
        <vt:i4>0</vt:i4>
      </vt:variant>
      <vt:variant>
        <vt:i4>5</vt:i4>
      </vt:variant>
      <vt:variant>
        <vt:lpwstr>https://asean.org/wp-content/uploads/2020/12/ASEAN-Agreement-on-Customs-2.pdf</vt:lpwstr>
      </vt:variant>
      <vt:variant>
        <vt:lpwstr/>
      </vt:variant>
      <vt:variant>
        <vt:i4>3801126</vt:i4>
      </vt:variant>
      <vt:variant>
        <vt:i4>0</vt:i4>
      </vt:variant>
      <vt:variant>
        <vt:i4>0</vt:i4>
      </vt:variant>
      <vt:variant>
        <vt:i4>5</vt:i4>
      </vt:variant>
      <vt:variant>
        <vt:lpwstr>https://asean.org/our-communities/economic-community/asean-e-commerce/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ASEC SCD</dc:creator>
  <cp:keywords/>
  <dc:description/>
  <cp:lastModifiedBy>Ngoc Quyen</cp:lastModifiedBy>
  <cp:revision>3</cp:revision>
  <dcterms:created xsi:type="dcterms:W3CDTF">2025-12-19T06:03:00Z</dcterms:created>
  <dcterms:modified xsi:type="dcterms:W3CDTF">2025-12-23T10:10:00Z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0x010100819D098B557E754EA6781F1201E9F545</vt:lpwstr>
  </property>
  <property fmtid="{D5CDD505-2E9C-101B-9397-08002B2CF9AE}" pid="3" name="MediaServiceImageTags">
    <vt:lpwstr/>
  </property>
  <property fmtid="{D5CDD505-2E9C-101B-9397-08002B2CF9AE}" pid="4" name="MSIP_Label_54803508-8490-4252-b331-d9b72689e942_Enabled">
    <vt:lpwstr>true</vt:lpwstr>
  </property>
  <property fmtid="{D5CDD505-2E9C-101B-9397-08002B2CF9AE}" pid="5" name="MSIP_Label_54803508-8490-4252-b331-d9b72689e942_SetDate">
    <vt:lpwstr>2025-03-03T07:46:21Z</vt:lpwstr>
  </property>
  <property fmtid="{D5CDD505-2E9C-101B-9397-08002B2CF9AE}" pid="6" name="MSIP_Label_54803508-8490-4252-b331-d9b72689e942_Method">
    <vt:lpwstr>Privileged</vt:lpwstr>
  </property>
  <property fmtid="{D5CDD505-2E9C-101B-9397-08002B2CF9AE}" pid="7" name="MSIP_Label_54803508-8490-4252-b331-d9b72689e942_Name">
    <vt:lpwstr>Non Sensitive_0</vt:lpwstr>
  </property>
  <property fmtid="{D5CDD505-2E9C-101B-9397-08002B2CF9AE}" pid="8" name="MSIP_Label_54803508-8490-4252-b331-d9b72689e942_SiteId">
    <vt:lpwstr>0b11c524-9a1c-4e1b-84cb-6336aefc2243</vt:lpwstr>
  </property>
  <property fmtid="{D5CDD505-2E9C-101B-9397-08002B2CF9AE}" pid="9" name="MSIP_Label_54803508-8490-4252-b331-d9b72689e942_ActionId">
    <vt:lpwstr>5234b410-0360-4fd7-8dc4-4274c8237fd3</vt:lpwstr>
  </property>
  <property fmtid="{D5CDD505-2E9C-101B-9397-08002B2CF9AE}" pid="10" name="MSIP_Label_54803508-8490-4252-b331-d9b72689e942_ContentBits">
    <vt:lpwstr>0</vt:lpwstr>
  </property>
</Properties>
</file>